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C90EA" w14:textId="159D49ED" w:rsidR="004C5B85" w:rsidRPr="00613B2C" w:rsidRDefault="00081470" w:rsidP="000C1A53">
      <w:pPr>
        <w:spacing w:after="0" w:line="21" w:lineRule="atLeast"/>
        <w:jc w:val="both"/>
        <w:rPr>
          <w:rFonts w:asciiTheme="majorHAnsi" w:hAnsiTheme="majorHAnsi" w:cs="Times New Roman"/>
        </w:rPr>
      </w:pPr>
      <w:bookmarkStart w:id="0" w:name="_GoBack"/>
      <w:bookmarkEnd w:id="0"/>
      <w:r w:rsidRPr="00613B2C">
        <w:rPr>
          <w:rFonts w:asciiTheme="majorHAnsi" w:hAnsiTheme="majorHAnsi" w:cs="Times New Roman"/>
          <w:noProof/>
          <w:lang w:val="es-CR" w:eastAsia="es-CR"/>
        </w:rPr>
        <w:drawing>
          <wp:anchor distT="0" distB="0" distL="114300" distR="114300" simplePos="0" relativeHeight="251658241" behindDoc="0" locked="0" layoutInCell="1" allowOverlap="1" wp14:anchorId="7D1C7510" wp14:editId="47C3EF7B">
            <wp:simplePos x="1076325" y="895350"/>
            <wp:positionH relativeFrom="margin">
              <wp:align>left</wp:align>
            </wp:positionH>
            <wp:positionV relativeFrom="margin">
              <wp:align>center</wp:align>
            </wp:positionV>
            <wp:extent cx="1910392" cy="738963"/>
            <wp:effectExtent l="0" t="0" r="0" b="4445"/>
            <wp:wrapSquare wrapText="bothSides"/>
            <wp:docPr id="8" name="Imagen 8" descr="Logos_Transparent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descr="Logos_Transparentes-01.p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0392" cy="738963"/>
                    </a:xfrm>
                    <a:prstGeom prst="rect">
                      <a:avLst/>
                    </a:prstGeom>
                  </pic:spPr>
                </pic:pic>
              </a:graphicData>
            </a:graphic>
          </wp:anchor>
        </w:drawing>
      </w:r>
      <w:r w:rsidRPr="00613B2C">
        <w:rPr>
          <w:rFonts w:asciiTheme="majorHAnsi" w:hAnsiTheme="majorHAnsi" w:cs="Times New Roman"/>
          <w:noProof/>
          <w:lang w:val="es-CR" w:eastAsia="es-CR"/>
        </w:rPr>
        <mc:AlternateContent>
          <mc:Choice Requires="wps">
            <w:drawing>
              <wp:anchor distT="0" distB="0" distL="457200" distR="118745" simplePos="0" relativeHeight="251658240" behindDoc="0" locked="0" layoutInCell="0" allowOverlap="1" wp14:anchorId="42C72783" wp14:editId="6D43A0A8">
                <wp:simplePos x="0" y="0"/>
                <wp:positionH relativeFrom="margin">
                  <wp:posOffset>2491740</wp:posOffset>
                </wp:positionH>
                <wp:positionV relativeFrom="paragraph">
                  <wp:posOffset>-23495</wp:posOffset>
                </wp:positionV>
                <wp:extent cx="3743325" cy="8277860"/>
                <wp:effectExtent l="0" t="0" r="0" b="0"/>
                <wp:wrapSquare wrapText="bothSides"/>
                <wp:docPr id="205"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8277860"/>
                        </a:xfrm>
                        <a:prstGeom prst="rect">
                          <a:avLst/>
                        </a:prstGeom>
                        <a:noFill/>
                        <a:ln w="15875">
                          <a:noFill/>
                        </a:ln>
                        <a:extLst/>
                      </wps:spPr>
                      <wps:style>
                        <a:lnRef idx="0">
                          <a:scrgbClr r="0" g="0" b="0"/>
                        </a:lnRef>
                        <a:fillRef idx="1003">
                          <a:schemeClr val="lt1"/>
                        </a:fillRef>
                        <a:effectRef idx="0">
                          <a:scrgbClr r="0" g="0" b="0"/>
                        </a:effectRef>
                        <a:fontRef idx="major"/>
                      </wps:style>
                      <wps:txbx>
                        <w:txbxContent>
                          <w:p w14:paraId="0084AFEC" w14:textId="77777777" w:rsidR="00B96627" w:rsidRPr="00C26828" w:rsidRDefault="00B96627" w:rsidP="00081470">
                            <w:pPr>
                              <w:pBdr>
                                <w:left w:val="single" w:sz="4" w:space="9" w:color="4F81BD" w:themeColor="accent1"/>
                              </w:pBdr>
                              <w:rPr>
                                <w:rFonts w:asciiTheme="majorHAnsi" w:eastAsiaTheme="majorEastAsia" w:hAnsiTheme="majorHAnsi" w:cstheme="majorBidi"/>
                                <w:sz w:val="40"/>
                                <w:szCs w:val="40"/>
                              </w:rPr>
                            </w:pPr>
                          </w:p>
                          <w:p w14:paraId="7D5D9E23" w14:textId="77777777" w:rsidR="00B96627" w:rsidRPr="00C26828" w:rsidRDefault="00B96627" w:rsidP="00081470">
                            <w:pPr>
                              <w:pBdr>
                                <w:left w:val="single" w:sz="4" w:space="9" w:color="4F81BD" w:themeColor="accent1"/>
                              </w:pBdr>
                              <w:rPr>
                                <w:rFonts w:asciiTheme="majorHAnsi" w:eastAsiaTheme="majorEastAsia" w:hAnsiTheme="majorHAnsi" w:cstheme="majorBidi"/>
                                <w:sz w:val="40"/>
                                <w:szCs w:val="40"/>
                              </w:rPr>
                            </w:pPr>
                          </w:p>
                          <w:p w14:paraId="0B88A7C5" w14:textId="77777777" w:rsidR="00B96627" w:rsidRPr="00C26828" w:rsidRDefault="00B96627" w:rsidP="00081470">
                            <w:pPr>
                              <w:pBdr>
                                <w:left w:val="single" w:sz="4" w:space="9" w:color="4F81BD" w:themeColor="accent1"/>
                              </w:pBdr>
                              <w:rPr>
                                <w:rFonts w:asciiTheme="majorHAnsi" w:eastAsiaTheme="majorEastAsia" w:hAnsiTheme="majorHAnsi" w:cstheme="majorBidi"/>
                                <w:sz w:val="40"/>
                                <w:szCs w:val="40"/>
                              </w:rPr>
                            </w:pPr>
                          </w:p>
                          <w:p w14:paraId="1498E3BF" w14:textId="77777777" w:rsidR="00B96627" w:rsidRPr="00C26828" w:rsidRDefault="00B96627" w:rsidP="00081470">
                            <w:pPr>
                              <w:pBdr>
                                <w:left w:val="single" w:sz="4" w:space="9" w:color="4F81BD" w:themeColor="accent1"/>
                              </w:pBdr>
                              <w:rPr>
                                <w:rFonts w:asciiTheme="majorHAnsi" w:eastAsiaTheme="majorEastAsia" w:hAnsiTheme="majorHAnsi" w:cstheme="majorBidi"/>
                                <w:sz w:val="40"/>
                                <w:szCs w:val="40"/>
                              </w:rPr>
                            </w:pPr>
                          </w:p>
                          <w:p w14:paraId="30FAE514" w14:textId="77777777" w:rsidR="00B96627" w:rsidRDefault="00B96627" w:rsidP="00081470">
                            <w:pPr>
                              <w:pBdr>
                                <w:left w:val="single" w:sz="4" w:space="9" w:color="4F81BD" w:themeColor="accent1"/>
                              </w:pBdr>
                              <w:jc w:val="center"/>
                              <w:rPr>
                                <w:rFonts w:asciiTheme="majorHAnsi" w:eastAsiaTheme="majorEastAsia" w:hAnsiTheme="majorHAnsi" w:cstheme="majorBidi"/>
                                <w:b/>
                                <w:sz w:val="48"/>
                                <w:szCs w:val="40"/>
                              </w:rPr>
                            </w:pPr>
                            <w:r>
                              <w:rPr>
                                <w:rFonts w:asciiTheme="majorHAnsi" w:eastAsiaTheme="majorEastAsia" w:hAnsiTheme="majorHAnsi" w:cstheme="majorBidi"/>
                                <w:b/>
                                <w:sz w:val="48"/>
                                <w:szCs w:val="40"/>
                              </w:rPr>
                              <w:t xml:space="preserve">EXTRACTO DEL </w:t>
                            </w:r>
                          </w:p>
                          <w:p w14:paraId="4865CC2F" w14:textId="2027C69B" w:rsidR="00B96627" w:rsidRPr="00C26828" w:rsidRDefault="00B96627" w:rsidP="00081470">
                            <w:pPr>
                              <w:pBdr>
                                <w:left w:val="single" w:sz="4" w:space="9" w:color="4F81BD" w:themeColor="accent1"/>
                              </w:pBdr>
                              <w:jc w:val="center"/>
                              <w:rPr>
                                <w:rFonts w:asciiTheme="majorHAnsi" w:eastAsiaTheme="majorEastAsia" w:hAnsiTheme="majorHAnsi" w:cstheme="majorBidi"/>
                                <w:b/>
                                <w:sz w:val="48"/>
                                <w:szCs w:val="40"/>
                              </w:rPr>
                            </w:pPr>
                            <w:r w:rsidRPr="00C26828">
                              <w:rPr>
                                <w:rFonts w:asciiTheme="majorHAnsi" w:eastAsiaTheme="majorEastAsia" w:hAnsiTheme="majorHAnsi" w:cstheme="majorBidi"/>
                                <w:b/>
                                <w:sz w:val="48"/>
                                <w:szCs w:val="40"/>
                              </w:rPr>
                              <w:t xml:space="preserve">INFORME DE </w:t>
                            </w:r>
                          </w:p>
                          <w:p w14:paraId="045710F4" w14:textId="77777777" w:rsidR="00B96627" w:rsidRPr="00C26828" w:rsidRDefault="00B96627" w:rsidP="00081470">
                            <w:pPr>
                              <w:pBdr>
                                <w:left w:val="single" w:sz="4" w:space="9" w:color="4F81BD" w:themeColor="accent1"/>
                              </w:pBdr>
                              <w:jc w:val="center"/>
                              <w:rPr>
                                <w:rFonts w:asciiTheme="majorHAnsi" w:eastAsiaTheme="majorEastAsia" w:hAnsiTheme="majorHAnsi" w:cstheme="majorBidi"/>
                                <w:b/>
                                <w:sz w:val="48"/>
                                <w:szCs w:val="40"/>
                              </w:rPr>
                            </w:pPr>
                            <w:r w:rsidRPr="00C26828">
                              <w:rPr>
                                <w:rFonts w:asciiTheme="majorHAnsi" w:eastAsiaTheme="majorEastAsia" w:hAnsiTheme="majorHAnsi" w:cstheme="majorBidi"/>
                                <w:b/>
                                <w:sz w:val="48"/>
                                <w:szCs w:val="40"/>
                              </w:rPr>
                              <w:t xml:space="preserve">COYUNTURA Y </w:t>
                            </w:r>
                          </w:p>
                          <w:p w14:paraId="1B320702" w14:textId="77777777" w:rsidR="00B96627" w:rsidRPr="00C26828" w:rsidRDefault="00B96627" w:rsidP="00081470">
                            <w:pPr>
                              <w:pBdr>
                                <w:left w:val="single" w:sz="4" w:space="9" w:color="4F81BD" w:themeColor="accent1"/>
                              </w:pBdr>
                              <w:jc w:val="center"/>
                              <w:rPr>
                                <w:rFonts w:asciiTheme="majorHAnsi" w:eastAsiaTheme="majorEastAsia" w:hAnsiTheme="majorHAnsi" w:cstheme="majorBidi"/>
                                <w:b/>
                                <w:sz w:val="48"/>
                                <w:szCs w:val="40"/>
                              </w:rPr>
                            </w:pPr>
                            <w:r w:rsidRPr="00C26828">
                              <w:rPr>
                                <w:rFonts w:asciiTheme="majorHAnsi" w:eastAsiaTheme="majorEastAsia" w:hAnsiTheme="majorHAnsi" w:cstheme="majorBidi"/>
                                <w:b/>
                                <w:sz w:val="48"/>
                                <w:szCs w:val="40"/>
                              </w:rPr>
                              <w:t xml:space="preserve">SUPERVISIÓN DEL </w:t>
                            </w:r>
                          </w:p>
                          <w:p w14:paraId="69438B33" w14:textId="77777777" w:rsidR="00B96627" w:rsidRPr="00C26828" w:rsidRDefault="00B96627" w:rsidP="00081470">
                            <w:pPr>
                              <w:pBdr>
                                <w:left w:val="single" w:sz="4" w:space="9" w:color="4F81BD" w:themeColor="accent1"/>
                              </w:pBdr>
                              <w:jc w:val="center"/>
                              <w:rPr>
                                <w:rFonts w:asciiTheme="majorHAnsi" w:eastAsiaTheme="majorEastAsia" w:hAnsiTheme="majorHAnsi" w:cstheme="majorBidi"/>
                                <w:b/>
                                <w:sz w:val="48"/>
                                <w:szCs w:val="40"/>
                              </w:rPr>
                            </w:pPr>
                            <w:r w:rsidRPr="00C26828">
                              <w:rPr>
                                <w:rFonts w:asciiTheme="majorHAnsi" w:eastAsiaTheme="majorEastAsia" w:hAnsiTheme="majorHAnsi" w:cstheme="majorBidi"/>
                                <w:b/>
                                <w:sz w:val="48"/>
                                <w:szCs w:val="40"/>
                              </w:rPr>
                              <w:t>SECTOR PENSIONES</w:t>
                            </w:r>
                          </w:p>
                          <w:p w14:paraId="5F401B90" w14:textId="77777777" w:rsidR="00B96627" w:rsidRPr="00C26828" w:rsidRDefault="00B96627" w:rsidP="00081470">
                            <w:pPr>
                              <w:pBdr>
                                <w:left w:val="single" w:sz="4" w:space="9" w:color="4F81BD" w:themeColor="accent1"/>
                              </w:pBdr>
                              <w:jc w:val="right"/>
                              <w:rPr>
                                <w:rFonts w:asciiTheme="majorHAnsi" w:eastAsiaTheme="majorEastAsia" w:hAnsiTheme="majorHAnsi" w:cstheme="majorBidi"/>
                                <w:sz w:val="32"/>
                                <w:szCs w:val="40"/>
                              </w:rPr>
                            </w:pPr>
                          </w:p>
                          <w:p w14:paraId="396E3CB4" w14:textId="77777777" w:rsidR="00B96627" w:rsidRPr="00C26828" w:rsidRDefault="00B96627" w:rsidP="00081470">
                            <w:pPr>
                              <w:pBdr>
                                <w:left w:val="single" w:sz="4" w:space="9" w:color="4F81BD" w:themeColor="accent1"/>
                              </w:pBdr>
                              <w:jc w:val="right"/>
                              <w:rPr>
                                <w:rFonts w:asciiTheme="majorHAnsi" w:eastAsiaTheme="majorEastAsia" w:hAnsiTheme="majorHAnsi" w:cstheme="majorBidi"/>
                                <w:sz w:val="32"/>
                                <w:szCs w:val="40"/>
                              </w:rPr>
                            </w:pPr>
                          </w:p>
                          <w:p w14:paraId="551B939D" w14:textId="77777777" w:rsidR="00B96627" w:rsidRPr="00C26828" w:rsidRDefault="00B96627" w:rsidP="00081470">
                            <w:pPr>
                              <w:pBdr>
                                <w:left w:val="single" w:sz="4" w:space="9" w:color="4F81BD" w:themeColor="accent1"/>
                              </w:pBdr>
                              <w:jc w:val="right"/>
                              <w:rPr>
                                <w:rFonts w:asciiTheme="majorHAnsi" w:eastAsiaTheme="majorEastAsia" w:hAnsiTheme="majorHAnsi" w:cstheme="majorBidi"/>
                                <w:sz w:val="32"/>
                                <w:szCs w:val="40"/>
                              </w:rPr>
                            </w:pPr>
                          </w:p>
                          <w:p w14:paraId="1DFAE027" w14:textId="77777777" w:rsidR="00B96627" w:rsidRPr="00C26828" w:rsidRDefault="00B96627" w:rsidP="00081470">
                            <w:pPr>
                              <w:pBdr>
                                <w:left w:val="single" w:sz="4" w:space="9" w:color="4F81BD" w:themeColor="accent1"/>
                              </w:pBdr>
                              <w:jc w:val="right"/>
                              <w:rPr>
                                <w:rFonts w:asciiTheme="majorHAnsi" w:eastAsiaTheme="majorEastAsia" w:hAnsiTheme="majorHAnsi" w:cstheme="majorBidi"/>
                                <w:sz w:val="32"/>
                                <w:szCs w:val="40"/>
                              </w:rPr>
                            </w:pPr>
                          </w:p>
                          <w:p w14:paraId="3C760425" w14:textId="77777777" w:rsidR="00B96627" w:rsidRPr="00AC2538" w:rsidRDefault="00B96627" w:rsidP="00081470">
                            <w:pPr>
                              <w:pBdr>
                                <w:left w:val="single" w:sz="4" w:space="9" w:color="4F81BD" w:themeColor="accent1"/>
                              </w:pBdr>
                              <w:jc w:val="center"/>
                              <w:rPr>
                                <w:rFonts w:asciiTheme="majorHAnsi" w:eastAsiaTheme="majorEastAsia" w:hAnsiTheme="majorHAnsi" w:cstheme="majorBidi"/>
                                <w:sz w:val="32"/>
                                <w:szCs w:val="40"/>
                              </w:rPr>
                            </w:pPr>
                            <w:r w:rsidRPr="00AC2538">
                              <w:rPr>
                                <w:rFonts w:asciiTheme="majorHAnsi" w:eastAsiaTheme="majorEastAsia" w:hAnsiTheme="majorHAnsi" w:cstheme="majorBidi"/>
                                <w:sz w:val="32"/>
                                <w:szCs w:val="40"/>
                              </w:rPr>
                              <w:t xml:space="preserve">Evolución de los sistemas de pensiones y situación de los entes supervisados </w:t>
                            </w:r>
                          </w:p>
                          <w:p w14:paraId="1689E054" w14:textId="1B95EED7" w:rsidR="00B96627" w:rsidRPr="00AC2538" w:rsidRDefault="00B96627" w:rsidP="00081470">
                            <w:pPr>
                              <w:pBdr>
                                <w:left w:val="single" w:sz="4" w:space="9" w:color="4F81BD" w:themeColor="accent1"/>
                              </w:pBdr>
                              <w:jc w:val="center"/>
                              <w:rPr>
                                <w:rFonts w:asciiTheme="majorHAnsi" w:eastAsiaTheme="majorEastAsia" w:hAnsiTheme="majorHAnsi" w:cstheme="majorBidi"/>
                                <w:sz w:val="32"/>
                                <w:szCs w:val="40"/>
                              </w:rPr>
                            </w:pPr>
                            <w:r>
                              <w:rPr>
                                <w:rFonts w:asciiTheme="majorHAnsi" w:eastAsiaTheme="majorEastAsia" w:hAnsiTheme="majorHAnsi" w:cstheme="majorBidi"/>
                                <w:sz w:val="32"/>
                                <w:szCs w:val="40"/>
                              </w:rPr>
                              <w:t>Tercer</w:t>
                            </w:r>
                            <w:r w:rsidRPr="00AC2538">
                              <w:rPr>
                                <w:rFonts w:asciiTheme="majorHAnsi" w:eastAsiaTheme="majorEastAsia" w:hAnsiTheme="majorHAnsi" w:cstheme="majorBidi"/>
                                <w:sz w:val="32"/>
                                <w:szCs w:val="40"/>
                              </w:rPr>
                              <w:t xml:space="preserve"> Trimestre</w:t>
                            </w:r>
                          </w:p>
                          <w:p w14:paraId="426FA4AC" w14:textId="51735A75" w:rsidR="00B96627" w:rsidRPr="00AC2538" w:rsidRDefault="00B96627" w:rsidP="006D24E2">
                            <w:pPr>
                              <w:pBdr>
                                <w:left w:val="single" w:sz="4" w:space="9" w:color="4F81BD" w:themeColor="accent1"/>
                              </w:pBdr>
                              <w:jc w:val="center"/>
                            </w:pPr>
                            <w:r w:rsidRPr="00AC2538">
                              <w:rPr>
                                <w:rFonts w:asciiTheme="majorHAnsi" w:eastAsiaTheme="majorEastAsia" w:hAnsiTheme="majorHAnsi" w:cstheme="majorBidi"/>
                                <w:sz w:val="32"/>
                                <w:szCs w:val="40"/>
                              </w:rPr>
                              <w:t>2018</w:t>
                            </w:r>
                          </w:p>
                          <w:p w14:paraId="500D3020" w14:textId="77777777" w:rsidR="00B96627" w:rsidRPr="00AC2538" w:rsidRDefault="00B96627" w:rsidP="00081470">
                            <w:pPr>
                              <w:pBdr>
                                <w:left w:val="single" w:sz="4" w:space="9" w:color="4F81BD" w:themeColor="accent1"/>
                              </w:pBdr>
                              <w:spacing w:after="0" w:line="240" w:lineRule="auto"/>
                              <w:jc w:val="center"/>
                              <w:rPr>
                                <w:rFonts w:asciiTheme="majorHAnsi" w:eastAsiaTheme="majorEastAsia" w:hAnsiTheme="majorHAnsi" w:cstheme="majorBidi"/>
                                <w:szCs w:val="40"/>
                              </w:rPr>
                            </w:pPr>
                          </w:p>
                          <w:p w14:paraId="24FC2D12" w14:textId="77777777" w:rsidR="00B96627" w:rsidRPr="00AC2538" w:rsidRDefault="00B96627" w:rsidP="00081470">
                            <w:pPr>
                              <w:pBdr>
                                <w:left w:val="single" w:sz="4" w:space="9" w:color="4F81BD" w:themeColor="accent1"/>
                              </w:pBdr>
                              <w:spacing w:after="0" w:line="240" w:lineRule="auto"/>
                              <w:jc w:val="center"/>
                              <w:rPr>
                                <w:rFonts w:asciiTheme="majorHAnsi" w:eastAsiaTheme="majorEastAsia" w:hAnsiTheme="majorHAnsi" w:cstheme="majorBidi"/>
                                <w:szCs w:val="40"/>
                              </w:rPr>
                            </w:pPr>
                          </w:p>
                          <w:p w14:paraId="7959BF29" w14:textId="77777777" w:rsidR="00B96627" w:rsidRPr="00AC2538" w:rsidRDefault="00B96627" w:rsidP="00081470">
                            <w:pPr>
                              <w:pBdr>
                                <w:left w:val="single" w:sz="4" w:space="9" w:color="4F81BD" w:themeColor="accent1"/>
                              </w:pBdr>
                              <w:spacing w:after="0" w:line="240" w:lineRule="auto"/>
                              <w:jc w:val="center"/>
                              <w:rPr>
                                <w:rFonts w:asciiTheme="majorHAnsi" w:eastAsiaTheme="majorEastAsia" w:hAnsiTheme="majorHAnsi" w:cstheme="majorBidi"/>
                                <w:szCs w:val="40"/>
                              </w:rPr>
                            </w:pPr>
                          </w:p>
                          <w:p w14:paraId="03078DDF" w14:textId="77777777" w:rsidR="00B96627" w:rsidRPr="00AC2538" w:rsidRDefault="00B96627" w:rsidP="00081470">
                            <w:pPr>
                              <w:pBdr>
                                <w:left w:val="single" w:sz="4" w:space="9" w:color="4F81BD" w:themeColor="accent1"/>
                              </w:pBdr>
                              <w:spacing w:after="0" w:line="240" w:lineRule="auto"/>
                              <w:jc w:val="center"/>
                              <w:rPr>
                                <w:rFonts w:asciiTheme="majorHAnsi" w:eastAsiaTheme="majorEastAsia" w:hAnsiTheme="majorHAnsi" w:cstheme="majorBidi"/>
                                <w:szCs w:val="40"/>
                              </w:rPr>
                            </w:pPr>
                          </w:p>
                          <w:p w14:paraId="53DA4ECB" w14:textId="77777777" w:rsidR="00B96627" w:rsidRPr="00AC2538" w:rsidRDefault="00B96627" w:rsidP="00081470">
                            <w:pPr>
                              <w:pBdr>
                                <w:left w:val="single" w:sz="4" w:space="9" w:color="4F81BD" w:themeColor="accent1"/>
                              </w:pBdr>
                              <w:spacing w:after="0" w:line="240" w:lineRule="auto"/>
                              <w:jc w:val="center"/>
                              <w:rPr>
                                <w:rFonts w:asciiTheme="majorHAnsi" w:eastAsiaTheme="majorEastAsia" w:hAnsiTheme="majorHAnsi" w:cstheme="majorBidi"/>
                                <w:szCs w:val="40"/>
                              </w:rPr>
                            </w:pPr>
                            <w:r w:rsidRPr="00AC2538">
                              <w:rPr>
                                <w:rFonts w:asciiTheme="majorHAnsi" w:eastAsiaTheme="majorEastAsia" w:hAnsiTheme="majorHAnsi" w:cstheme="majorBidi"/>
                                <w:szCs w:val="40"/>
                              </w:rPr>
                              <w:t>Superintendencia de Pensiones</w:t>
                            </w:r>
                          </w:p>
                          <w:p w14:paraId="790DB715" w14:textId="77777777" w:rsidR="00B96627" w:rsidRPr="00AC2538" w:rsidRDefault="00B96627" w:rsidP="00081470">
                            <w:pPr>
                              <w:pBdr>
                                <w:left w:val="single" w:sz="4" w:space="9" w:color="4F81BD" w:themeColor="accent1"/>
                              </w:pBdr>
                              <w:spacing w:after="0" w:line="240" w:lineRule="auto"/>
                              <w:jc w:val="center"/>
                              <w:rPr>
                                <w:rFonts w:asciiTheme="majorHAnsi" w:eastAsiaTheme="majorEastAsia" w:hAnsiTheme="majorHAnsi" w:cstheme="majorBidi"/>
                                <w:szCs w:val="40"/>
                              </w:rPr>
                            </w:pPr>
                            <w:r w:rsidRPr="00AC2538">
                              <w:rPr>
                                <w:rFonts w:asciiTheme="majorHAnsi" w:eastAsiaTheme="majorEastAsia" w:hAnsiTheme="majorHAnsi" w:cstheme="majorBidi"/>
                                <w:szCs w:val="40"/>
                              </w:rPr>
                              <w:t>San José, Costa Rica</w:t>
                            </w:r>
                          </w:p>
                          <w:p w14:paraId="1E35A2B5" w14:textId="222B78B1" w:rsidR="00B96627" w:rsidRPr="00C26828" w:rsidRDefault="00007438" w:rsidP="00081470">
                            <w:pPr>
                              <w:pBdr>
                                <w:left w:val="single" w:sz="4" w:space="9" w:color="4F81BD" w:themeColor="accent1"/>
                              </w:pBdr>
                              <w:spacing w:after="0" w:line="240" w:lineRule="auto"/>
                              <w:jc w:val="center"/>
                              <w:rPr>
                                <w:rFonts w:asciiTheme="majorHAnsi" w:eastAsiaTheme="majorEastAsia" w:hAnsiTheme="majorHAnsi" w:cstheme="majorBidi"/>
                                <w:szCs w:val="40"/>
                              </w:rPr>
                            </w:pPr>
                            <w:hyperlink r:id="rId12" w:history="1">
                              <w:r w:rsidR="00B96627" w:rsidRPr="00C26828">
                                <w:rPr>
                                  <w:rStyle w:val="Hipervnculo"/>
                                  <w:rFonts w:asciiTheme="majorHAnsi" w:eastAsiaTheme="majorEastAsia" w:hAnsiTheme="majorHAnsi" w:cstheme="majorBidi"/>
                                  <w:color w:val="auto"/>
                                  <w:szCs w:val="40"/>
                                </w:rPr>
                                <w:t>http://www.</w:t>
                              </w:r>
                              <w:r w:rsidR="00B96627">
                                <w:rPr>
                                  <w:rStyle w:val="Hipervnculo"/>
                                  <w:rFonts w:asciiTheme="majorHAnsi" w:eastAsiaTheme="majorEastAsia" w:hAnsiTheme="majorHAnsi" w:cstheme="majorBidi"/>
                                  <w:color w:val="auto"/>
                                  <w:szCs w:val="40"/>
                                </w:rPr>
                                <w:t>Supen</w:t>
                              </w:r>
                              <w:r w:rsidR="00B96627" w:rsidRPr="00C26828">
                                <w:rPr>
                                  <w:rStyle w:val="Hipervnculo"/>
                                  <w:rFonts w:asciiTheme="majorHAnsi" w:eastAsiaTheme="majorEastAsia" w:hAnsiTheme="majorHAnsi" w:cstheme="majorBidi"/>
                                  <w:color w:val="auto"/>
                                  <w:szCs w:val="40"/>
                                </w:rPr>
                                <w:t>.fi.cr</w:t>
                              </w:r>
                            </w:hyperlink>
                            <w:r w:rsidR="00B96627" w:rsidRPr="00C26828">
                              <w:rPr>
                                <w:rFonts w:asciiTheme="majorHAnsi" w:eastAsiaTheme="majorEastAsia" w:hAnsiTheme="majorHAnsi" w:cstheme="majorBidi"/>
                                <w:szCs w:val="40"/>
                              </w:rPr>
                              <w:t xml:space="preserve"> </w:t>
                            </w:r>
                          </w:p>
                          <w:p w14:paraId="0AAFB9D2" w14:textId="77777777" w:rsidR="00B96627" w:rsidRPr="00C26828" w:rsidRDefault="00B96627" w:rsidP="00081470">
                            <w:pPr>
                              <w:pBdr>
                                <w:left w:val="single" w:sz="4" w:space="9" w:color="4F81BD" w:themeColor="accent1"/>
                              </w:pBd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C72783" id="Autoforma 14" o:spid="_x0000_s1026" style="position:absolute;left:0;text-align:left;margin-left:196.2pt;margin-top:-1.85pt;width:294.75pt;height:651.8pt;z-index:251658240;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" o:allowincell="f" filled="f" stroked="f" strokeweight="1.25pt">
                <v:textbox inset=",7.2pt,,7.2pt">
                  <w:txbxContent>
                    <w:p w14:paraId="0084AFEC" w14:textId="77777777" w:rsidR="00B96627" w:rsidRPr="00C26828" w:rsidRDefault="00B96627" w:rsidP="00081470">
                      <w:pPr>
                        <w:pBdr>
                          <w:left w:val="single" w:sz="4" w:space="9" w:color="4F81BD" w:themeColor="accent1"/>
                        </w:pBdr>
                        <w:rPr>
                          <w:rFonts w:asciiTheme="majorHAnsi" w:eastAsiaTheme="majorEastAsia" w:hAnsiTheme="majorHAnsi" w:cstheme="majorBidi"/>
                          <w:sz w:val="40"/>
                          <w:szCs w:val="40"/>
                        </w:rPr>
                      </w:pPr>
                    </w:p>
                    <w:p w14:paraId="7D5D9E23" w14:textId="77777777" w:rsidR="00B96627" w:rsidRPr="00C26828" w:rsidRDefault="00B96627" w:rsidP="00081470">
                      <w:pPr>
                        <w:pBdr>
                          <w:left w:val="single" w:sz="4" w:space="9" w:color="4F81BD" w:themeColor="accent1"/>
                        </w:pBdr>
                        <w:rPr>
                          <w:rFonts w:asciiTheme="majorHAnsi" w:eastAsiaTheme="majorEastAsia" w:hAnsiTheme="majorHAnsi" w:cstheme="majorBidi"/>
                          <w:sz w:val="40"/>
                          <w:szCs w:val="40"/>
                        </w:rPr>
                      </w:pPr>
                    </w:p>
                    <w:p w14:paraId="0B88A7C5" w14:textId="77777777" w:rsidR="00B96627" w:rsidRPr="00C26828" w:rsidRDefault="00B96627" w:rsidP="00081470">
                      <w:pPr>
                        <w:pBdr>
                          <w:left w:val="single" w:sz="4" w:space="9" w:color="4F81BD" w:themeColor="accent1"/>
                        </w:pBdr>
                        <w:rPr>
                          <w:rFonts w:asciiTheme="majorHAnsi" w:eastAsiaTheme="majorEastAsia" w:hAnsiTheme="majorHAnsi" w:cstheme="majorBidi"/>
                          <w:sz w:val="40"/>
                          <w:szCs w:val="40"/>
                        </w:rPr>
                      </w:pPr>
                    </w:p>
                    <w:p w14:paraId="1498E3BF" w14:textId="77777777" w:rsidR="00B96627" w:rsidRPr="00C26828" w:rsidRDefault="00B96627" w:rsidP="00081470">
                      <w:pPr>
                        <w:pBdr>
                          <w:left w:val="single" w:sz="4" w:space="9" w:color="4F81BD" w:themeColor="accent1"/>
                        </w:pBdr>
                        <w:rPr>
                          <w:rFonts w:asciiTheme="majorHAnsi" w:eastAsiaTheme="majorEastAsia" w:hAnsiTheme="majorHAnsi" w:cstheme="majorBidi"/>
                          <w:sz w:val="40"/>
                          <w:szCs w:val="40"/>
                        </w:rPr>
                      </w:pPr>
                    </w:p>
                    <w:p w14:paraId="30FAE514" w14:textId="77777777" w:rsidR="00B96627" w:rsidRDefault="00B96627" w:rsidP="00081470">
                      <w:pPr>
                        <w:pBdr>
                          <w:left w:val="single" w:sz="4" w:space="9" w:color="4F81BD" w:themeColor="accent1"/>
                        </w:pBdr>
                        <w:jc w:val="center"/>
                        <w:rPr>
                          <w:rFonts w:asciiTheme="majorHAnsi" w:eastAsiaTheme="majorEastAsia" w:hAnsiTheme="majorHAnsi" w:cstheme="majorBidi"/>
                          <w:b/>
                          <w:sz w:val="48"/>
                          <w:szCs w:val="40"/>
                        </w:rPr>
                      </w:pPr>
                      <w:r>
                        <w:rPr>
                          <w:rFonts w:asciiTheme="majorHAnsi" w:eastAsiaTheme="majorEastAsia" w:hAnsiTheme="majorHAnsi" w:cstheme="majorBidi"/>
                          <w:b/>
                          <w:sz w:val="48"/>
                          <w:szCs w:val="40"/>
                        </w:rPr>
                        <w:t xml:space="preserve">EXTRACTO DEL </w:t>
                      </w:r>
                    </w:p>
                    <w:p w14:paraId="4865CC2F" w14:textId="2027C69B" w:rsidR="00B96627" w:rsidRPr="00C26828" w:rsidRDefault="00B96627" w:rsidP="00081470">
                      <w:pPr>
                        <w:pBdr>
                          <w:left w:val="single" w:sz="4" w:space="9" w:color="4F81BD" w:themeColor="accent1"/>
                        </w:pBdr>
                        <w:jc w:val="center"/>
                        <w:rPr>
                          <w:rFonts w:asciiTheme="majorHAnsi" w:eastAsiaTheme="majorEastAsia" w:hAnsiTheme="majorHAnsi" w:cstheme="majorBidi"/>
                          <w:b/>
                          <w:sz w:val="48"/>
                          <w:szCs w:val="40"/>
                        </w:rPr>
                      </w:pPr>
                      <w:r w:rsidRPr="00C26828">
                        <w:rPr>
                          <w:rFonts w:asciiTheme="majorHAnsi" w:eastAsiaTheme="majorEastAsia" w:hAnsiTheme="majorHAnsi" w:cstheme="majorBidi"/>
                          <w:b/>
                          <w:sz w:val="48"/>
                          <w:szCs w:val="40"/>
                        </w:rPr>
                        <w:t xml:space="preserve">INFORME DE </w:t>
                      </w:r>
                    </w:p>
                    <w:p w14:paraId="045710F4" w14:textId="77777777" w:rsidR="00B96627" w:rsidRPr="00C26828" w:rsidRDefault="00B96627" w:rsidP="00081470">
                      <w:pPr>
                        <w:pBdr>
                          <w:left w:val="single" w:sz="4" w:space="9" w:color="4F81BD" w:themeColor="accent1"/>
                        </w:pBdr>
                        <w:jc w:val="center"/>
                        <w:rPr>
                          <w:rFonts w:asciiTheme="majorHAnsi" w:eastAsiaTheme="majorEastAsia" w:hAnsiTheme="majorHAnsi" w:cstheme="majorBidi"/>
                          <w:b/>
                          <w:sz w:val="48"/>
                          <w:szCs w:val="40"/>
                        </w:rPr>
                      </w:pPr>
                      <w:r w:rsidRPr="00C26828">
                        <w:rPr>
                          <w:rFonts w:asciiTheme="majorHAnsi" w:eastAsiaTheme="majorEastAsia" w:hAnsiTheme="majorHAnsi" w:cstheme="majorBidi"/>
                          <w:b/>
                          <w:sz w:val="48"/>
                          <w:szCs w:val="40"/>
                        </w:rPr>
                        <w:t xml:space="preserve">COYUNTURA Y </w:t>
                      </w:r>
                    </w:p>
                    <w:p w14:paraId="1B320702" w14:textId="77777777" w:rsidR="00B96627" w:rsidRPr="00C26828" w:rsidRDefault="00B96627" w:rsidP="00081470">
                      <w:pPr>
                        <w:pBdr>
                          <w:left w:val="single" w:sz="4" w:space="9" w:color="4F81BD" w:themeColor="accent1"/>
                        </w:pBdr>
                        <w:jc w:val="center"/>
                        <w:rPr>
                          <w:rFonts w:asciiTheme="majorHAnsi" w:eastAsiaTheme="majorEastAsia" w:hAnsiTheme="majorHAnsi" w:cstheme="majorBidi"/>
                          <w:b/>
                          <w:sz w:val="48"/>
                          <w:szCs w:val="40"/>
                        </w:rPr>
                      </w:pPr>
                      <w:r w:rsidRPr="00C26828">
                        <w:rPr>
                          <w:rFonts w:asciiTheme="majorHAnsi" w:eastAsiaTheme="majorEastAsia" w:hAnsiTheme="majorHAnsi" w:cstheme="majorBidi"/>
                          <w:b/>
                          <w:sz w:val="48"/>
                          <w:szCs w:val="40"/>
                        </w:rPr>
                        <w:t xml:space="preserve">SUPERVISIÓN DEL </w:t>
                      </w:r>
                    </w:p>
                    <w:p w14:paraId="69438B33" w14:textId="77777777" w:rsidR="00B96627" w:rsidRPr="00C26828" w:rsidRDefault="00B96627" w:rsidP="00081470">
                      <w:pPr>
                        <w:pBdr>
                          <w:left w:val="single" w:sz="4" w:space="9" w:color="4F81BD" w:themeColor="accent1"/>
                        </w:pBdr>
                        <w:jc w:val="center"/>
                        <w:rPr>
                          <w:rFonts w:asciiTheme="majorHAnsi" w:eastAsiaTheme="majorEastAsia" w:hAnsiTheme="majorHAnsi" w:cstheme="majorBidi"/>
                          <w:b/>
                          <w:sz w:val="48"/>
                          <w:szCs w:val="40"/>
                        </w:rPr>
                      </w:pPr>
                      <w:r w:rsidRPr="00C26828">
                        <w:rPr>
                          <w:rFonts w:asciiTheme="majorHAnsi" w:eastAsiaTheme="majorEastAsia" w:hAnsiTheme="majorHAnsi" w:cstheme="majorBidi"/>
                          <w:b/>
                          <w:sz w:val="48"/>
                          <w:szCs w:val="40"/>
                        </w:rPr>
                        <w:t>SECTOR PENSIONES</w:t>
                      </w:r>
                    </w:p>
                    <w:p w14:paraId="5F401B90" w14:textId="77777777" w:rsidR="00B96627" w:rsidRPr="00C26828" w:rsidRDefault="00B96627" w:rsidP="00081470">
                      <w:pPr>
                        <w:pBdr>
                          <w:left w:val="single" w:sz="4" w:space="9" w:color="4F81BD" w:themeColor="accent1"/>
                        </w:pBdr>
                        <w:jc w:val="right"/>
                        <w:rPr>
                          <w:rFonts w:asciiTheme="majorHAnsi" w:eastAsiaTheme="majorEastAsia" w:hAnsiTheme="majorHAnsi" w:cstheme="majorBidi"/>
                          <w:sz w:val="32"/>
                          <w:szCs w:val="40"/>
                        </w:rPr>
                      </w:pPr>
                    </w:p>
                    <w:p w14:paraId="396E3CB4" w14:textId="77777777" w:rsidR="00B96627" w:rsidRPr="00C26828" w:rsidRDefault="00B96627" w:rsidP="00081470">
                      <w:pPr>
                        <w:pBdr>
                          <w:left w:val="single" w:sz="4" w:space="9" w:color="4F81BD" w:themeColor="accent1"/>
                        </w:pBdr>
                        <w:jc w:val="right"/>
                        <w:rPr>
                          <w:rFonts w:asciiTheme="majorHAnsi" w:eastAsiaTheme="majorEastAsia" w:hAnsiTheme="majorHAnsi" w:cstheme="majorBidi"/>
                          <w:sz w:val="32"/>
                          <w:szCs w:val="40"/>
                        </w:rPr>
                      </w:pPr>
                    </w:p>
                    <w:p w14:paraId="551B939D" w14:textId="77777777" w:rsidR="00B96627" w:rsidRPr="00C26828" w:rsidRDefault="00B96627" w:rsidP="00081470">
                      <w:pPr>
                        <w:pBdr>
                          <w:left w:val="single" w:sz="4" w:space="9" w:color="4F81BD" w:themeColor="accent1"/>
                        </w:pBdr>
                        <w:jc w:val="right"/>
                        <w:rPr>
                          <w:rFonts w:asciiTheme="majorHAnsi" w:eastAsiaTheme="majorEastAsia" w:hAnsiTheme="majorHAnsi" w:cstheme="majorBidi"/>
                          <w:sz w:val="32"/>
                          <w:szCs w:val="40"/>
                        </w:rPr>
                      </w:pPr>
                    </w:p>
                    <w:p w14:paraId="1DFAE027" w14:textId="77777777" w:rsidR="00B96627" w:rsidRPr="00C26828" w:rsidRDefault="00B96627" w:rsidP="00081470">
                      <w:pPr>
                        <w:pBdr>
                          <w:left w:val="single" w:sz="4" w:space="9" w:color="4F81BD" w:themeColor="accent1"/>
                        </w:pBdr>
                        <w:jc w:val="right"/>
                        <w:rPr>
                          <w:rFonts w:asciiTheme="majorHAnsi" w:eastAsiaTheme="majorEastAsia" w:hAnsiTheme="majorHAnsi" w:cstheme="majorBidi"/>
                          <w:sz w:val="32"/>
                          <w:szCs w:val="40"/>
                        </w:rPr>
                      </w:pPr>
                    </w:p>
                    <w:p w14:paraId="3C760425" w14:textId="77777777" w:rsidR="00B96627" w:rsidRPr="00AC2538" w:rsidRDefault="00B96627" w:rsidP="00081470">
                      <w:pPr>
                        <w:pBdr>
                          <w:left w:val="single" w:sz="4" w:space="9" w:color="4F81BD" w:themeColor="accent1"/>
                        </w:pBdr>
                        <w:jc w:val="center"/>
                        <w:rPr>
                          <w:rFonts w:asciiTheme="majorHAnsi" w:eastAsiaTheme="majorEastAsia" w:hAnsiTheme="majorHAnsi" w:cstheme="majorBidi"/>
                          <w:sz w:val="32"/>
                          <w:szCs w:val="40"/>
                        </w:rPr>
                      </w:pPr>
                      <w:r w:rsidRPr="00AC2538">
                        <w:rPr>
                          <w:rFonts w:asciiTheme="majorHAnsi" w:eastAsiaTheme="majorEastAsia" w:hAnsiTheme="majorHAnsi" w:cstheme="majorBidi"/>
                          <w:sz w:val="32"/>
                          <w:szCs w:val="40"/>
                        </w:rPr>
                        <w:t xml:space="preserve">Evolución de los sistemas de pensiones y situación de los entes supervisados </w:t>
                      </w:r>
                    </w:p>
                    <w:p w14:paraId="1689E054" w14:textId="1B95EED7" w:rsidR="00B96627" w:rsidRPr="00AC2538" w:rsidRDefault="00B96627" w:rsidP="00081470">
                      <w:pPr>
                        <w:pBdr>
                          <w:left w:val="single" w:sz="4" w:space="9" w:color="4F81BD" w:themeColor="accent1"/>
                        </w:pBdr>
                        <w:jc w:val="center"/>
                        <w:rPr>
                          <w:rFonts w:asciiTheme="majorHAnsi" w:eastAsiaTheme="majorEastAsia" w:hAnsiTheme="majorHAnsi" w:cstheme="majorBidi"/>
                          <w:sz w:val="32"/>
                          <w:szCs w:val="40"/>
                        </w:rPr>
                      </w:pPr>
                      <w:r>
                        <w:rPr>
                          <w:rFonts w:asciiTheme="majorHAnsi" w:eastAsiaTheme="majorEastAsia" w:hAnsiTheme="majorHAnsi" w:cstheme="majorBidi"/>
                          <w:sz w:val="32"/>
                          <w:szCs w:val="40"/>
                        </w:rPr>
                        <w:t>Tercer</w:t>
                      </w:r>
                      <w:r w:rsidRPr="00AC2538">
                        <w:rPr>
                          <w:rFonts w:asciiTheme="majorHAnsi" w:eastAsiaTheme="majorEastAsia" w:hAnsiTheme="majorHAnsi" w:cstheme="majorBidi"/>
                          <w:sz w:val="32"/>
                          <w:szCs w:val="40"/>
                        </w:rPr>
                        <w:t xml:space="preserve"> Trimestre</w:t>
                      </w:r>
                    </w:p>
                    <w:p w14:paraId="426FA4AC" w14:textId="51735A75" w:rsidR="00B96627" w:rsidRPr="00AC2538" w:rsidRDefault="00B96627" w:rsidP="006D24E2">
                      <w:pPr>
                        <w:pBdr>
                          <w:left w:val="single" w:sz="4" w:space="9" w:color="4F81BD" w:themeColor="accent1"/>
                        </w:pBdr>
                        <w:jc w:val="center"/>
                      </w:pPr>
                      <w:r w:rsidRPr="00AC2538">
                        <w:rPr>
                          <w:rFonts w:asciiTheme="majorHAnsi" w:eastAsiaTheme="majorEastAsia" w:hAnsiTheme="majorHAnsi" w:cstheme="majorBidi"/>
                          <w:sz w:val="32"/>
                          <w:szCs w:val="40"/>
                        </w:rPr>
                        <w:t>2018</w:t>
                      </w:r>
                    </w:p>
                    <w:p w14:paraId="500D3020" w14:textId="77777777" w:rsidR="00B96627" w:rsidRPr="00AC2538" w:rsidRDefault="00B96627" w:rsidP="00081470">
                      <w:pPr>
                        <w:pBdr>
                          <w:left w:val="single" w:sz="4" w:space="9" w:color="4F81BD" w:themeColor="accent1"/>
                        </w:pBdr>
                        <w:spacing w:after="0" w:line="240" w:lineRule="auto"/>
                        <w:jc w:val="center"/>
                        <w:rPr>
                          <w:rFonts w:asciiTheme="majorHAnsi" w:eastAsiaTheme="majorEastAsia" w:hAnsiTheme="majorHAnsi" w:cstheme="majorBidi"/>
                          <w:szCs w:val="40"/>
                        </w:rPr>
                      </w:pPr>
                    </w:p>
                    <w:p w14:paraId="24FC2D12" w14:textId="77777777" w:rsidR="00B96627" w:rsidRPr="00AC2538" w:rsidRDefault="00B96627" w:rsidP="00081470">
                      <w:pPr>
                        <w:pBdr>
                          <w:left w:val="single" w:sz="4" w:space="9" w:color="4F81BD" w:themeColor="accent1"/>
                        </w:pBdr>
                        <w:spacing w:after="0" w:line="240" w:lineRule="auto"/>
                        <w:jc w:val="center"/>
                        <w:rPr>
                          <w:rFonts w:asciiTheme="majorHAnsi" w:eastAsiaTheme="majorEastAsia" w:hAnsiTheme="majorHAnsi" w:cstheme="majorBidi"/>
                          <w:szCs w:val="40"/>
                        </w:rPr>
                      </w:pPr>
                    </w:p>
                    <w:p w14:paraId="7959BF29" w14:textId="77777777" w:rsidR="00B96627" w:rsidRPr="00AC2538" w:rsidRDefault="00B96627" w:rsidP="00081470">
                      <w:pPr>
                        <w:pBdr>
                          <w:left w:val="single" w:sz="4" w:space="9" w:color="4F81BD" w:themeColor="accent1"/>
                        </w:pBdr>
                        <w:spacing w:after="0" w:line="240" w:lineRule="auto"/>
                        <w:jc w:val="center"/>
                        <w:rPr>
                          <w:rFonts w:asciiTheme="majorHAnsi" w:eastAsiaTheme="majorEastAsia" w:hAnsiTheme="majorHAnsi" w:cstheme="majorBidi"/>
                          <w:szCs w:val="40"/>
                        </w:rPr>
                      </w:pPr>
                    </w:p>
                    <w:p w14:paraId="03078DDF" w14:textId="77777777" w:rsidR="00B96627" w:rsidRPr="00AC2538" w:rsidRDefault="00B96627" w:rsidP="00081470">
                      <w:pPr>
                        <w:pBdr>
                          <w:left w:val="single" w:sz="4" w:space="9" w:color="4F81BD" w:themeColor="accent1"/>
                        </w:pBdr>
                        <w:spacing w:after="0" w:line="240" w:lineRule="auto"/>
                        <w:jc w:val="center"/>
                        <w:rPr>
                          <w:rFonts w:asciiTheme="majorHAnsi" w:eastAsiaTheme="majorEastAsia" w:hAnsiTheme="majorHAnsi" w:cstheme="majorBidi"/>
                          <w:szCs w:val="40"/>
                        </w:rPr>
                      </w:pPr>
                    </w:p>
                    <w:p w14:paraId="53DA4ECB" w14:textId="77777777" w:rsidR="00B96627" w:rsidRPr="00AC2538" w:rsidRDefault="00B96627" w:rsidP="00081470">
                      <w:pPr>
                        <w:pBdr>
                          <w:left w:val="single" w:sz="4" w:space="9" w:color="4F81BD" w:themeColor="accent1"/>
                        </w:pBdr>
                        <w:spacing w:after="0" w:line="240" w:lineRule="auto"/>
                        <w:jc w:val="center"/>
                        <w:rPr>
                          <w:rFonts w:asciiTheme="majorHAnsi" w:eastAsiaTheme="majorEastAsia" w:hAnsiTheme="majorHAnsi" w:cstheme="majorBidi"/>
                          <w:szCs w:val="40"/>
                        </w:rPr>
                      </w:pPr>
                      <w:r w:rsidRPr="00AC2538">
                        <w:rPr>
                          <w:rFonts w:asciiTheme="majorHAnsi" w:eastAsiaTheme="majorEastAsia" w:hAnsiTheme="majorHAnsi" w:cstheme="majorBidi"/>
                          <w:szCs w:val="40"/>
                        </w:rPr>
                        <w:t>Superintendencia de Pensiones</w:t>
                      </w:r>
                    </w:p>
                    <w:p w14:paraId="790DB715" w14:textId="77777777" w:rsidR="00B96627" w:rsidRPr="00AC2538" w:rsidRDefault="00B96627" w:rsidP="00081470">
                      <w:pPr>
                        <w:pBdr>
                          <w:left w:val="single" w:sz="4" w:space="9" w:color="4F81BD" w:themeColor="accent1"/>
                        </w:pBdr>
                        <w:spacing w:after="0" w:line="240" w:lineRule="auto"/>
                        <w:jc w:val="center"/>
                        <w:rPr>
                          <w:rFonts w:asciiTheme="majorHAnsi" w:eastAsiaTheme="majorEastAsia" w:hAnsiTheme="majorHAnsi" w:cstheme="majorBidi"/>
                          <w:szCs w:val="40"/>
                        </w:rPr>
                      </w:pPr>
                      <w:r w:rsidRPr="00AC2538">
                        <w:rPr>
                          <w:rFonts w:asciiTheme="majorHAnsi" w:eastAsiaTheme="majorEastAsia" w:hAnsiTheme="majorHAnsi" w:cstheme="majorBidi"/>
                          <w:szCs w:val="40"/>
                        </w:rPr>
                        <w:t>San José, Costa Rica</w:t>
                      </w:r>
                    </w:p>
                    <w:p w14:paraId="1E35A2B5" w14:textId="222B78B1" w:rsidR="00B96627" w:rsidRPr="00C26828" w:rsidRDefault="00007438" w:rsidP="00081470">
                      <w:pPr>
                        <w:pBdr>
                          <w:left w:val="single" w:sz="4" w:space="9" w:color="4F81BD" w:themeColor="accent1"/>
                        </w:pBdr>
                        <w:spacing w:after="0" w:line="240" w:lineRule="auto"/>
                        <w:jc w:val="center"/>
                        <w:rPr>
                          <w:rFonts w:asciiTheme="majorHAnsi" w:eastAsiaTheme="majorEastAsia" w:hAnsiTheme="majorHAnsi" w:cstheme="majorBidi"/>
                          <w:szCs w:val="40"/>
                        </w:rPr>
                      </w:pPr>
                      <w:hyperlink r:id="rId13" w:history="1">
                        <w:r w:rsidR="00B96627" w:rsidRPr="00C26828">
                          <w:rPr>
                            <w:rStyle w:val="Hipervnculo"/>
                            <w:rFonts w:asciiTheme="majorHAnsi" w:eastAsiaTheme="majorEastAsia" w:hAnsiTheme="majorHAnsi" w:cstheme="majorBidi"/>
                            <w:color w:val="auto"/>
                            <w:szCs w:val="40"/>
                          </w:rPr>
                          <w:t>http://www.</w:t>
                        </w:r>
                        <w:r w:rsidR="00B96627">
                          <w:rPr>
                            <w:rStyle w:val="Hipervnculo"/>
                            <w:rFonts w:asciiTheme="majorHAnsi" w:eastAsiaTheme="majorEastAsia" w:hAnsiTheme="majorHAnsi" w:cstheme="majorBidi"/>
                            <w:color w:val="auto"/>
                            <w:szCs w:val="40"/>
                          </w:rPr>
                          <w:t>Supen</w:t>
                        </w:r>
                        <w:r w:rsidR="00B96627" w:rsidRPr="00C26828">
                          <w:rPr>
                            <w:rStyle w:val="Hipervnculo"/>
                            <w:rFonts w:asciiTheme="majorHAnsi" w:eastAsiaTheme="majorEastAsia" w:hAnsiTheme="majorHAnsi" w:cstheme="majorBidi"/>
                            <w:color w:val="auto"/>
                            <w:szCs w:val="40"/>
                          </w:rPr>
                          <w:t>.fi.cr</w:t>
                        </w:r>
                      </w:hyperlink>
                      <w:r w:rsidR="00B96627" w:rsidRPr="00C26828">
                        <w:rPr>
                          <w:rFonts w:asciiTheme="majorHAnsi" w:eastAsiaTheme="majorEastAsia" w:hAnsiTheme="majorHAnsi" w:cstheme="majorBidi"/>
                          <w:szCs w:val="40"/>
                        </w:rPr>
                        <w:t xml:space="preserve"> </w:t>
                      </w:r>
                    </w:p>
                    <w:p w14:paraId="0AAFB9D2" w14:textId="77777777" w:rsidR="00B96627" w:rsidRPr="00C26828" w:rsidRDefault="00B96627" w:rsidP="00081470">
                      <w:pPr>
                        <w:pBdr>
                          <w:left w:val="single" w:sz="4" w:space="9" w:color="4F81BD" w:themeColor="accent1"/>
                        </w:pBdr>
                      </w:pPr>
                    </w:p>
                  </w:txbxContent>
                </v:textbox>
                <w10:wrap type="square" anchorx="margin"/>
              </v:rect>
            </w:pict>
          </mc:Fallback>
        </mc:AlternateContent>
      </w:r>
      <w:r w:rsidRPr="4133685B">
        <w:rPr>
          <w:rFonts w:asciiTheme="majorHAnsi" w:hAnsiTheme="majorHAnsi" w:cs="Times New Roman"/>
        </w:rPr>
        <w:br w:type="page"/>
      </w:r>
    </w:p>
    <w:p w14:paraId="3D000875" w14:textId="2A8396B2" w:rsidR="00081470" w:rsidRPr="00613B2C" w:rsidRDefault="00081470" w:rsidP="4133685B">
      <w:pPr>
        <w:pStyle w:val="Textoindependienteprimerasangra2"/>
        <w:spacing w:after="0"/>
        <w:ind w:left="0" w:firstLine="0"/>
        <w:jc w:val="both"/>
        <w:rPr>
          <w:rFonts w:asciiTheme="majorHAnsi" w:hAnsiTheme="majorHAnsi" w:cs="Times New Roman"/>
          <w:color w:val="548DD4" w:themeColor="text2" w:themeTint="99"/>
        </w:rPr>
      </w:pPr>
    </w:p>
    <w:p w14:paraId="45514F7A" w14:textId="77777777" w:rsidR="00D1240C" w:rsidRPr="00613B2C" w:rsidRDefault="00D1240C" w:rsidP="0040090D">
      <w:pPr>
        <w:tabs>
          <w:tab w:val="left" w:pos="1056"/>
        </w:tabs>
        <w:spacing w:after="0"/>
        <w:rPr>
          <w:rFonts w:asciiTheme="majorHAnsi" w:hAnsiTheme="majorHAnsi" w:cs="Times New Roman"/>
        </w:rPr>
      </w:pPr>
    </w:p>
    <w:p w14:paraId="2A09A825" w14:textId="77777777" w:rsidR="00041D06" w:rsidRPr="00613B2C" w:rsidRDefault="00041D06" w:rsidP="0040090D">
      <w:pPr>
        <w:spacing w:after="0"/>
        <w:rPr>
          <w:rFonts w:asciiTheme="majorHAnsi" w:hAnsiTheme="majorHAnsi" w:cs="Times New Roman"/>
          <w:b/>
        </w:rPr>
      </w:pPr>
    </w:p>
    <w:p w14:paraId="64355FF5" w14:textId="5BD52DC0" w:rsidR="007D0BC7" w:rsidRPr="00613B2C" w:rsidRDefault="007D0BC7">
      <w:pPr>
        <w:rPr>
          <w:rFonts w:asciiTheme="majorHAnsi" w:hAnsiTheme="majorHAnsi" w:cs="Times New Roman"/>
          <w:color w:val="FF0000"/>
        </w:rPr>
      </w:pPr>
      <w:r w:rsidRPr="00613B2C">
        <w:rPr>
          <w:rFonts w:asciiTheme="majorHAnsi" w:hAnsiTheme="majorHAnsi" w:cs="Times New Roman"/>
          <w:color w:val="FF0000"/>
        </w:rPr>
        <w:br w:type="page"/>
      </w:r>
    </w:p>
    <w:p w14:paraId="6A06515F" w14:textId="77777777" w:rsidR="007D0BC7" w:rsidRPr="00613B2C" w:rsidRDefault="007D0BC7" w:rsidP="007D0BC7">
      <w:pPr>
        <w:pStyle w:val="Ttulo"/>
        <w:rPr>
          <w:rStyle w:val="eop"/>
        </w:rPr>
      </w:pPr>
      <w:r w:rsidRPr="00613B2C">
        <w:lastRenderedPageBreak/>
        <w:t>Desempeño del Sector Pensiones</w:t>
      </w:r>
    </w:p>
    <w:p w14:paraId="0F6C8CA5" w14:textId="77777777" w:rsidR="007D0BC7" w:rsidRPr="00613B2C" w:rsidRDefault="007D0BC7" w:rsidP="007D0BC7">
      <w:pPr>
        <w:spacing w:after="0" w:line="240" w:lineRule="auto"/>
        <w:jc w:val="both"/>
        <w:rPr>
          <w:rFonts w:asciiTheme="majorHAnsi" w:hAnsiTheme="majorHAnsi"/>
        </w:rPr>
      </w:pPr>
    </w:p>
    <w:p w14:paraId="525C5554" w14:textId="77777777" w:rsidR="007D0BC7" w:rsidRPr="00613B2C" w:rsidRDefault="007D0BC7" w:rsidP="007D0BC7">
      <w:pPr>
        <w:pStyle w:val="Ttulo1"/>
        <w:rPr>
          <w:rFonts w:asciiTheme="majorHAnsi" w:hAnsiTheme="majorHAnsi"/>
        </w:rPr>
      </w:pPr>
      <w:r w:rsidRPr="00613B2C">
        <w:rPr>
          <w:rFonts w:asciiTheme="majorHAnsi" w:hAnsiTheme="majorHAnsi"/>
        </w:rPr>
        <w:t>Activos Administrados</w:t>
      </w:r>
    </w:p>
    <w:p w14:paraId="3B426AFB" w14:textId="77777777" w:rsidR="007D0BC7" w:rsidRPr="00613B2C" w:rsidRDefault="007D0BC7" w:rsidP="007D0BC7">
      <w:pPr>
        <w:rPr>
          <w:rFonts w:asciiTheme="majorHAnsi" w:hAnsiTheme="majorHAnsi"/>
        </w:rPr>
      </w:pPr>
    </w:p>
    <w:p w14:paraId="7E0EF57F" w14:textId="41BA39C4" w:rsidR="007D0BC7" w:rsidRPr="00613B2C" w:rsidRDefault="007D0BC7" w:rsidP="007D0BC7">
      <w:pPr>
        <w:spacing w:after="0" w:line="240" w:lineRule="auto"/>
        <w:jc w:val="both"/>
        <w:rPr>
          <w:rFonts w:asciiTheme="majorHAnsi" w:hAnsiTheme="majorHAnsi"/>
        </w:rPr>
      </w:pPr>
      <w:r w:rsidRPr="00613B2C">
        <w:rPr>
          <w:rFonts w:asciiTheme="majorHAnsi" w:hAnsiTheme="majorHAnsi"/>
        </w:rPr>
        <w:t>El Sistema Nacional de Pensiones (SNP) más el Fondo de Capitalización Laboral (FCL) cuentan</w:t>
      </w:r>
      <w:r w:rsidR="001853AE">
        <w:rPr>
          <w:rFonts w:asciiTheme="majorHAnsi" w:hAnsiTheme="majorHAnsi"/>
        </w:rPr>
        <w:t>,</w:t>
      </w:r>
      <w:r w:rsidRPr="00613B2C">
        <w:rPr>
          <w:rFonts w:asciiTheme="majorHAnsi" w:hAnsiTheme="majorHAnsi"/>
        </w:rPr>
        <w:t xml:space="preserve"> a setiembre</w:t>
      </w:r>
      <w:r w:rsidR="001853AE">
        <w:rPr>
          <w:rFonts w:asciiTheme="majorHAnsi" w:hAnsiTheme="majorHAnsi"/>
        </w:rPr>
        <w:t>,</w:t>
      </w:r>
      <w:r w:rsidRPr="00613B2C">
        <w:rPr>
          <w:rFonts w:asciiTheme="majorHAnsi" w:hAnsiTheme="majorHAnsi"/>
        </w:rPr>
        <w:t xml:space="preserve"> con recursos administrados por un total de 12,97 billones de colones, esto corresponde al 38,47% del Producto Interno Bruto. El Primer Pilar admin</w:t>
      </w:r>
      <w:r w:rsidR="001853AE">
        <w:rPr>
          <w:rFonts w:asciiTheme="majorHAnsi" w:hAnsiTheme="majorHAnsi"/>
        </w:rPr>
        <w:t xml:space="preserve">istra 5,60 billones de colones, mientras </w:t>
      </w:r>
      <w:r w:rsidRPr="00613B2C">
        <w:rPr>
          <w:rFonts w:asciiTheme="majorHAnsi" w:hAnsiTheme="majorHAnsi"/>
        </w:rPr>
        <w:t xml:space="preserve">el segundo y tercer pilar administran 6,79 billones de colones, el restante </w:t>
      </w:r>
      <w:r w:rsidR="001853AE">
        <w:rPr>
          <w:rFonts w:asciiTheme="majorHAnsi" w:hAnsiTheme="majorHAnsi"/>
        </w:rPr>
        <w:t>(</w:t>
      </w:r>
      <w:r w:rsidRPr="00613B2C">
        <w:rPr>
          <w:rFonts w:asciiTheme="majorHAnsi" w:hAnsiTheme="majorHAnsi"/>
        </w:rPr>
        <w:t xml:space="preserve">0,58 </w:t>
      </w:r>
      <w:r w:rsidR="001853AE">
        <w:rPr>
          <w:rFonts w:asciiTheme="majorHAnsi" w:hAnsiTheme="majorHAnsi"/>
        </w:rPr>
        <w:t xml:space="preserve">billones de colones) </w:t>
      </w:r>
      <w:r w:rsidRPr="00613B2C">
        <w:rPr>
          <w:rFonts w:asciiTheme="majorHAnsi" w:hAnsiTheme="majorHAnsi"/>
        </w:rPr>
        <w:t>corresponde al Fondo de Capitalización Laboral.</w:t>
      </w:r>
    </w:p>
    <w:p w14:paraId="1EED12EF" w14:textId="77777777" w:rsidR="007D0BC7" w:rsidRPr="00613B2C" w:rsidRDefault="007D0BC7" w:rsidP="007D0BC7">
      <w:pPr>
        <w:spacing w:after="0" w:line="240" w:lineRule="auto"/>
        <w:jc w:val="both"/>
        <w:rPr>
          <w:rFonts w:asciiTheme="majorHAnsi" w:hAnsiTheme="majorHAnsi"/>
        </w:rPr>
      </w:pPr>
    </w:p>
    <w:p w14:paraId="07FC0FCD" w14:textId="26FCF9A9" w:rsidR="007D0BC7" w:rsidRPr="00613B2C" w:rsidRDefault="23EB6D18" w:rsidP="23EB6D18">
      <w:pPr>
        <w:spacing w:after="0" w:line="240" w:lineRule="auto"/>
        <w:jc w:val="both"/>
        <w:rPr>
          <w:rFonts w:asciiTheme="majorHAnsi" w:hAnsiTheme="majorHAnsi"/>
        </w:rPr>
      </w:pPr>
      <w:r w:rsidRPr="23EB6D18">
        <w:rPr>
          <w:rFonts w:asciiTheme="majorHAnsi" w:hAnsiTheme="majorHAnsi"/>
        </w:rPr>
        <w:t>A pesar del continuo crecimiento de todos los pilares del sistema de pensiones, la importancia relativa de cada uno de ellos ha cambiado en los últimos años. La participación relativa dentro del sistema de los recursos administrados correspondientes el Régimen Obligatorio de Pensiones Complementarias (ROP) y Regímenes ocupacionales complementarios es cada vez más relevante. A setiembre 2018 el denomina</w:t>
      </w:r>
      <w:r w:rsidR="00140EFC">
        <w:rPr>
          <w:rFonts w:asciiTheme="majorHAnsi" w:hAnsiTheme="majorHAnsi"/>
        </w:rPr>
        <w:t xml:space="preserve">do segundo pilar representaba </w:t>
      </w:r>
      <w:r w:rsidR="00140EFC" w:rsidRPr="004C1C99">
        <w:rPr>
          <w:rFonts w:asciiTheme="majorHAnsi" w:hAnsiTheme="majorHAnsi"/>
        </w:rPr>
        <w:t>49,76</w:t>
      </w:r>
      <w:r w:rsidRPr="004C1C99">
        <w:rPr>
          <w:rFonts w:asciiTheme="majorHAnsi" w:hAnsiTheme="majorHAnsi"/>
        </w:rPr>
        <w:t>%</w:t>
      </w:r>
      <w:r w:rsidRPr="23EB6D18">
        <w:rPr>
          <w:rFonts w:asciiTheme="majorHAnsi" w:hAnsiTheme="majorHAnsi"/>
        </w:rPr>
        <w:t xml:space="preserve"> del total de sistema (incluyendo FCL). Este comportamiento es reflejo de los diferentes estados de madurez de los regímenes. En el caso de primer pilar, si bien es cierto tiene importantes aportaciones, también lo es el hecho de que se pagan beneficios. </w:t>
      </w:r>
    </w:p>
    <w:p w14:paraId="6BF6EF0E" w14:textId="77777777" w:rsidR="007D0BC7" w:rsidRPr="00613B2C" w:rsidRDefault="007D0BC7" w:rsidP="007D0BC7">
      <w:pPr>
        <w:spacing w:after="0" w:line="240" w:lineRule="auto"/>
        <w:jc w:val="both"/>
        <w:rPr>
          <w:rFonts w:asciiTheme="majorHAnsi" w:hAnsiTheme="majorHAnsi"/>
        </w:rPr>
      </w:pPr>
    </w:p>
    <w:p w14:paraId="6C272847" w14:textId="66BF3AEE" w:rsidR="00852DD8" w:rsidRDefault="00852DD8" w:rsidP="007D0BC7">
      <w:pPr>
        <w:spacing w:after="0" w:line="240" w:lineRule="auto"/>
        <w:jc w:val="center"/>
        <w:rPr>
          <w:rFonts w:asciiTheme="majorHAnsi" w:hAnsiTheme="majorHAnsi"/>
          <w:b/>
        </w:rPr>
      </w:pPr>
      <w:r>
        <w:rPr>
          <w:rFonts w:asciiTheme="majorHAnsi" w:hAnsiTheme="majorHAnsi"/>
          <w:b/>
        </w:rPr>
        <w:t>Cuadro 1</w:t>
      </w:r>
    </w:p>
    <w:p w14:paraId="1841BAF3" w14:textId="77777777" w:rsidR="007D0BC7" w:rsidRPr="00613B2C" w:rsidRDefault="007D0BC7" w:rsidP="00452D66">
      <w:pPr>
        <w:spacing w:after="0" w:line="240" w:lineRule="auto"/>
        <w:ind w:left="1416" w:hanging="1416"/>
        <w:jc w:val="center"/>
        <w:rPr>
          <w:rFonts w:asciiTheme="majorHAnsi" w:hAnsiTheme="majorHAnsi"/>
          <w:b/>
        </w:rPr>
      </w:pPr>
      <w:r w:rsidRPr="00613B2C">
        <w:rPr>
          <w:rFonts w:asciiTheme="majorHAnsi" w:hAnsiTheme="majorHAnsi"/>
          <w:b/>
        </w:rPr>
        <w:t>SNP: Activos Administrados</w:t>
      </w:r>
    </w:p>
    <w:p w14:paraId="2CADC6C2" w14:textId="77777777" w:rsidR="007D0BC7" w:rsidRPr="00613B2C" w:rsidRDefault="007D0BC7" w:rsidP="007D0BC7">
      <w:pPr>
        <w:spacing w:after="0" w:line="240" w:lineRule="auto"/>
        <w:jc w:val="center"/>
        <w:rPr>
          <w:rFonts w:asciiTheme="majorHAnsi" w:hAnsiTheme="majorHAnsi"/>
          <w:b/>
        </w:rPr>
      </w:pPr>
      <w:r w:rsidRPr="00613B2C">
        <w:rPr>
          <w:rFonts w:asciiTheme="majorHAnsi" w:hAnsiTheme="majorHAnsi"/>
          <w:b/>
        </w:rPr>
        <w:t>Septiembre de cada año</w:t>
      </w:r>
    </w:p>
    <w:p w14:paraId="21AEC916" w14:textId="77777777" w:rsidR="007D0BC7" w:rsidRPr="00613B2C" w:rsidRDefault="007D0BC7" w:rsidP="007D0BC7">
      <w:pPr>
        <w:spacing w:after="0" w:line="240" w:lineRule="auto"/>
        <w:ind w:left="-426"/>
        <w:jc w:val="center"/>
        <w:rPr>
          <w:rFonts w:asciiTheme="majorHAnsi" w:hAnsiTheme="majorHAnsi"/>
          <w:b/>
        </w:rPr>
      </w:pPr>
    </w:p>
    <w:bookmarkStart w:id="1" w:name="_MON_1604316936"/>
    <w:bookmarkEnd w:id="1"/>
    <w:p w14:paraId="496504D8" w14:textId="7BC9545F" w:rsidR="007D0BC7" w:rsidRPr="00613B2C" w:rsidRDefault="009D481C" w:rsidP="007D0BC7">
      <w:pPr>
        <w:spacing w:after="0" w:line="240" w:lineRule="auto"/>
        <w:jc w:val="center"/>
        <w:rPr>
          <w:rFonts w:asciiTheme="majorHAnsi" w:hAnsiTheme="majorHAnsi"/>
        </w:rPr>
      </w:pPr>
      <w:r w:rsidRPr="00613B2C">
        <w:rPr>
          <w:rFonts w:asciiTheme="majorHAnsi" w:hAnsiTheme="majorHAnsi"/>
        </w:rPr>
        <w:object w:dxaOrig="11030" w:dyaOrig="2068" w14:anchorId="37CB9B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99pt" o:ole="">
            <v:imagedata r:id="rId14" o:title=""/>
          </v:shape>
          <o:OLEObject Type="Embed" ProgID="Excel.Sheet.12" ShapeID="_x0000_i1025" DrawAspect="Content" ObjectID="_1610970906" r:id="rId15"/>
        </w:object>
      </w:r>
    </w:p>
    <w:p w14:paraId="4377A09E" w14:textId="77777777" w:rsidR="007D0BC7" w:rsidRPr="00613B2C" w:rsidRDefault="007D0BC7" w:rsidP="007D0BC7">
      <w:pPr>
        <w:spacing w:after="0" w:line="240" w:lineRule="auto"/>
        <w:jc w:val="both"/>
        <w:rPr>
          <w:rFonts w:asciiTheme="majorHAnsi" w:hAnsiTheme="majorHAnsi"/>
        </w:rPr>
      </w:pPr>
    </w:p>
    <w:p w14:paraId="5F59B88B" w14:textId="79695623" w:rsidR="007D0BC7" w:rsidRDefault="23EB6D18" w:rsidP="23EB6D18">
      <w:pPr>
        <w:spacing w:after="0" w:line="240" w:lineRule="auto"/>
        <w:jc w:val="both"/>
        <w:rPr>
          <w:rFonts w:asciiTheme="majorHAnsi" w:hAnsiTheme="majorHAnsi"/>
        </w:rPr>
      </w:pPr>
      <w:r w:rsidRPr="23EB6D18">
        <w:rPr>
          <w:rFonts w:asciiTheme="majorHAnsi" w:hAnsiTheme="majorHAnsi"/>
        </w:rPr>
        <w:t>A nivel de gestores el sistema presenta una clara segmentación. Tres gestores (de quince) administran el 57,4% del total de activos, aproximadamente 7 billones de colones, de estos uno corresponde a uno del régimen complementario. En cuanto recursos, cinco gestores son ya mucho más grandes que un régimen de primer pilar como el Poder Judicial. El tamaño de estos hace que sus transacciones deban ser analizadas en un contexto de riesgo sistémico, en el sentido de que los recursos que mueven son tan importantes que pudieran poner en riesgo a intermediarios financieros, de requerir el traslado de recursos, la compra de instrumentos o realizarse movimientos abruptos en sus cuentas de disponibilidades.</w:t>
      </w:r>
    </w:p>
    <w:p w14:paraId="4669DA77" w14:textId="65EEE81C" w:rsidR="004300E1" w:rsidRDefault="004300E1" w:rsidP="007D0BC7">
      <w:pPr>
        <w:spacing w:after="0" w:line="240" w:lineRule="auto"/>
        <w:jc w:val="both"/>
        <w:rPr>
          <w:rFonts w:asciiTheme="majorHAnsi" w:hAnsiTheme="majorHAnsi"/>
        </w:rPr>
      </w:pPr>
    </w:p>
    <w:p w14:paraId="1B486931" w14:textId="241A752F" w:rsidR="000013D2" w:rsidRPr="00613B2C" w:rsidRDefault="000013D2" w:rsidP="23EB6D18">
      <w:pPr>
        <w:spacing w:after="0" w:line="240" w:lineRule="auto"/>
        <w:jc w:val="both"/>
        <w:rPr>
          <w:rFonts w:asciiTheme="majorHAnsi" w:hAnsiTheme="majorHAnsi"/>
        </w:rPr>
      </w:pPr>
      <w:r w:rsidRPr="23EB6D18">
        <w:rPr>
          <w:rFonts w:asciiTheme="majorHAnsi" w:hAnsiTheme="majorHAnsi"/>
        </w:rPr>
        <w:t xml:space="preserve">El activo total del Régimen de Invalidez, Vejez y Muerte, administrado por la CCSS se incrementó </w:t>
      </w:r>
      <w:r w:rsidR="00F2774B" w:rsidRPr="23EB6D18">
        <w:rPr>
          <w:rFonts w:asciiTheme="majorHAnsi" w:hAnsiTheme="majorHAnsi"/>
        </w:rPr>
        <w:t>en 5</w:t>
      </w:r>
      <w:r w:rsidR="00F575B8">
        <w:rPr>
          <w:rFonts w:asciiTheme="majorHAnsi" w:hAnsiTheme="majorHAnsi"/>
        </w:rPr>
        <w:t xml:space="preserve"> </w:t>
      </w:r>
      <w:r w:rsidR="00F2774B" w:rsidRPr="23EB6D18">
        <w:rPr>
          <w:rFonts w:asciiTheme="majorHAnsi" w:hAnsiTheme="majorHAnsi"/>
        </w:rPr>
        <w:t>3</w:t>
      </w:r>
      <w:r w:rsidRPr="23EB6D18">
        <w:rPr>
          <w:rFonts w:asciiTheme="majorHAnsi" w:hAnsiTheme="majorHAnsi"/>
        </w:rPr>
        <w:t xml:space="preserve">612,3 millones de colones, al pasar de </w:t>
      </w:r>
      <w:r w:rsidR="00F2774B" w:rsidRPr="23EB6D18">
        <w:rPr>
          <w:rFonts w:asciiTheme="majorHAnsi" w:hAnsiTheme="majorHAnsi"/>
        </w:rPr>
        <w:t>2</w:t>
      </w:r>
      <w:r w:rsidR="005E7F04">
        <w:rPr>
          <w:rFonts w:asciiTheme="majorHAnsi" w:hAnsiTheme="majorHAnsi"/>
        </w:rPr>
        <w:t xml:space="preserve"> </w:t>
      </w:r>
      <w:r w:rsidR="00F2774B" w:rsidRPr="23EB6D18">
        <w:rPr>
          <w:rFonts w:asciiTheme="majorHAnsi" w:hAnsiTheme="majorHAnsi"/>
        </w:rPr>
        <w:t xml:space="preserve">622 </w:t>
      </w:r>
      <w:r w:rsidRPr="23EB6D18">
        <w:rPr>
          <w:rFonts w:asciiTheme="majorHAnsi" w:hAnsiTheme="majorHAnsi"/>
        </w:rPr>
        <w:t xml:space="preserve">224,1 millones en junio de </w:t>
      </w:r>
      <w:r w:rsidR="00F63A1B" w:rsidRPr="23EB6D18">
        <w:rPr>
          <w:rFonts w:asciiTheme="majorHAnsi" w:hAnsiTheme="majorHAnsi"/>
        </w:rPr>
        <w:t xml:space="preserve">2018 a </w:t>
      </w:r>
      <w:r w:rsidR="00F2774B" w:rsidRPr="23EB6D18">
        <w:rPr>
          <w:rFonts w:asciiTheme="majorHAnsi" w:hAnsiTheme="majorHAnsi"/>
        </w:rPr>
        <w:t>2</w:t>
      </w:r>
      <w:r w:rsidR="00F575B8">
        <w:rPr>
          <w:rFonts w:asciiTheme="majorHAnsi" w:hAnsiTheme="majorHAnsi"/>
        </w:rPr>
        <w:t xml:space="preserve"> </w:t>
      </w:r>
      <w:r w:rsidR="00F2774B" w:rsidRPr="23EB6D18">
        <w:rPr>
          <w:rFonts w:asciiTheme="majorHAnsi" w:hAnsiTheme="majorHAnsi"/>
        </w:rPr>
        <w:t xml:space="preserve">675 836,4 </w:t>
      </w:r>
      <w:r w:rsidRPr="23EB6D18">
        <w:rPr>
          <w:rFonts w:asciiTheme="majorHAnsi" w:hAnsiTheme="majorHAnsi"/>
        </w:rPr>
        <w:t>millones en ag</w:t>
      </w:r>
      <w:r w:rsidR="00F2774B" w:rsidRPr="23EB6D18">
        <w:rPr>
          <w:rFonts w:asciiTheme="majorHAnsi" w:hAnsiTheme="majorHAnsi"/>
        </w:rPr>
        <w:t>osto de 2018 (último</w:t>
      </w:r>
      <w:r w:rsidRPr="23EB6D18">
        <w:rPr>
          <w:rFonts w:asciiTheme="majorHAnsi" w:hAnsiTheme="majorHAnsi"/>
        </w:rPr>
        <w:t xml:space="preserve"> </w:t>
      </w:r>
      <w:r w:rsidR="00F2774B" w:rsidRPr="23EB6D18">
        <w:rPr>
          <w:rFonts w:asciiTheme="majorHAnsi" w:hAnsiTheme="majorHAnsi"/>
        </w:rPr>
        <w:t xml:space="preserve">dato </w:t>
      </w:r>
      <w:r w:rsidRPr="23EB6D18">
        <w:rPr>
          <w:rFonts w:asciiTheme="majorHAnsi" w:hAnsiTheme="majorHAnsi"/>
        </w:rPr>
        <w:t xml:space="preserve">disponible). El </w:t>
      </w:r>
      <w:r w:rsidR="0088553D" w:rsidRPr="23EB6D18">
        <w:rPr>
          <w:rFonts w:asciiTheme="majorHAnsi" w:hAnsiTheme="majorHAnsi"/>
        </w:rPr>
        <w:t>crecimiento interanual</w:t>
      </w:r>
      <w:r w:rsidR="00F97261" w:rsidRPr="23EB6D18">
        <w:rPr>
          <w:rFonts w:asciiTheme="majorHAnsi" w:hAnsiTheme="majorHAnsi"/>
        </w:rPr>
        <w:t xml:space="preserve">, a setiembre 2017 fue </w:t>
      </w:r>
      <w:r w:rsidRPr="23EB6D18">
        <w:rPr>
          <w:rFonts w:asciiTheme="majorHAnsi" w:hAnsiTheme="majorHAnsi"/>
        </w:rPr>
        <w:t>8,9%</w:t>
      </w:r>
      <w:r w:rsidR="006365FA">
        <w:rPr>
          <w:rFonts w:asciiTheme="majorHAnsi" w:hAnsiTheme="majorHAnsi"/>
        </w:rPr>
        <w:softHyphen/>
      </w:r>
      <w:r w:rsidR="00866C15" w:rsidRPr="23EB6D18">
        <w:rPr>
          <w:rFonts w:asciiTheme="majorHAnsi" w:hAnsiTheme="majorHAnsi"/>
        </w:rPr>
        <w:t>, mientras que 11,3% (set-17-ago-</w:t>
      </w:r>
      <w:r w:rsidR="00C452FA" w:rsidRPr="23EB6D18">
        <w:rPr>
          <w:rFonts w:asciiTheme="majorHAnsi" w:hAnsiTheme="majorHAnsi"/>
        </w:rPr>
        <w:t xml:space="preserve">18), se recuerda que durante 2018 se presentaron incrementos en los porcentajes de cotización en </w:t>
      </w:r>
      <w:r w:rsidR="00522596" w:rsidRPr="23EB6D18">
        <w:rPr>
          <w:rFonts w:asciiTheme="majorHAnsi" w:hAnsiTheme="majorHAnsi"/>
        </w:rPr>
        <w:t>enero y julio.</w:t>
      </w:r>
      <w:r w:rsidRPr="23EB6D18">
        <w:rPr>
          <w:rFonts w:asciiTheme="majorHAnsi" w:hAnsiTheme="majorHAnsi"/>
        </w:rPr>
        <w:t xml:space="preserve">  </w:t>
      </w:r>
    </w:p>
    <w:p w14:paraId="2BEFFD0C" w14:textId="5F9F2194" w:rsidR="00772349" w:rsidRPr="00613B2C" w:rsidRDefault="00772349" w:rsidP="00850B12">
      <w:pPr>
        <w:spacing w:after="0" w:line="240" w:lineRule="auto"/>
        <w:rPr>
          <w:rFonts w:asciiTheme="majorHAnsi" w:hAnsiTheme="majorHAnsi"/>
        </w:rPr>
      </w:pPr>
    </w:p>
    <w:p w14:paraId="76D80B58" w14:textId="24B31541" w:rsidR="00337559" w:rsidRDefault="00337559">
      <w:pPr>
        <w:rPr>
          <w:rFonts w:asciiTheme="majorHAnsi" w:hAnsiTheme="majorHAnsi"/>
        </w:rPr>
      </w:pPr>
      <w:r>
        <w:rPr>
          <w:rFonts w:asciiTheme="majorHAnsi" w:hAnsiTheme="majorHAnsi"/>
        </w:rPr>
        <w:br w:type="page"/>
      </w:r>
    </w:p>
    <w:p w14:paraId="05432C9E" w14:textId="77777777" w:rsidR="00006E79" w:rsidRPr="00613B2C" w:rsidRDefault="00006E79" w:rsidP="00850B12">
      <w:pPr>
        <w:spacing w:after="0" w:line="240" w:lineRule="auto"/>
        <w:rPr>
          <w:rFonts w:asciiTheme="majorHAnsi" w:hAnsiTheme="majorHAnsi"/>
        </w:rPr>
      </w:pPr>
    </w:p>
    <w:p w14:paraId="06D96E2B" w14:textId="7837D4C2" w:rsidR="00852DD8" w:rsidRDefault="00852DD8" w:rsidP="007D0BC7">
      <w:pPr>
        <w:spacing w:after="0" w:line="240" w:lineRule="auto"/>
        <w:jc w:val="center"/>
        <w:rPr>
          <w:rFonts w:asciiTheme="majorHAnsi" w:hAnsiTheme="majorHAnsi"/>
        </w:rPr>
      </w:pPr>
      <w:r>
        <w:rPr>
          <w:rFonts w:asciiTheme="majorHAnsi" w:hAnsiTheme="majorHAnsi"/>
        </w:rPr>
        <w:t>Cuadro 2</w:t>
      </w:r>
    </w:p>
    <w:p w14:paraId="5CBD7183" w14:textId="730F45A7" w:rsidR="007D0BC7" w:rsidRPr="00613B2C" w:rsidRDefault="007D0BC7" w:rsidP="007D0BC7">
      <w:pPr>
        <w:spacing w:after="0" w:line="240" w:lineRule="auto"/>
        <w:jc w:val="center"/>
        <w:rPr>
          <w:rFonts w:asciiTheme="majorHAnsi" w:hAnsiTheme="majorHAnsi"/>
        </w:rPr>
      </w:pPr>
      <w:r w:rsidRPr="00613B2C">
        <w:rPr>
          <w:rFonts w:asciiTheme="majorHAnsi" w:hAnsiTheme="majorHAnsi"/>
        </w:rPr>
        <w:t>ROP: Activos Administrados</w:t>
      </w:r>
    </w:p>
    <w:p w14:paraId="6AB886A1" w14:textId="77777777" w:rsidR="007D0BC7" w:rsidRPr="00613B2C" w:rsidRDefault="007D0BC7" w:rsidP="007D0BC7">
      <w:pPr>
        <w:spacing w:after="0" w:line="240" w:lineRule="auto"/>
        <w:jc w:val="center"/>
        <w:rPr>
          <w:rFonts w:asciiTheme="majorHAnsi" w:hAnsiTheme="majorHAnsi"/>
        </w:rPr>
      </w:pPr>
      <w:r w:rsidRPr="00613B2C">
        <w:rPr>
          <w:rFonts w:asciiTheme="majorHAnsi" w:hAnsiTheme="majorHAnsi"/>
        </w:rPr>
        <w:t>Millones de colones</w:t>
      </w:r>
    </w:p>
    <w:tbl>
      <w:tblPr>
        <w:tblW w:w="10781" w:type="dxa"/>
        <w:tblCellMar>
          <w:left w:w="70" w:type="dxa"/>
          <w:right w:w="70" w:type="dxa"/>
        </w:tblCellMar>
        <w:tblLook w:val="04A0" w:firstRow="1" w:lastRow="0" w:firstColumn="1" w:lastColumn="0" w:noHBand="0" w:noVBand="1"/>
      </w:tblPr>
      <w:tblGrid>
        <w:gridCol w:w="1666"/>
        <w:gridCol w:w="1878"/>
        <w:gridCol w:w="1478"/>
        <w:gridCol w:w="1141"/>
        <w:gridCol w:w="1141"/>
        <w:gridCol w:w="1141"/>
        <w:gridCol w:w="1141"/>
        <w:gridCol w:w="1195"/>
      </w:tblGrid>
      <w:tr w:rsidR="00935431" w:rsidRPr="00935431" w14:paraId="4E6F11FE" w14:textId="77777777" w:rsidTr="00E33D88">
        <w:trPr>
          <w:trHeight w:val="263"/>
        </w:trPr>
        <w:tc>
          <w:tcPr>
            <w:tcW w:w="1666" w:type="dxa"/>
            <w:tcBorders>
              <w:top w:val="nil"/>
              <w:left w:val="nil"/>
              <w:bottom w:val="single" w:sz="4" w:space="0" w:color="auto"/>
              <w:right w:val="nil"/>
            </w:tcBorders>
            <w:shd w:val="clear" w:color="auto" w:fill="auto"/>
            <w:noWrap/>
            <w:vAlign w:val="bottom"/>
            <w:hideMark/>
          </w:tcPr>
          <w:p w14:paraId="65F4DE56" w14:textId="3B3C9CC3" w:rsidR="00935431" w:rsidRPr="00935431" w:rsidRDefault="00935431" w:rsidP="00935431">
            <w:pPr>
              <w:spacing w:after="0" w:line="240" w:lineRule="auto"/>
              <w:jc w:val="center"/>
              <w:rPr>
                <w:rFonts w:ascii="Calibri" w:eastAsia="Times New Roman" w:hAnsi="Calibri" w:cs="Calibri"/>
                <w:b/>
                <w:bCs/>
                <w:color w:val="000000"/>
                <w:lang w:val="es-CR" w:eastAsia="es-CR"/>
              </w:rPr>
            </w:pPr>
          </w:p>
        </w:tc>
        <w:tc>
          <w:tcPr>
            <w:tcW w:w="1878" w:type="dxa"/>
            <w:tcBorders>
              <w:top w:val="nil"/>
              <w:left w:val="nil"/>
              <w:bottom w:val="single" w:sz="4" w:space="0" w:color="auto"/>
              <w:right w:val="nil"/>
            </w:tcBorders>
            <w:shd w:val="clear" w:color="auto" w:fill="auto"/>
            <w:noWrap/>
            <w:vAlign w:val="bottom"/>
            <w:hideMark/>
          </w:tcPr>
          <w:p w14:paraId="7E02859F" w14:textId="25D3304A" w:rsidR="00935431" w:rsidRPr="00935431" w:rsidRDefault="00935431" w:rsidP="00935431">
            <w:pPr>
              <w:spacing w:after="0" w:line="240" w:lineRule="auto"/>
              <w:jc w:val="center"/>
              <w:rPr>
                <w:rFonts w:ascii="Calibri" w:eastAsia="Times New Roman" w:hAnsi="Calibri" w:cs="Calibri"/>
                <w:b/>
                <w:bCs/>
                <w:color w:val="000000"/>
                <w:lang w:val="es-CR" w:eastAsia="es-CR"/>
              </w:rPr>
            </w:pPr>
            <w:r w:rsidRPr="00935431">
              <w:rPr>
                <w:rFonts w:ascii="Calibri" w:eastAsia="Times New Roman" w:hAnsi="Calibri" w:cs="Calibri"/>
                <w:b/>
                <w:bCs/>
                <w:color w:val="000000"/>
                <w:lang w:val="es-CR" w:eastAsia="es-CR"/>
              </w:rPr>
              <w:t>BN</w:t>
            </w:r>
            <w:r>
              <w:rPr>
                <w:rFonts w:ascii="Calibri" w:eastAsia="Times New Roman" w:hAnsi="Calibri" w:cs="Calibri"/>
                <w:b/>
                <w:bCs/>
                <w:color w:val="000000"/>
                <w:lang w:val="es-CR" w:eastAsia="es-CR"/>
              </w:rPr>
              <w:t xml:space="preserve"> </w:t>
            </w:r>
            <w:r w:rsidRPr="00935431">
              <w:rPr>
                <w:rFonts w:ascii="Calibri" w:eastAsia="Times New Roman" w:hAnsi="Calibri" w:cs="Calibri"/>
                <w:b/>
                <w:bCs/>
                <w:color w:val="000000"/>
                <w:lang w:val="es-CR" w:eastAsia="es-CR"/>
              </w:rPr>
              <w:t>Vital</w:t>
            </w:r>
          </w:p>
        </w:tc>
        <w:tc>
          <w:tcPr>
            <w:tcW w:w="1478" w:type="dxa"/>
            <w:tcBorders>
              <w:top w:val="nil"/>
              <w:left w:val="nil"/>
              <w:bottom w:val="single" w:sz="4" w:space="0" w:color="auto"/>
              <w:right w:val="nil"/>
            </w:tcBorders>
            <w:shd w:val="clear" w:color="auto" w:fill="auto"/>
            <w:noWrap/>
            <w:vAlign w:val="bottom"/>
            <w:hideMark/>
          </w:tcPr>
          <w:p w14:paraId="41CD12AF" w14:textId="494B4768" w:rsidR="00935431" w:rsidRPr="00935431" w:rsidRDefault="00E33D88" w:rsidP="00935431">
            <w:pPr>
              <w:spacing w:after="0" w:line="240" w:lineRule="auto"/>
              <w:jc w:val="center"/>
              <w:rPr>
                <w:rFonts w:ascii="Calibri" w:eastAsia="Times New Roman" w:hAnsi="Calibri" w:cs="Calibri"/>
                <w:b/>
                <w:bCs/>
                <w:color w:val="000000"/>
                <w:lang w:val="es-CR" w:eastAsia="es-CR"/>
              </w:rPr>
            </w:pPr>
            <w:r>
              <w:rPr>
                <w:rFonts w:ascii="Calibri" w:eastAsia="Times New Roman" w:hAnsi="Calibri" w:cs="Calibri"/>
                <w:b/>
                <w:bCs/>
                <w:color w:val="000000"/>
                <w:lang w:val="es-CR" w:eastAsia="es-CR"/>
              </w:rPr>
              <w:t xml:space="preserve">Popular </w:t>
            </w:r>
            <w:r w:rsidRPr="00935431">
              <w:rPr>
                <w:rFonts w:ascii="Calibri" w:eastAsia="Times New Roman" w:hAnsi="Calibri" w:cs="Calibri"/>
                <w:b/>
                <w:bCs/>
                <w:color w:val="000000"/>
                <w:lang w:val="es-CR" w:eastAsia="es-CR"/>
              </w:rPr>
              <w:t>Pensiones</w:t>
            </w:r>
          </w:p>
        </w:tc>
        <w:tc>
          <w:tcPr>
            <w:tcW w:w="1141" w:type="dxa"/>
            <w:tcBorders>
              <w:top w:val="nil"/>
              <w:left w:val="nil"/>
              <w:bottom w:val="single" w:sz="4" w:space="0" w:color="auto"/>
              <w:right w:val="nil"/>
            </w:tcBorders>
            <w:shd w:val="clear" w:color="auto" w:fill="auto"/>
            <w:noWrap/>
            <w:vAlign w:val="bottom"/>
            <w:hideMark/>
          </w:tcPr>
          <w:p w14:paraId="73528908" w14:textId="31F04F90" w:rsidR="00935431" w:rsidRPr="00935431" w:rsidRDefault="00935431" w:rsidP="00935431">
            <w:pPr>
              <w:spacing w:after="0" w:line="240" w:lineRule="auto"/>
              <w:jc w:val="center"/>
              <w:rPr>
                <w:rFonts w:ascii="Calibri" w:eastAsia="Times New Roman" w:hAnsi="Calibri" w:cs="Calibri"/>
                <w:b/>
                <w:bCs/>
                <w:color w:val="000000"/>
                <w:lang w:val="es-CR" w:eastAsia="es-CR"/>
              </w:rPr>
            </w:pPr>
            <w:r w:rsidRPr="00935431">
              <w:rPr>
                <w:rFonts w:ascii="Calibri" w:eastAsia="Times New Roman" w:hAnsi="Calibri" w:cs="Calibri"/>
                <w:b/>
                <w:bCs/>
                <w:color w:val="000000"/>
                <w:lang w:val="es-CR" w:eastAsia="es-CR"/>
              </w:rPr>
              <w:t>Vida</w:t>
            </w:r>
            <w:r>
              <w:rPr>
                <w:rFonts w:ascii="Calibri" w:eastAsia="Times New Roman" w:hAnsi="Calibri" w:cs="Calibri"/>
                <w:b/>
                <w:bCs/>
                <w:color w:val="000000"/>
                <w:lang w:val="es-CR" w:eastAsia="es-CR"/>
              </w:rPr>
              <w:t xml:space="preserve"> </w:t>
            </w:r>
            <w:r w:rsidRPr="00935431">
              <w:rPr>
                <w:rFonts w:ascii="Calibri" w:eastAsia="Times New Roman" w:hAnsi="Calibri" w:cs="Calibri"/>
                <w:b/>
                <w:bCs/>
                <w:color w:val="000000"/>
                <w:lang w:val="es-CR" w:eastAsia="es-CR"/>
              </w:rPr>
              <w:t>Plena</w:t>
            </w:r>
          </w:p>
        </w:tc>
        <w:tc>
          <w:tcPr>
            <w:tcW w:w="1141" w:type="dxa"/>
            <w:tcBorders>
              <w:top w:val="nil"/>
              <w:left w:val="nil"/>
              <w:bottom w:val="single" w:sz="4" w:space="0" w:color="auto"/>
              <w:right w:val="nil"/>
            </w:tcBorders>
            <w:shd w:val="clear" w:color="auto" w:fill="auto"/>
            <w:noWrap/>
            <w:vAlign w:val="bottom"/>
            <w:hideMark/>
          </w:tcPr>
          <w:p w14:paraId="405FE05B" w14:textId="25035A2B" w:rsidR="00935431" w:rsidRPr="00935431" w:rsidRDefault="00935431" w:rsidP="00935431">
            <w:pPr>
              <w:spacing w:after="0" w:line="240" w:lineRule="auto"/>
              <w:jc w:val="center"/>
              <w:rPr>
                <w:rFonts w:ascii="Calibri" w:eastAsia="Times New Roman" w:hAnsi="Calibri" w:cs="Calibri"/>
                <w:b/>
                <w:bCs/>
                <w:color w:val="000000"/>
                <w:lang w:val="es-CR" w:eastAsia="es-CR"/>
              </w:rPr>
            </w:pPr>
            <w:r w:rsidRPr="00935431">
              <w:rPr>
                <w:rFonts w:ascii="Calibri" w:eastAsia="Times New Roman" w:hAnsi="Calibri" w:cs="Calibri"/>
                <w:b/>
                <w:bCs/>
                <w:color w:val="000000"/>
                <w:lang w:val="es-CR" w:eastAsia="es-CR"/>
              </w:rPr>
              <w:t>BAC</w:t>
            </w:r>
            <w:r>
              <w:rPr>
                <w:rFonts w:ascii="Calibri" w:eastAsia="Times New Roman" w:hAnsi="Calibri" w:cs="Calibri"/>
                <w:b/>
                <w:bCs/>
                <w:color w:val="000000"/>
                <w:lang w:val="es-CR" w:eastAsia="es-CR"/>
              </w:rPr>
              <w:t xml:space="preserve"> </w:t>
            </w:r>
            <w:r w:rsidRPr="00935431">
              <w:rPr>
                <w:rFonts w:ascii="Calibri" w:eastAsia="Times New Roman" w:hAnsi="Calibri" w:cs="Calibri"/>
                <w:b/>
                <w:bCs/>
                <w:color w:val="000000"/>
                <w:lang w:val="es-CR" w:eastAsia="es-CR"/>
              </w:rPr>
              <w:t>SJ</w:t>
            </w:r>
            <w:r>
              <w:rPr>
                <w:rFonts w:ascii="Calibri" w:eastAsia="Times New Roman" w:hAnsi="Calibri" w:cs="Calibri"/>
                <w:b/>
                <w:bCs/>
                <w:color w:val="000000"/>
                <w:lang w:val="es-CR" w:eastAsia="es-CR"/>
              </w:rPr>
              <w:t xml:space="preserve"> </w:t>
            </w:r>
            <w:r w:rsidRPr="00935431">
              <w:rPr>
                <w:rFonts w:ascii="Calibri" w:eastAsia="Times New Roman" w:hAnsi="Calibri" w:cs="Calibri"/>
                <w:b/>
                <w:bCs/>
                <w:color w:val="000000"/>
                <w:lang w:val="es-CR" w:eastAsia="es-CR"/>
              </w:rPr>
              <w:t>Pensiones</w:t>
            </w:r>
          </w:p>
        </w:tc>
        <w:tc>
          <w:tcPr>
            <w:tcW w:w="1141" w:type="dxa"/>
            <w:tcBorders>
              <w:top w:val="nil"/>
              <w:left w:val="nil"/>
              <w:bottom w:val="single" w:sz="4" w:space="0" w:color="auto"/>
              <w:right w:val="nil"/>
            </w:tcBorders>
            <w:shd w:val="clear" w:color="auto" w:fill="auto"/>
            <w:noWrap/>
            <w:vAlign w:val="bottom"/>
            <w:hideMark/>
          </w:tcPr>
          <w:p w14:paraId="392EE4FE" w14:textId="0CA6E8C9" w:rsidR="00935431" w:rsidRPr="00935431" w:rsidRDefault="00935431" w:rsidP="00935431">
            <w:pPr>
              <w:spacing w:after="0" w:line="240" w:lineRule="auto"/>
              <w:jc w:val="center"/>
              <w:rPr>
                <w:rFonts w:ascii="Calibri" w:eastAsia="Times New Roman" w:hAnsi="Calibri" w:cs="Calibri"/>
                <w:b/>
                <w:bCs/>
                <w:color w:val="000000"/>
                <w:lang w:val="es-CR" w:eastAsia="es-CR"/>
              </w:rPr>
            </w:pPr>
            <w:r w:rsidRPr="00935431">
              <w:rPr>
                <w:rFonts w:ascii="Calibri" w:eastAsia="Times New Roman" w:hAnsi="Calibri" w:cs="Calibri"/>
                <w:b/>
                <w:bCs/>
                <w:color w:val="000000"/>
                <w:lang w:val="es-CR" w:eastAsia="es-CR"/>
              </w:rPr>
              <w:t>BCR</w:t>
            </w:r>
            <w:r>
              <w:rPr>
                <w:rFonts w:ascii="Calibri" w:eastAsia="Times New Roman" w:hAnsi="Calibri" w:cs="Calibri"/>
                <w:b/>
                <w:bCs/>
                <w:color w:val="000000"/>
                <w:lang w:val="es-CR" w:eastAsia="es-CR"/>
              </w:rPr>
              <w:t xml:space="preserve"> </w:t>
            </w:r>
            <w:r w:rsidRPr="00935431">
              <w:rPr>
                <w:rFonts w:ascii="Calibri" w:eastAsia="Times New Roman" w:hAnsi="Calibri" w:cs="Calibri"/>
                <w:b/>
                <w:bCs/>
                <w:color w:val="000000"/>
                <w:lang w:val="es-CR" w:eastAsia="es-CR"/>
              </w:rPr>
              <w:t>Pensión</w:t>
            </w:r>
          </w:p>
        </w:tc>
        <w:tc>
          <w:tcPr>
            <w:tcW w:w="1141" w:type="dxa"/>
            <w:tcBorders>
              <w:top w:val="nil"/>
              <w:left w:val="nil"/>
              <w:bottom w:val="single" w:sz="4" w:space="0" w:color="auto"/>
              <w:right w:val="nil"/>
            </w:tcBorders>
            <w:shd w:val="clear" w:color="auto" w:fill="auto"/>
            <w:noWrap/>
            <w:vAlign w:val="bottom"/>
            <w:hideMark/>
          </w:tcPr>
          <w:p w14:paraId="5713A742" w14:textId="77777777" w:rsidR="00935431" w:rsidRPr="00935431" w:rsidRDefault="00935431" w:rsidP="00935431">
            <w:pPr>
              <w:spacing w:after="0" w:line="240" w:lineRule="auto"/>
              <w:jc w:val="center"/>
              <w:rPr>
                <w:rFonts w:ascii="Calibri" w:eastAsia="Times New Roman" w:hAnsi="Calibri" w:cs="Calibri"/>
                <w:b/>
                <w:bCs/>
                <w:color w:val="000000"/>
                <w:lang w:val="es-CR" w:eastAsia="es-CR"/>
              </w:rPr>
            </w:pPr>
            <w:r w:rsidRPr="00935431">
              <w:rPr>
                <w:rFonts w:ascii="Calibri" w:eastAsia="Times New Roman" w:hAnsi="Calibri" w:cs="Calibri"/>
                <w:b/>
                <w:bCs/>
                <w:color w:val="000000"/>
                <w:lang w:val="es-CR" w:eastAsia="es-CR"/>
              </w:rPr>
              <w:t>CCSS-OPC</w:t>
            </w:r>
          </w:p>
        </w:tc>
        <w:tc>
          <w:tcPr>
            <w:tcW w:w="1195" w:type="dxa"/>
            <w:tcBorders>
              <w:top w:val="nil"/>
              <w:left w:val="nil"/>
              <w:bottom w:val="single" w:sz="4" w:space="0" w:color="auto"/>
              <w:right w:val="nil"/>
            </w:tcBorders>
            <w:shd w:val="clear" w:color="auto" w:fill="auto"/>
            <w:noWrap/>
            <w:vAlign w:val="bottom"/>
            <w:hideMark/>
          </w:tcPr>
          <w:p w14:paraId="280477A7" w14:textId="7A3D0D3B" w:rsidR="00935431" w:rsidRPr="00935431" w:rsidRDefault="00935431" w:rsidP="00935431">
            <w:pPr>
              <w:spacing w:after="0" w:line="240" w:lineRule="auto"/>
              <w:jc w:val="center"/>
              <w:rPr>
                <w:rFonts w:ascii="Calibri" w:eastAsia="Times New Roman" w:hAnsi="Calibri" w:cs="Calibri"/>
                <w:b/>
                <w:bCs/>
                <w:color w:val="000000"/>
                <w:lang w:val="es-CR" w:eastAsia="es-CR"/>
              </w:rPr>
            </w:pPr>
            <w:proofErr w:type="gramStart"/>
            <w:r w:rsidRPr="00935431">
              <w:rPr>
                <w:rFonts w:ascii="Calibri" w:eastAsia="Times New Roman" w:hAnsi="Calibri" w:cs="Calibri"/>
                <w:b/>
                <w:bCs/>
                <w:color w:val="000000"/>
                <w:lang w:val="es-CR" w:eastAsia="es-CR"/>
              </w:rPr>
              <w:t>Total</w:t>
            </w:r>
            <w:proofErr w:type="gramEnd"/>
            <w:r>
              <w:rPr>
                <w:rFonts w:ascii="Calibri" w:eastAsia="Times New Roman" w:hAnsi="Calibri" w:cs="Calibri"/>
                <w:b/>
                <w:bCs/>
                <w:color w:val="000000"/>
                <w:lang w:val="es-CR" w:eastAsia="es-CR"/>
              </w:rPr>
              <w:t xml:space="preserve"> </w:t>
            </w:r>
            <w:r w:rsidRPr="00935431">
              <w:rPr>
                <w:rFonts w:ascii="Calibri" w:eastAsia="Times New Roman" w:hAnsi="Calibri" w:cs="Calibri"/>
                <w:b/>
                <w:bCs/>
                <w:color w:val="000000"/>
                <w:lang w:val="es-CR" w:eastAsia="es-CR"/>
              </w:rPr>
              <w:t>ROP</w:t>
            </w:r>
          </w:p>
        </w:tc>
      </w:tr>
      <w:tr w:rsidR="00935431" w:rsidRPr="00935431" w14:paraId="6E1192B8" w14:textId="77777777" w:rsidTr="00E33D88">
        <w:trPr>
          <w:trHeight w:val="263"/>
        </w:trPr>
        <w:tc>
          <w:tcPr>
            <w:tcW w:w="1666" w:type="dxa"/>
            <w:tcBorders>
              <w:top w:val="nil"/>
              <w:left w:val="nil"/>
              <w:bottom w:val="nil"/>
              <w:right w:val="nil"/>
            </w:tcBorders>
            <w:shd w:val="clear" w:color="auto" w:fill="auto"/>
            <w:noWrap/>
            <w:vAlign w:val="bottom"/>
            <w:hideMark/>
          </w:tcPr>
          <w:p w14:paraId="16120C53" w14:textId="0399A5E2"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Set-10</w:t>
            </w:r>
          </w:p>
        </w:tc>
        <w:tc>
          <w:tcPr>
            <w:tcW w:w="1878" w:type="dxa"/>
            <w:tcBorders>
              <w:top w:val="nil"/>
              <w:left w:val="nil"/>
              <w:bottom w:val="nil"/>
              <w:right w:val="nil"/>
            </w:tcBorders>
            <w:shd w:val="clear" w:color="auto" w:fill="auto"/>
            <w:noWrap/>
            <w:vAlign w:val="bottom"/>
            <w:hideMark/>
          </w:tcPr>
          <w:p w14:paraId="4D6F97D4" w14:textId="53A0E3AB"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319.365</w:t>
            </w:r>
          </w:p>
        </w:tc>
        <w:tc>
          <w:tcPr>
            <w:tcW w:w="1478" w:type="dxa"/>
            <w:tcBorders>
              <w:top w:val="nil"/>
              <w:left w:val="nil"/>
              <w:bottom w:val="nil"/>
              <w:right w:val="nil"/>
            </w:tcBorders>
            <w:shd w:val="clear" w:color="auto" w:fill="auto"/>
            <w:noWrap/>
            <w:vAlign w:val="bottom"/>
            <w:hideMark/>
          </w:tcPr>
          <w:p w14:paraId="4D208B63" w14:textId="416574D7"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402.104</w:t>
            </w:r>
          </w:p>
        </w:tc>
        <w:tc>
          <w:tcPr>
            <w:tcW w:w="1141" w:type="dxa"/>
            <w:tcBorders>
              <w:top w:val="nil"/>
              <w:left w:val="nil"/>
              <w:bottom w:val="nil"/>
              <w:right w:val="nil"/>
            </w:tcBorders>
            <w:shd w:val="clear" w:color="auto" w:fill="auto"/>
            <w:noWrap/>
            <w:vAlign w:val="bottom"/>
            <w:hideMark/>
          </w:tcPr>
          <w:p w14:paraId="749039F7" w14:textId="49F65123"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153.309</w:t>
            </w:r>
          </w:p>
        </w:tc>
        <w:tc>
          <w:tcPr>
            <w:tcW w:w="1141" w:type="dxa"/>
            <w:tcBorders>
              <w:top w:val="nil"/>
              <w:left w:val="nil"/>
              <w:bottom w:val="nil"/>
              <w:right w:val="nil"/>
            </w:tcBorders>
            <w:shd w:val="clear" w:color="auto" w:fill="auto"/>
            <w:noWrap/>
            <w:vAlign w:val="bottom"/>
            <w:hideMark/>
          </w:tcPr>
          <w:p w14:paraId="5C0CB33D" w14:textId="75FE40E4"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139.164</w:t>
            </w:r>
          </w:p>
        </w:tc>
        <w:tc>
          <w:tcPr>
            <w:tcW w:w="1141" w:type="dxa"/>
            <w:tcBorders>
              <w:top w:val="nil"/>
              <w:left w:val="nil"/>
              <w:bottom w:val="nil"/>
              <w:right w:val="nil"/>
            </w:tcBorders>
            <w:shd w:val="clear" w:color="auto" w:fill="auto"/>
            <w:noWrap/>
            <w:vAlign w:val="bottom"/>
            <w:hideMark/>
          </w:tcPr>
          <w:p w14:paraId="6E450466" w14:textId="21E82C4D"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196.381</w:t>
            </w:r>
          </w:p>
        </w:tc>
        <w:tc>
          <w:tcPr>
            <w:tcW w:w="1141" w:type="dxa"/>
            <w:tcBorders>
              <w:top w:val="nil"/>
              <w:left w:val="nil"/>
              <w:bottom w:val="nil"/>
              <w:right w:val="nil"/>
            </w:tcBorders>
            <w:shd w:val="clear" w:color="auto" w:fill="auto"/>
            <w:noWrap/>
            <w:vAlign w:val="bottom"/>
            <w:hideMark/>
          </w:tcPr>
          <w:p w14:paraId="68C6A3B4" w14:textId="304328A1"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42.199</w:t>
            </w:r>
          </w:p>
        </w:tc>
        <w:tc>
          <w:tcPr>
            <w:tcW w:w="1195" w:type="dxa"/>
            <w:tcBorders>
              <w:top w:val="nil"/>
              <w:left w:val="nil"/>
              <w:bottom w:val="nil"/>
              <w:right w:val="nil"/>
            </w:tcBorders>
            <w:shd w:val="clear" w:color="auto" w:fill="auto"/>
            <w:noWrap/>
            <w:vAlign w:val="bottom"/>
            <w:hideMark/>
          </w:tcPr>
          <w:p w14:paraId="27832AE6" w14:textId="17109B58"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1.252.522</w:t>
            </w:r>
          </w:p>
        </w:tc>
      </w:tr>
      <w:tr w:rsidR="00935431" w:rsidRPr="00935431" w14:paraId="30ED0B66" w14:textId="77777777" w:rsidTr="00E33D88">
        <w:trPr>
          <w:trHeight w:val="263"/>
        </w:trPr>
        <w:tc>
          <w:tcPr>
            <w:tcW w:w="1666" w:type="dxa"/>
            <w:tcBorders>
              <w:top w:val="nil"/>
              <w:left w:val="nil"/>
              <w:bottom w:val="nil"/>
              <w:right w:val="nil"/>
            </w:tcBorders>
            <w:shd w:val="clear" w:color="auto" w:fill="auto"/>
            <w:noWrap/>
            <w:vAlign w:val="bottom"/>
            <w:hideMark/>
          </w:tcPr>
          <w:p w14:paraId="33367C87" w14:textId="732444A6"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Set-11</w:t>
            </w:r>
          </w:p>
        </w:tc>
        <w:tc>
          <w:tcPr>
            <w:tcW w:w="1878" w:type="dxa"/>
            <w:tcBorders>
              <w:top w:val="nil"/>
              <w:left w:val="nil"/>
              <w:bottom w:val="nil"/>
              <w:right w:val="nil"/>
            </w:tcBorders>
            <w:shd w:val="clear" w:color="auto" w:fill="auto"/>
            <w:noWrap/>
            <w:vAlign w:val="bottom"/>
            <w:hideMark/>
          </w:tcPr>
          <w:p w14:paraId="4C541F3C" w14:textId="104EAD18"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378.821</w:t>
            </w:r>
          </w:p>
        </w:tc>
        <w:tc>
          <w:tcPr>
            <w:tcW w:w="1478" w:type="dxa"/>
            <w:tcBorders>
              <w:top w:val="nil"/>
              <w:left w:val="nil"/>
              <w:bottom w:val="nil"/>
              <w:right w:val="nil"/>
            </w:tcBorders>
            <w:shd w:val="clear" w:color="auto" w:fill="auto"/>
            <w:noWrap/>
            <w:vAlign w:val="bottom"/>
            <w:hideMark/>
          </w:tcPr>
          <w:p w14:paraId="523F129E" w14:textId="434392ED"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657.185</w:t>
            </w:r>
          </w:p>
        </w:tc>
        <w:tc>
          <w:tcPr>
            <w:tcW w:w="1141" w:type="dxa"/>
            <w:tcBorders>
              <w:top w:val="nil"/>
              <w:left w:val="nil"/>
              <w:bottom w:val="nil"/>
              <w:right w:val="nil"/>
            </w:tcBorders>
            <w:shd w:val="clear" w:color="auto" w:fill="auto"/>
            <w:noWrap/>
            <w:vAlign w:val="bottom"/>
            <w:hideMark/>
          </w:tcPr>
          <w:p w14:paraId="58BA1EB9" w14:textId="4DF1C16C"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195.181</w:t>
            </w:r>
          </w:p>
        </w:tc>
        <w:tc>
          <w:tcPr>
            <w:tcW w:w="1141" w:type="dxa"/>
            <w:tcBorders>
              <w:top w:val="nil"/>
              <w:left w:val="nil"/>
              <w:bottom w:val="nil"/>
              <w:right w:val="nil"/>
            </w:tcBorders>
            <w:shd w:val="clear" w:color="auto" w:fill="auto"/>
            <w:noWrap/>
            <w:vAlign w:val="bottom"/>
            <w:hideMark/>
          </w:tcPr>
          <w:p w14:paraId="77398B8D" w14:textId="1CFFD2EF"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187.951</w:t>
            </w:r>
          </w:p>
        </w:tc>
        <w:tc>
          <w:tcPr>
            <w:tcW w:w="1141" w:type="dxa"/>
            <w:tcBorders>
              <w:top w:val="nil"/>
              <w:left w:val="nil"/>
              <w:bottom w:val="nil"/>
              <w:right w:val="nil"/>
            </w:tcBorders>
            <w:shd w:val="clear" w:color="auto" w:fill="auto"/>
            <w:noWrap/>
            <w:vAlign w:val="bottom"/>
            <w:hideMark/>
          </w:tcPr>
          <w:p w14:paraId="75AB9316" w14:textId="4EA83524"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248.303</w:t>
            </w:r>
          </w:p>
        </w:tc>
        <w:tc>
          <w:tcPr>
            <w:tcW w:w="1141" w:type="dxa"/>
            <w:tcBorders>
              <w:top w:val="nil"/>
              <w:left w:val="nil"/>
              <w:bottom w:val="nil"/>
              <w:right w:val="nil"/>
            </w:tcBorders>
            <w:shd w:val="clear" w:color="auto" w:fill="auto"/>
            <w:noWrap/>
            <w:vAlign w:val="bottom"/>
            <w:hideMark/>
          </w:tcPr>
          <w:p w14:paraId="52369E5D" w14:textId="0807AD4C"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56.249</w:t>
            </w:r>
          </w:p>
        </w:tc>
        <w:tc>
          <w:tcPr>
            <w:tcW w:w="1195" w:type="dxa"/>
            <w:tcBorders>
              <w:top w:val="nil"/>
              <w:left w:val="nil"/>
              <w:bottom w:val="nil"/>
              <w:right w:val="nil"/>
            </w:tcBorders>
            <w:shd w:val="clear" w:color="auto" w:fill="auto"/>
            <w:noWrap/>
            <w:vAlign w:val="bottom"/>
            <w:hideMark/>
          </w:tcPr>
          <w:p w14:paraId="14663ADE" w14:textId="51DAA7FA"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1.723.690</w:t>
            </w:r>
          </w:p>
        </w:tc>
      </w:tr>
      <w:tr w:rsidR="00935431" w:rsidRPr="00935431" w14:paraId="58DABA41" w14:textId="77777777" w:rsidTr="00E33D88">
        <w:trPr>
          <w:trHeight w:val="263"/>
        </w:trPr>
        <w:tc>
          <w:tcPr>
            <w:tcW w:w="1666" w:type="dxa"/>
            <w:tcBorders>
              <w:top w:val="nil"/>
              <w:left w:val="nil"/>
              <w:bottom w:val="nil"/>
              <w:right w:val="nil"/>
            </w:tcBorders>
            <w:shd w:val="clear" w:color="auto" w:fill="auto"/>
            <w:noWrap/>
            <w:vAlign w:val="bottom"/>
            <w:hideMark/>
          </w:tcPr>
          <w:p w14:paraId="10DB1D1A" w14:textId="4C6AFD4F"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Set-12</w:t>
            </w:r>
          </w:p>
        </w:tc>
        <w:tc>
          <w:tcPr>
            <w:tcW w:w="1878" w:type="dxa"/>
            <w:tcBorders>
              <w:top w:val="nil"/>
              <w:left w:val="nil"/>
              <w:bottom w:val="nil"/>
              <w:right w:val="nil"/>
            </w:tcBorders>
            <w:shd w:val="clear" w:color="auto" w:fill="auto"/>
            <w:noWrap/>
            <w:vAlign w:val="bottom"/>
            <w:hideMark/>
          </w:tcPr>
          <w:p w14:paraId="40F82824" w14:textId="40E7CE35"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444.490</w:t>
            </w:r>
          </w:p>
        </w:tc>
        <w:tc>
          <w:tcPr>
            <w:tcW w:w="1478" w:type="dxa"/>
            <w:tcBorders>
              <w:top w:val="nil"/>
              <w:left w:val="nil"/>
              <w:bottom w:val="nil"/>
              <w:right w:val="nil"/>
            </w:tcBorders>
            <w:shd w:val="clear" w:color="auto" w:fill="auto"/>
            <w:noWrap/>
            <w:vAlign w:val="bottom"/>
            <w:hideMark/>
          </w:tcPr>
          <w:p w14:paraId="0B28C1AD" w14:textId="7431A278"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753.826</w:t>
            </w:r>
          </w:p>
        </w:tc>
        <w:tc>
          <w:tcPr>
            <w:tcW w:w="1141" w:type="dxa"/>
            <w:tcBorders>
              <w:top w:val="nil"/>
              <w:left w:val="nil"/>
              <w:bottom w:val="nil"/>
              <w:right w:val="nil"/>
            </w:tcBorders>
            <w:shd w:val="clear" w:color="auto" w:fill="auto"/>
            <w:noWrap/>
            <w:vAlign w:val="bottom"/>
            <w:hideMark/>
          </w:tcPr>
          <w:p w14:paraId="359AC019" w14:textId="426AEB11"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245.736</w:t>
            </w:r>
          </w:p>
        </w:tc>
        <w:tc>
          <w:tcPr>
            <w:tcW w:w="1141" w:type="dxa"/>
            <w:tcBorders>
              <w:top w:val="nil"/>
              <w:left w:val="nil"/>
              <w:bottom w:val="nil"/>
              <w:right w:val="nil"/>
            </w:tcBorders>
            <w:shd w:val="clear" w:color="auto" w:fill="auto"/>
            <w:noWrap/>
            <w:vAlign w:val="bottom"/>
            <w:hideMark/>
          </w:tcPr>
          <w:p w14:paraId="0CC8460B" w14:textId="15EE2B30"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230.327</w:t>
            </w:r>
          </w:p>
        </w:tc>
        <w:tc>
          <w:tcPr>
            <w:tcW w:w="1141" w:type="dxa"/>
            <w:tcBorders>
              <w:top w:val="nil"/>
              <w:left w:val="nil"/>
              <w:bottom w:val="nil"/>
              <w:right w:val="nil"/>
            </w:tcBorders>
            <w:shd w:val="clear" w:color="auto" w:fill="auto"/>
            <w:noWrap/>
            <w:vAlign w:val="bottom"/>
            <w:hideMark/>
          </w:tcPr>
          <w:p w14:paraId="7A33C7FE" w14:textId="71B4D047"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299.886</w:t>
            </w:r>
          </w:p>
        </w:tc>
        <w:tc>
          <w:tcPr>
            <w:tcW w:w="1141" w:type="dxa"/>
            <w:tcBorders>
              <w:top w:val="nil"/>
              <w:left w:val="nil"/>
              <w:bottom w:val="nil"/>
              <w:right w:val="nil"/>
            </w:tcBorders>
            <w:shd w:val="clear" w:color="auto" w:fill="auto"/>
            <w:noWrap/>
            <w:vAlign w:val="bottom"/>
            <w:hideMark/>
          </w:tcPr>
          <w:p w14:paraId="2F8C5DBA" w14:textId="46FC531A"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64.885</w:t>
            </w:r>
          </w:p>
        </w:tc>
        <w:tc>
          <w:tcPr>
            <w:tcW w:w="1195" w:type="dxa"/>
            <w:tcBorders>
              <w:top w:val="nil"/>
              <w:left w:val="nil"/>
              <w:bottom w:val="nil"/>
              <w:right w:val="nil"/>
            </w:tcBorders>
            <w:shd w:val="clear" w:color="auto" w:fill="auto"/>
            <w:noWrap/>
            <w:vAlign w:val="bottom"/>
            <w:hideMark/>
          </w:tcPr>
          <w:p w14:paraId="36F46530" w14:textId="2FBF1D66"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2.039.150</w:t>
            </w:r>
          </w:p>
        </w:tc>
      </w:tr>
      <w:tr w:rsidR="00935431" w:rsidRPr="00935431" w14:paraId="43D7BA61" w14:textId="77777777" w:rsidTr="00E33D88">
        <w:trPr>
          <w:trHeight w:val="263"/>
        </w:trPr>
        <w:tc>
          <w:tcPr>
            <w:tcW w:w="1666" w:type="dxa"/>
            <w:tcBorders>
              <w:top w:val="nil"/>
              <w:left w:val="nil"/>
              <w:bottom w:val="nil"/>
              <w:right w:val="nil"/>
            </w:tcBorders>
            <w:shd w:val="clear" w:color="auto" w:fill="auto"/>
            <w:noWrap/>
            <w:vAlign w:val="bottom"/>
            <w:hideMark/>
          </w:tcPr>
          <w:p w14:paraId="5A2824F5" w14:textId="51D7AE11"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Set-13</w:t>
            </w:r>
          </w:p>
        </w:tc>
        <w:tc>
          <w:tcPr>
            <w:tcW w:w="1878" w:type="dxa"/>
            <w:tcBorders>
              <w:top w:val="nil"/>
              <w:left w:val="nil"/>
              <w:bottom w:val="nil"/>
              <w:right w:val="nil"/>
            </w:tcBorders>
            <w:shd w:val="clear" w:color="auto" w:fill="auto"/>
            <w:noWrap/>
            <w:vAlign w:val="bottom"/>
            <w:hideMark/>
          </w:tcPr>
          <w:p w14:paraId="511EA092" w14:textId="1D9A564C"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575.871</w:t>
            </w:r>
          </w:p>
        </w:tc>
        <w:tc>
          <w:tcPr>
            <w:tcW w:w="1478" w:type="dxa"/>
            <w:tcBorders>
              <w:top w:val="nil"/>
              <w:left w:val="nil"/>
              <w:bottom w:val="nil"/>
              <w:right w:val="nil"/>
            </w:tcBorders>
            <w:shd w:val="clear" w:color="auto" w:fill="auto"/>
            <w:noWrap/>
            <w:vAlign w:val="bottom"/>
            <w:hideMark/>
          </w:tcPr>
          <w:p w14:paraId="1F02EB84" w14:textId="1A571293"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975.899</w:t>
            </w:r>
          </w:p>
        </w:tc>
        <w:tc>
          <w:tcPr>
            <w:tcW w:w="1141" w:type="dxa"/>
            <w:tcBorders>
              <w:top w:val="nil"/>
              <w:left w:val="nil"/>
              <w:bottom w:val="nil"/>
              <w:right w:val="nil"/>
            </w:tcBorders>
            <w:shd w:val="clear" w:color="auto" w:fill="auto"/>
            <w:noWrap/>
            <w:vAlign w:val="bottom"/>
            <w:hideMark/>
          </w:tcPr>
          <w:p w14:paraId="4E11DEB3" w14:textId="1CB42103"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323.755</w:t>
            </w:r>
          </w:p>
        </w:tc>
        <w:tc>
          <w:tcPr>
            <w:tcW w:w="1141" w:type="dxa"/>
            <w:tcBorders>
              <w:top w:val="nil"/>
              <w:left w:val="nil"/>
              <w:bottom w:val="nil"/>
              <w:right w:val="nil"/>
            </w:tcBorders>
            <w:shd w:val="clear" w:color="auto" w:fill="auto"/>
            <w:noWrap/>
            <w:vAlign w:val="bottom"/>
            <w:hideMark/>
          </w:tcPr>
          <w:p w14:paraId="1E995843" w14:textId="6D68D8E5"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311.830</w:t>
            </w:r>
          </w:p>
        </w:tc>
        <w:tc>
          <w:tcPr>
            <w:tcW w:w="1141" w:type="dxa"/>
            <w:tcBorders>
              <w:top w:val="nil"/>
              <w:left w:val="nil"/>
              <w:bottom w:val="nil"/>
              <w:right w:val="nil"/>
            </w:tcBorders>
            <w:shd w:val="clear" w:color="auto" w:fill="auto"/>
            <w:noWrap/>
            <w:vAlign w:val="bottom"/>
            <w:hideMark/>
          </w:tcPr>
          <w:p w14:paraId="7BDBD701" w14:textId="4290CB44"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414.350</w:t>
            </w:r>
          </w:p>
        </w:tc>
        <w:tc>
          <w:tcPr>
            <w:tcW w:w="1141" w:type="dxa"/>
            <w:tcBorders>
              <w:top w:val="nil"/>
              <w:left w:val="nil"/>
              <w:bottom w:val="nil"/>
              <w:right w:val="nil"/>
            </w:tcBorders>
            <w:shd w:val="clear" w:color="auto" w:fill="auto"/>
            <w:noWrap/>
            <w:vAlign w:val="bottom"/>
            <w:hideMark/>
          </w:tcPr>
          <w:p w14:paraId="3BD44B4F" w14:textId="6D2B60EA"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86.898</w:t>
            </w:r>
          </w:p>
        </w:tc>
        <w:tc>
          <w:tcPr>
            <w:tcW w:w="1195" w:type="dxa"/>
            <w:tcBorders>
              <w:top w:val="nil"/>
              <w:left w:val="nil"/>
              <w:bottom w:val="nil"/>
              <w:right w:val="nil"/>
            </w:tcBorders>
            <w:shd w:val="clear" w:color="auto" w:fill="auto"/>
            <w:noWrap/>
            <w:vAlign w:val="bottom"/>
            <w:hideMark/>
          </w:tcPr>
          <w:p w14:paraId="5A59D89C" w14:textId="2B6B461C"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2.688.603</w:t>
            </w:r>
          </w:p>
        </w:tc>
      </w:tr>
      <w:tr w:rsidR="00935431" w:rsidRPr="00935431" w14:paraId="4E76248F" w14:textId="77777777" w:rsidTr="00E33D88">
        <w:trPr>
          <w:trHeight w:val="263"/>
        </w:trPr>
        <w:tc>
          <w:tcPr>
            <w:tcW w:w="1666" w:type="dxa"/>
            <w:tcBorders>
              <w:top w:val="nil"/>
              <w:left w:val="nil"/>
              <w:bottom w:val="nil"/>
              <w:right w:val="nil"/>
            </w:tcBorders>
            <w:shd w:val="clear" w:color="auto" w:fill="auto"/>
            <w:noWrap/>
            <w:vAlign w:val="bottom"/>
            <w:hideMark/>
          </w:tcPr>
          <w:p w14:paraId="4615EFAF" w14:textId="4D6D5E70"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Set-14</w:t>
            </w:r>
          </w:p>
        </w:tc>
        <w:tc>
          <w:tcPr>
            <w:tcW w:w="1878" w:type="dxa"/>
            <w:tcBorders>
              <w:top w:val="nil"/>
              <w:left w:val="nil"/>
              <w:bottom w:val="nil"/>
              <w:right w:val="nil"/>
            </w:tcBorders>
            <w:shd w:val="clear" w:color="auto" w:fill="auto"/>
            <w:noWrap/>
            <w:vAlign w:val="bottom"/>
            <w:hideMark/>
          </w:tcPr>
          <w:p w14:paraId="5298DB40" w14:textId="19C99057"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665.234</w:t>
            </w:r>
          </w:p>
        </w:tc>
        <w:tc>
          <w:tcPr>
            <w:tcW w:w="1478" w:type="dxa"/>
            <w:tcBorders>
              <w:top w:val="nil"/>
              <w:left w:val="nil"/>
              <w:bottom w:val="nil"/>
              <w:right w:val="nil"/>
            </w:tcBorders>
            <w:shd w:val="clear" w:color="auto" w:fill="auto"/>
            <w:noWrap/>
            <w:vAlign w:val="bottom"/>
            <w:hideMark/>
          </w:tcPr>
          <w:p w14:paraId="4D1FF573" w14:textId="3B5AD1E1"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1.142.700</w:t>
            </w:r>
          </w:p>
        </w:tc>
        <w:tc>
          <w:tcPr>
            <w:tcW w:w="1141" w:type="dxa"/>
            <w:tcBorders>
              <w:top w:val="nil"/>
              <w:left w:val="nil"/>
              <w:bottom w:val="nil"/>
              <w:right w:val="nil"/>
            </w:tcBorders>
            <w:shd w:val="clear" w:color="auto" w:fill="auto"/>
            <w:noWrap/>
            <w:vAlign w:val="bottom"/>
            <w:hideMark/>
          </w:tcPr>
          <w:p w14:paraId="5E181664" w14:textId="3AB6CDCD"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375.020</w:t>
            </w:r>
          </w:p>
        </w:tc>
        <w:tc>
          <w:tcPr>
            <w:tcW w:w="1141" w:type="dxa"/>
            <w:tcBorders>
              <w:top w:val="nil"/>
              <w:left w:val="nil"/>
              <w:bottom w:val="nil"/>
              <w:right w:val="nil"/>
            </w:tcBorders>
            <w:shd w:val="clear" w:color="auto" w:fill="auto"/>
            <w:noWrap/>
            <w:vAlign w:val="bottom"/>
            <w:hideMark/>
          </w:tcPr>
          <w:p w14:paraId="5D1FDD75" w14:textId="37CA7D3B"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373.278</w:t>
            </w:r>
          </w:p>
        </w:tc>
        <w:tc>
          <w:tcPr>
            <w:tcW w:w="1141" w:type="dxa"/>
            <w:tcBorders>
              <w:top w:val="nil"/>
              <w:left w:val="nil"/>
              <w:bottom w:val="nil"/>
              <w:right w:val="nil"/>
            </w:tcBorders>
            <w:shd w:val="clear" w:color="auto" w:fill="auto"/>
            <w:noWrap/>
            <w:vAlign w:val="bottom"/>
            <w:hideMark/>
          </w:tcPr>
          <w:p w14:paraId="2A7FB742" w14:textId="0F3BE11B"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476.096</w:t>
            </w:r>
          </w:p>
        </w:tc>
        <w:tc>
          <w:tcPr>
            <w:tcW w:w="1141" w:type="dxa"/>
            <w:tcBorders>
              <w:top w:val="nil"/>
              <w:left w:val="nil"/>
              <w:bottom w:val="nil"/>
              <w:right w:val="nil"/>
            </w:tcBorders>
            <w:shd w:val="clear" w:color="auto" w:fill="auto"/>
            <w:noWrap/>
            <w:vAlign w:val="bottom"/>
            <w:hideMark/>
          </w:tcPr>
          <w:p w14:paraId="00A62C15" w14:textId="3E8801FE"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101.041</w:t>
            </w:r>
          </w:p>
        </w:tc>
        <w:tc>
          <w:tcPr>
            <w:tcW w:w="1195" w:type="dxa"/>
            <w:tcBorders>
              <w:top w:val="nil"/>
              <w:left w:val="nil"/>
              <w:bottom w:val="nil"/>
              <w:right w:val="nil"/>
            </w:tcBorders>
            <w:shd w:val="clear" w:color="auto" w:fill="auto"/>
            <w:noWrap/>
            <w:vAlign w:val="bottom"/>
            <w:hideMark/>
          </w:tcPr>
          <w:p w14:paraId="01F5D196" w14:textId="04397DEB"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3.133.369</w:t>
            </w:r>
          </w:p>
        </w:tc>
      </w:tr>
      <w:tr w:rsidR="00935431" w:rsidRPr="00935431" w14:paraId="273CB5F5" w14:textId="77777777" w:rsidTr="00E33D88">
        <w:trPr>
          <w:trHeight w:val="263"/>
        </w:trPr>
        <w:tc>
          <w:tcPr>
            <w:tcW w:w="1666" w:type="dxa"/>
            <w:tcBorders>
              <w:top w:val="nil"/>
              <w:left w:val="nil"/>
              <w:bottom w:val="nil"/>
              <w:right w:val="nil"/>
            </w:tcBorders>
            <w:shd w:val="clear" w:color="auto" w:fill="auto"/>
            <w:noWrap/>
            <w:vAlign w:val="bottom"/>
            <w:hideMark/>
          </w:tcPr>
          <w:p w14:paraId="256568B7" w14:textId="2CA05665"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Set-15</w:t>
            </w:r>
          </w:p>
        </w:tc>
        <w:tc>
          <w:tcPr>
            <w:tcW w:w="1878" w:type="dxa"/>
            <w:tcBorders>
              <w:top w:val="nil"/>
              <w:left w:val="nil"/>
              <w:bottom w:val="nil"/>
              <w:right w:val="nil"/>
            </w:tcBorders>
            <w:shd w:val="clear" w:color="auto" w:fill="auto"/>
            <w:noWrap/>
            <w:vAlign w:val="bottom"/>
            <w:hideMark/>
          </w:tcPr>
          <w:p w14:paraId="3E6EE8C8" w14:textId="5C9AC41A"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787.486</w:t>
            </w:r>
          </w:p>
        </w:tc>
        <w:tc>
          <w:tcPr>
            <w:tcW w:w="1478" w:type="dxa"/>
            <w:tcBorders>
              <w:top w:val="nil"/>
              <w:left w:val="nil"/>
              <w:bottom w:val="nil"/>
              <w:right w:val="nil"/>
            </w:tcBorders>
            <w:shd w:val="clear" w:color="auto" w:fill="auto"/>
            <w:noWrap/>
            <w:vAlign w:val="bottom"/>
            <w:hideMark/>
          </w:tcPr>
          <w:p w14:paraId="3FE51241" w14:textId="01F9993E"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1.336.460</w:t>
            </w:r>
          </w:p>
        </w:tc>
        <w:tc>
          <w:tcPr>
            <w:tcW w:w="1141" w:type="dxa"/>
            <w:tcBorders>
              <w:top w:val="nil"/>
              <w:left w:val="nil"/>
              <w:bottom w:val="nil"/>
              <w:right w:val="nil"/>
            </w:tcBorders>
            <w:shd w:val="clear" w:color="auto" w:fill="auto"/>
            <w:noWrap/>
            <w:vAlign w:val="bottom"/>
            <w:hideMark/>
          </w:tcPr>
          <w:p w14:paraId="51FA1A09" w14:textId="568970E3"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441.926</w:t>
            </w:r>
          </w:p>
        </w:tc>
        <w:tc>
          <w:tcPr>
            <w:tcW w:w="1141" w:type="dxa"/>
            <w:tcBorders>
              <w:top w:val="nil"/>
              <w:left w:val="nil"/>
              <w:bottom w:val="nil"/>
              <w:right w:val="nil"/>
            </w:tcBorders>
            <w:shd w:val="clear" w:color="auto" w:fill="auto"/>
            <w:noWrap/>
            <w:vAlign w:val="bottom"/>
            <w:hideMark/>
          </w:tcPr>
          <w:p w14:paraId="02C59D9F" w14:textId="70A11028"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456.379</w:t>
            </w:r>
          </w:p>
        </w:tc>
        <w:tc>
          <w:tcPr>
            <w:tcW w:w="1141" w:type="dxa"/>
            <w:tcBorders>
              <w:top w:val="nil"/>
              <w:left w:val="nil"/>
              <w:bottom w:val="nil"/>
              <w:right w:val="nil"/>
            </w:tcBorders>
            <w:shd w:val="clear" w:color="auto" w:fill="auto"/>
            <w:noWrap/>
            <w:vAlign w:val="bottom"/>
            <w:hideMark/>
          </w:tcPr>
          <w:p w14:paraId="723C81C6" w14:textId="5CB026D3"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558.685</w:t>
            </w:r>
          </w:p>
        </w:tc>
        <w:tc>
          <w:tcPr>
            <w:tcW w:w="1141" w:type="dxa"/>
            <w:tcBorders>
              <w:top w:val="nil"/>
              <w:left w:val="nil"/>
              <w:bottom w:val="nil"/>
              <w:right w:val="nil"/>
            </w:tcBorders>
            <w:shd w:val="clear" w:color="auto" w:fill="auto"/>
            <w:noWrap/>
            <w:vAlign w:val="bottom"/>
            <w:hideMark/>
          </w:tcPr>
          <w:p w14:paraId="164B7ECC" w14:textId="0E288ACE"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120.183</w:t>
            </w:r>
          </w:p>
        </w:tc>
        <w:tc>
          <w:tcPr>
            <w:tcW w:w="1195" w:type="dxa"/>
            <w:tcBorders>
              <w:top w:val="nil"/>
              <w:left w:val="nil"/>
              <w:bottom w:val="nil"/>
              <w:right w:val="nil"/>
            </w:tcBorders>
            <w:shd w:val="clear" w:color="auto" w:fill="auto"/>
            <w:noWrap/>
            <w:vAlign w:val="bottom"/>
            <w:hideMark/>
          </w:tcPr>
          <w:p w14:paraId="694C17DF" w14:textId="09B8644B"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3.701.119</w:t>
            </w:r>
          </w:p>
        </w:tc>
      </w:tr>
      <w:tr w:rsidR="00935431" w:rsidRPr="00935431" w14:paraId="3C2EB546" w14:textId="77777777" w:rsidTr="00E33D88">
        <w:trPr>
          <w:trHeight w:val="263"/>
        </w:trPr>
        <w:tc>
          <w:tcPr>
            <w:tcW w:w="1666" w:type="dxa"/>
            <w:tcBorders>
              <w:top w:val="nil"/>
              <w:left w:val="nil"/>
              <w:bottom w:val="nil"/>
              <w:right w:val="nil"/>
            </w:tcBorders>
            <w:shd w:val="clear" w:color="auto" w:fill="auto"/>
            <w:noWrap/>
            <w:vAlign w:val="bottom"/>
            <w:hideMark/>
          </w:tcPr>
          <w:p w14:paraId="5F1D39B7" w14:textId="01EC52BD"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Set-16</w:t>
            </w:r>
          </w:p>
        </w:tc>
        <w:tc>
          <w:tcPr>
            <w:tcW w:w="1878" w:type="dxa"/>
            <w:tcBorders>
              <w:top w:val="nil"/>
              <w:left w:val="nil"/>
              <w:bottom w:val="nil"/>
              <w:right w:val="nil"/>
            </w:tcBorders>
            <w:shd w:val="clear" w:color="auto" w:fill="auto"/>
            <w:noWrap/>
            <w:vAlign w:val="bottom"/>
            <w:hideMark/>
          </w:tcPr>
          <w:p w14:paraId="7F3C06C8" w14:textId="57FD151E"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915.288</w:t>
            </w:r>
          </w:p>
        </w:tc>
        <w:tc>
          <w:tcPr>
            <w:tcW w:w="1478" w:type="dxa"/>
            <w:tcBorders>
              <w:top w:val="nil"/>
              <w:left w:val="nil"/>
              <w:bottom w:val="nil"/>
              <w:right w:val="nil"/>
            </w:tcBorders>
            <w:shd w:val="clear" w:color="auto" w:fill="auto"/>
            <w:noWrap/>
            <w:vAlign w:val="bottom"/>
            <w:hideMark/>
          </w:tcPr>
          <w:p w14:paraId="3CDD16AD" w14:textId="08A53AEF"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1.606.060</w:t>
            </w:r>
          </w:p>
        </w:tc>
        <w:tc>
          <w:tcPr>
            <w:tcW w:w="1141" w:type="dxa"/>
            <w:tcBorders>
              <w:top w:val="nil"/>
              <w:left w:val="nil"/>
              <w:bottom w:val="nil"/>
              <w:right w:val="nil"/>
            </w:tcBorders>
            <w:shd w:val="clear" w:color="auto" w:fill="auto"/>
            <w:noWrap/>
            <w:vAlign w:val="bottom"/>
            <w:hideMark/>
          </w:tcPr>
          <w:p w14:paraId="08BBB39B" w14:textId="5F049D77"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510.027</w:t>
            </w:r>
          </w:p>
        </w:tc>
        <w:tc>
          <w:tcPr>
            <w:tcW w:w="1141" w:type="dxa"/>
            <w:tcBorders>
              <w:top w:val="nil"/>
              <w:left w:val="nil"/>
              <w:bottom w:val="nil"/>
              <w:right w:val="nil"/>
            </w:tcBorders>
            <w:shd w:val="clear" w:color="auto" w:fill="auto"/>
            <w:noWrap/>
            <w:vAlign w:val="bottom"/>
            <w:hideMark/>
          </w:tcPr>
          <w:p w14:paraId="23E60319" w14:textId="0BF5A455"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540.240</w:t>
            </w:r>
          </w:p>
        </w:tc>
        <w:tc>
          <w:tcPr>
            <w:tcW w:w="1141" w:type="dxa"/>
            <w:tcBorders>
              <w:top w:val="nil"/>
              <w:left w:val="nil"/>
              <w:bottom w:val="nil"/>
              <w:right w:val="nil"/>
            </w:tcBorders>
            <w:shd w:val="clear" w:color="auto" w:fill="auto"/>
            <w:noWrap/>
            <w:vAlign w:val="bottom"/>
            <w:hideMark/>
          </w:tcPr>
          <w:p w14:paraId="4A119BFD" w14:textId="42EC0052"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650.275</w:t>
            </w:r>
          </w:p>
        </w:tc>
        <w:tc>
          <w:tcPr>
            <w:tcW w:w="1141" w:type="dxa"/>
            <w:tcBorders>
              <w:top w:val="nil"/>
              <w:left w:val="nil"/>
              <w:bottom w:val="nil"/>
              <w:right w:val="nil"/>
            </w:tcBorders>
            <w:shd w:val="clear" w:color="auto" w:fill="auto"/>
            <w:noWrap/>
            <w:vAlign w:val="bottom"/>
            <w:hideMark/>
          </w:tcPr>
          <w:p w14:paraId="209A24CF" w14:textId="3242C019"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146.771</w:t>
            </w:r>
          </w:p>
        </w:tc>
        <w:tc>
          <w:tcPr>
            <w:tcW w:w="1195" w:type="dxa"/>
            <w:tcBorders>
              <w:top w:val="nil"/>
              <w:left w:val="nil"/>
              <w:bottom w:val="nil"/>
              <w:right w:val="nil"/>
            </w:tcBorders>
            <w:shd w:val="clear" w:color="auto" w:fill="auto"/>
            <w:noWrap/>
            <w:vAlign w:val="bottom"/>
            <w:hideMark/>
          </w:tcPr>
          <w:p w14:paraId="5482E241" w14:textId="1433B739"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4.368.661</w:t>
            </w:r>
          </w:p>
        </w:tc>
      </w:tr>
      <w:tr w:rsidR="00935431" w:rsidRPr="00935431" w14:paraId="7A0D96B6" w14:textId="77777777" w:rsidTr="00E33D88">
        <w:trPr>
          <w:trHeight w:val="263"/>
        </w:trPr>
        <w:tc>
          <w:tcPr>
            <w:tcW w:w="1666" w:type="dxa"/>
            <w:tcBorders>
              <w:top w:val="nil"/>
              <w:left w:val="nil"/>
              <w:bottom w:val="nil"/>
              <w:right w:val="nil"/>
            </w:tcBorders>
            <w:shd w:val="clear" w:color="auto" w:fill="auto"/>
            <w:noWrap/>
            <w:vAlign w:val="bottom"/>
            <w:hideMark/>
          </w:tcPr>
          <w:p w14:paraId="66ED1A37" w14:textId="1F08B1C4"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Set-17</w:t>
            </w:r>
          </w:p>
        </w:tc>
        <w:tc>
          <w:tcPr>
            <w:tcW w:w="1878" w:type="dxa"/>
            <w:tcBorders>
              <w:top w:val="nil"/>
              <w:left w:val="nil"/>
              <w:bottom w:val="nil"/>
              <w:right w:val="nil"/>
            </w:tcBorders>
            <w:shd w:val="clear" w:color="auto" w:fill="auto"/>
            <w:noWrap/>
            <w:vAlign w:val="bottom"/>
            <w:hideMark/>
          </w:tcPr>
          <w:p w14:paraId="31139D61" w14:textId="61A2D6FA"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1.026.020</w:t>
            </w:r>
          </w:p>
        </w:tc>
        <w:tc>
          <w:tcPr>
            <w:tcW w:w="1478" w:type="dxa"/>
            <w:tcBorders>
              <w:top w:val="nil"/>
              <w:left w:val="nil"/>
              <w:bottom w:val="nil"/>
              <w:right w:val="nil"/>
            </w:tcBorders>
            <w:shd w:val="clear" w:color="auto" w:fill="auto"/>
            <w:noWrap/>
            <w:vAlign w:val="bottom"/>
            <w:hideMark/>
          </w:tcPr>
          <w:p w14:paraId="58894D35" w14:textId="57D2A3BD"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1.834.890</w:t>
            </w:r>
          </w:p>
        </w:tc>
        <w:tc>
          <w:tcPr>
            <w:tcW w:w="1141" w:type="dxa"/>
            <w:tcBorders>
              <w:top w:val="nil"/>
              <w:left w:val="nil"/>
              <w:bottom w:val="nil"/>
              <w:right w:val="nil"/>
            </w:tcBorders>
            <w:shd w:val="clear" w:color="auto" w:fill="auto"/>
            <w:noWrap/>
            <w:vAlign w:val="bottom"/>
            <w:hideMark/>
          </w:tcPr>
          <w:p w14:paraId="2663C239" w14:textId="1619C645"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572.926</w:t>
            </w:r>
          </w:p>
        </w:tc>
        <w:tc>
          <w:tcPr>
            <w:tcW w:w="1141" w:type="dxa"/>
            <w:tcBorders>
              <w:top w:val="nil"/>
              <w:left w:val="nil"/>
              <w:bottom w:val="nil"/>
              <w:right w:val="nil"/>
            </w:tcBorders>
            <w:shd w:val="clear" w:color="auto" w:fill="auto"/>
            <w:noWrap/>
            <w:vAlign w:val="bottom"/>
            <w:hideMark/>
          </w:tcPr>
          <w:p w14:paraId="5C1EC19F" w14:textId="257A6D71"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604.206</w:t>
            </w:r>
          </w:p>
        </w:tc>
        <w:tc>
          <w:tcPr>
            <w:tcW w:w="1141" w:type="dxa"/>
            <w:tcBorders>
              <w:top w:val="nil"/>
              <w:left w:val="nil"/>
              <w:bottom w:val="nil"/>
              <w:right w:val="nil"/>
            </w:tcBorders>
            <w:shd w:val="clear" w:color="auto" w:fill="auto"/>
            <w:noWrap/>
            <w:vAlign w:val="bottom"/>
            <w:hideMark/>
          </w:tcPr>
          <w:p w14:paraId="22F6E474" w14:textId="094CEC3D"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728.368</w:t>
            </w:r>
          </w:p>
        </w:tc>
        <w:tc>
          <w:tcPr>
            <w:tcW w:w="1141" w:type="dxa"/>
            <w:tcBorders>
              <w:top w:val="nil"/>
              <w:left w:val="nil"/>
              <w:bottom w:val="nil"/>
              <w:right w:val="nil"/>
            </w:tcBorders>
            <w:shd w:val="clear" w:color="auto" w:fill="auto"/>
            <w:noWrap/>
            <w:vAlign w:val="bottom"/>
            <w:hideMark/>
          </w:tcPr>
          <w:p w14:paraId="74A6FAFF" w14:textId="5E83C057"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167.775</w:t>
            </w:r>
          </w:p>
        </w:tc>
        <w:tc>
          <w:tcPr>
            <w:tcW w:w="1195" w:type="dxa"/>
            <w:tcBorders>
              <w:top w:val="nil"/>
              <w:left w:val="nil"/>
              <w:bottom w:val="nil"/>
              <w:right w:val="nil"/>
            </w:tcBorders>
            <w:shd w:val="clear" w:color="auto" w:fill="auto"/>
            <w:noWrap/>
            <w:vAlign w:val="bottom"/>
            <w:hideMark/>
          </w:tcPr>
          <w:p w14:paraId="44F80611" w14:textId="379004BB"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4.934.185</w:t>
            </w:r>
          </w:p>
        </w:tc>
      </w:tr>
      <w:tr w:rsidR="00935431" w:rsidRPr="00935431" w14:paraId="432C847C" w14:textId="77777777" w:rsidTr="00E33D88">
        <w:trPr>
          <w:trHeight w:val="276"/>
        </w:trPr>
        <w:tc>
          <w:tcPr>
            <w:tcW w:w="1666" w:type="dxa"/>
            <w:tcBorders>
              <w:top w:val="nil"/>
              <w:left w:val="nil"/>
              <w:bottom w:val="single" w:sz="8" w:space="0" w:color="auto"/>
              <w:right w:val="nil"/>
            </w:tcBorders>
            <w:shd w:val="clear" w:color="auto" w:fill="auto"/>
            <w:noWrap/>
            <w:vAlign w:val="bottom"/>
            <w:hideMark/>
          </w:tcPr>
          <w:p w14:paraId="765BAA77" w14:textId="2B12484F"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Set-18</w:t>
            </w:r>
          </w:p>
        </w:tc>
        <w:tc>
          <w:tcPr>
            <w:tcW w:w="1878" w:type="dxa"/>
            <w:tcBorders>
              <w:top w:val="nil"/>
              <w:left w:val="nil"/>
              <w:bottom w:val="single" w:sz="8" w:space="0" w:color="auto"/>
              <w:right w:val="nil"/>
            </w:tcBorders>
            <w:shd w:val="clear" w:color="auto" w:fill="auto"/>
            <w:noWrap/>
            <w:vAlign w:val="bottom"/>
            <w:hideMark/>
          </w:tcPr>
          <w:p w14:paraId="35A79C3B" w14:textId="77534BC2"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1.150.560</w:t>
            </w:r>
          </w:p>
        </w:tc>
        <w:tc>
          <w:tcPr>
            <w:tcW w:w="1478" w:type="dxa"/>
            <w:tcBorders>
              <w:top w:val="nil"/>
              <w:left w:val="nil"/>
              <w:bottom w:val="single" w:sz="8" w:space="0" w:color="auto"/>
              <w:right w:val="nil"/>
            </w:tcBorders>
            <w:shd w:val="clear" w:color="auto" w:fill="auto"/>
            <w:noWrap/>
            <w:vAlign w:val="bottom"/>
            <w:hideMark/>
          </w:tcPr>
          <w:p w14:paraId="7A2146CA" w14:textId="0792F4AD"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2.112.060</w:t>
            </w:r>
          </w:p>
        </w:tc>
        <w:tc>
          <w:tcPr>
            <w:tcW w:w="1141" w:type="dxa"/>
            <w:tcBorders>
              <w:top w:val="nil"/>
              <w:left w:val="nil"/>
              <w:bottom w:val="single" w:sz="8" w:space="0" w:color="auto"/>
              <w:right w:val="nil"/>
            </w:tcBorders>
            <w:shd w:val="clear" w:color="auto" w:fill="auto"/>
            <w:noWrap/>
            <w:vAlign w:val="bottom"/>
            <w:hideMark/>
          </w:tcPr>
          <w:p w14:paraId="69A5BEE6" w14:textId="2DEBB0B4"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653.421</w:t>
            </w:r>
          </w:p>
        </w:tc>
        <w:tc>
          <w:tcPr>
            <w:tcW w:w="1141" w:type="dxa"/>
            <w:tcBorders>
              <w:top w:val="nil"/>
              <w:left w:val="nil"/>
              <w:bottom w:val="single" w:sz="8" w:space="0" w:color="auto"/>
              <w:right w:val="nil"/>
            </w:tcBorders>
            <w:shd w:val="clear" w:color="auto" w:fill="auto"/>
            <w:noWrap/>
            <w:vAlign w:val="bottom"/>
            <w:hideMark/>
          </w:tcPr>
          <w:p w14:paraId="16995FCA" w14:textId="279B9142"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689.484</w:t>
            </w:r>
          </w:p>
        </w:tc>
        <w:tc>
          <w:tcPr>
            <w:tcW w:w="1141" w:type="dxa"/>
            <w:tcBorders>
              <w:top w:val="nil"/>
              <w:left w:val="nil"/>
              <w:bottom w:val="single" w:sz="8" w:space="0" w:color="auto"/>
              <w:right w:val="nil"/>
            </w:tcBorders>
            <w:shd w:val="clear" w:color="auto" w:fill="auto"/>
            <w:noWrap/>
            <w:vAlign w:val="bottom"/>
            <w:hideMark/>
          </w:tcPr>
          <w:p w14:paraId="14FC80E2" w14:textId="5FF6EE5C"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815.601</w:t>
            </w:r>
          </w:p>
        </w:tc>
        <w:tc>
          <w:tcPr>
            <w:tcW w:w="1141" w:type="dxa"/>
            <w:tcBorders>
              <w:top w:val="nil"/>
              <w:left w:val="nil"/>
              <w:bottom w:val="single" w:sz="8" w:space="0" w:color="auto"/>
              <w:right w:val="nil"/>
            </w:tcBorders>
            <w:shd w:val="clear" w:color="auto" w:fill="auto"/>
            <w:noWrap/>
            <w:vAlign w:val="bottom"/>
            <w:hideMark/>
          </w:tcPr>
          <w:p w14:paraId="35E90FEE" w14:textId="1091FF12"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188.955</w:t>
            </w:r>
          </w:p>
        </w:tc>
        <w:tc>
          <w:tcPr>
            <w:tcW w:w="1195" w:type="dxa"/>
            <w:tcBorders>
              <w:top w:val="nil"/>
              <w:left w:val="nil"/>
              <w:bottom w:val="single" w:sz="8" w:space="0" w:color="auto"/>
              <w:right w:val="nil"/>
            </w:tcBorders>
            <w:shd w:val="clear" w:color="auto" w:fill="auto"/>
            <w:noWrap/>
            <w:vAlign w:val="bottom"/>
            <w:hideMark/>
          </w:tcPr>
          <w:p w14:paraId="4914EF48" w14:textId="50DC1309" w:rsidR="00935431" w:rsidRPr="00935431" w:rsidRDefault="00935431" w:rsidP="00935431">
            <w:pPr>
              <w:spacing w:after="0" w:line="240" w:lineRule="auto"/>
              <w:rPr>
                <w:rFonts w:ascii="Calibri" w:eastAsia="Times New Roman" w:hAnsi="Calibri" w:cs="Calibri"/>
                <w:color w:val="000000"/>
                <w:lang w:val="es-CR" w:eastAsia="es-CR"/>
              </w:rPr>
            </w:pPr>
            <w:r w:rsidRPr="00935431">
              <w:rPr>
                <w:rFonts w:ascii="Calibri" w:eastAsia="Times New Roman" w:hAnsi="Calibri" w:cs="Calibri"/>
                <w:color w:val="000000"/>
                <w:lang w:val="es-CR" w:eastAsia="es-CR"/>
              </w:rPr>
              <w:t>5.610.081</w:t>
            </w:r>
          </w:p>
        </w:tc>
      </w:tr>
    </w:tbl>
    <w:p w14:paraId="4411B8BD" w14:textId="49057DA1" w:rsidR="007D0BC7" w:rsidRPr="00613B2C" w:rsidRDefault="007D0BC7" w:rsidP="007D0BC7">
      <w:pPr>
        <w:spacing w:after="0" w:line="240" w:lineRule="auto"/>
        <w:ind w:left="-284"/>
        <w:jc w:val="center"/>
        <w:rPr>
          <w:rFonts w:asciiTheme="majorHAnsi" w:hAnsiTheme="majorHAnsi"/>
          <w:highlight w:val="yellow"/>
        </w:rPr>
      </w:pPr>
    </w:p>
    <w:p w14:paraId="76E8F3DD" w14:textId="77777777" w:rsidR="007D0BC7" w:rsidRPr="00613B2C" w:rsidRDefault="007D0BC7" w:rsidP="007D0BC7">
      <w:pPr>
        <w:spacing w:after="0" w:line="240" w:lineRule="auto"/>
        <w:jc w:val="both"/>
        <w:rPr>
          <w:rFonts w:asciiTheme="majorHAnsi" w:hAnsiTheme="majorHAnsi"/>
          <w:highlight w:val="yellow"/>
        </w:rPr>
      </w:pPr>
    </w:p>
    <w:p w14:paraId="61E050E1" w14:textId="5F85A9B6" w:rsidR="007D0BC7" w:rsidRPr="00613B2C" w:rsidRDefault="007D0BC7" w:rsidP="007D0BC7">
      <w:pPr>
        <w:spacing w:after="0" w:line="240" w:lineRule="auto"/>
        <w:jc w:val="both"/>
        <w:rPr>
          <w:rFonts w:asciiTheme="majorHAnsi" w:hAnsiTheme="majorHAnsi"/>
        </w:rPr>
      </w:pPr>
      <w:r w:rsidRPr="00613B2C">
        <w:rPr>
          <w:rFonts w:asciiTheme="majorHAnsi" w:hAnsiTheme="majorHAnsi"/>
        </w:rPr>
        <w:t xml:space="preserve">Del total de activos del ROP, </w:t>
      </w:r>
      <w:r w:rsidR="007D675B">
        <w:rPr>
          <w:rFonts w:asciiTheme="majorHAnsi" w:hAnsiTheme="majorHAnsi"/>
        </w:rPr>
        <w:t xml:space="preserve">las dos operadoras más grandes </w:t>
      </w:r>
      <w:r w:rsidR="006E513A">
        <w:rPr>
          <w:rFonts w:asciiTheme="majorHAnsi" w:hAnsiTheme="majorHAnsi"/>
        </w:rPr>
        <w:t xml:space="preserve">en cuanto a administración de activos, </w:t>
      </w:r>
      <w:r w:rsidRPr="00613B2C">
        <w:rPr>
          <w:rFonts w:asciiTheme="majorHAnsi" w:hAnsiTheme="majorHAnsi"/>
        </w:rPr>
        <w:t>Popular</w:t>
      </w:r>
      <w:r w:rsidR="006E513A">
        <w:rPr>
          <w:rFonts w:asciiTheme="majorHAnsi" w:hAnsiTheme="majorHAnsi"/>
        </w:rPr>
        <w:t xml:space="preserve"> Pensiones y BN Vital, </w:t>
      </w:r>
      <w:r w:rsidRPr="00613B2C">
        <w:rPr>
          <w:rFonts w:asciiTheme="majorHAnsi" w:hAnsiTheme="majorHAnsi"/>
        </w:rPr>
        <w:t>administran conjunta</w:t>
      </w:r>
      <w:r w:rsidR="006E513A">
        <w:rPr>
          <w:rFonts w:asciiTheme="majorHAnsi" w:hAnsiTheme="majorHAnsi"/>
        </w:rPr>
        <w:t>mente</w:t>
      </w:r>
      <w:r w:rsidRPr="00613B2C">
        <w:rPr>
          <w:rFonts w:asciiTheme="majorHAnsi" w:hAnsiTheme="majorHAnsi"/>
        </w:rPr>
        <w:t xml:space="preserve"> el 58,</w:t>
      </w:r>
      <w:r w:rsidR="006F3599">
        <w:rPr>
          <w:rFonts w:asciiTheme="majorHAnsi" w:hAnsiTheme="majorHAnsi"/>
        </w:rPr>
        <w:t>16 de total de los recursos.</w:t>
      </w:r>
      <w:r w:rsidRPr="00613B2C">
        <w:rPr>
          <w:rFonts w:asciiTheme="majorHAnsi" w:hAnsiTheme="majorHAnsi"/>
        </w:rPr>
        <w:t xml:space="preserve"> Desde el 2010 de Popular ha administrado entre el 36% y el 38% del total de los recursos (37% en promedio desde el 2010). La operadora CCSS-OPC es la </w:t>
      </w:r>
      <w:r w:rsidR="006E513A">
        <w:rPr>
          <w:rFonts w:asciiTheme="majorHAnsi" w:hAnsiTheme="majorHAnsi"/>
        </w:rPr>
        <w:t>que tiene menor participación de mercado</w:t>
      </w:r>
      <w:r w:rsidRPr="00613B2C">
        <w:rPr>
          <w:rFonts w:asciiTheme="majorHAnsi" w:hAnsiTheme="majorHAnsi"/>
        </w:rPr>
        <w:t xml:space="preserve">. </w:t>
      </w:r>
    </w:p>
    <w:p w14:paraId="7BC41388" w14:textId="77777777" w:rsidR="00C6503C" w:rsidRPr="00613B2C" w:rsidRDefault="00C6503C" w:rsidP="007D0BC7">
      <w:pPr>
        <w:spacing w:after="0" w:line="240" w:lineRule="auto"/>
        <w:jc w:val="both"/>
        <w:rPr>
          <w:rFonts w:asciiTheme="majorHAnsi" w:hAnsiTheme="majorHAnsi"/>
        </w:rPr>
      </w:pPr>
    </w:p>
    <w:p w14:paraId="2F5DD10B" w14:textId="40CB53CF" w:rsidR="007D0BC7" w:rsidRPr="00613B2C" w:rsidRDefault="007D0BC7" w:rsidP="00772349">
      <w:pPr>
        <w:pStyle w:val="Ttulo1"/>
        <w:rPr>
          <w:rFonts w:asciiTheme="majorHAnsi" w:hAnsiTheme="majorHAnsi"/>
        </w:rPr>
      </w:pPr>
      <w:r w:rsidRPr="00613B2C">
        <w:rPr>
          <w:rFonts w:asciiTheme="majorHAnsi" w:hAnsiTheme="majorHAnsi"/>
        </w:rPr>
        <w:t>Inversiones en el Sector Pensiones</w:t>
      </w:r>
    </w:p>
    <w:p w14:paraId="3D297288" w14:textId="77777777" w:rsidR="007D0BC7" w:rsidRPr="00613B2C" w:rsidRDefault="007D0BC7" w:rsidP="007D0BC7">
      <w:pPr>
        <w:spacing w:after="0" w:line="240" w:lineRule="auto"/>
        <w:rPr>
          <w:rFonts w:asciiTheme="majorHAnsi" w:hAnsiTheme="majorHAnsi"/>
        </w:rPr>
      </w:pPr>
      <w:bookmarkStart w:id="2" w:name="_Toc505348334"/>
      <w:bookmarkStart w:id="3" w:name="_Toc506207744"/>
      <w:bookmarkStart w:id="4" w:name="_Toc506212325"/>
      <w:bookmarkStart w:id="5" w:name="_Toc520731936"/>
    </w:p>
    <w:p w14:paraId="7A1B9595" w14:textId="77777777" w:rsidR="007D0BC7" w:rsidRPr="00613B2C" w:rsidRDefault="007D0BC7" w:rsidP="00772349">
      <w:pPr>
        <w:pStyle w:val="Ttulo2"/>
      </w:pPr>
      <w:r w:rsidRPr="00613B2C">
        <w:t>Composición de cartera</w:t>
      </w:r>
      <w:bookmarkEnd w:id="2"/>
      <w:r w:rsidRPr="00613B2C">
        <w:t>s</w:t>
      </w:r>
      <w:bookmarkEnd w:id="3"/>
      <w:bookmarkEnd w:id="4"/>
      <w:bookmarkEnd w:id="5"/>
    </w:p>
    <w:p w14:paraId="0F466E97" w14:textId="77777777" w:rsidR="007D0BC7" w:rsidRPr="00613B2C" w:rsidRDefault="007D0BC7" w:rsidP="007D0BC7">
      <w:pPr>
        <w:spacing w:after="0" w:line="240" w:lineRule="auto"/>
        <w:rPr>
          <w:rFonts w:asciiTheme="majorHAnsi" w:hAnsiTheme="majorHAnsi"/>
        </w:rPr>
      </w:pPr>
    </w:p>
    <w:p w14:paraId="24B925E7" w14:textId="40252866" w:rsidR="007D0BC7" w:rsidRPr="00613B2C" w:rsidRDefault="00BD3E1C" w:rsidP="007D0BC7">
      <w:pPr>
        <w:spacing w:after="0" w:line="240" w:lineRule="auto"/>
        <w:jc w:val="both"/>
        <w:rPr>
          <w:rFonts w:asciiTheme="majorHAnsi" w:hAnsiTheme="majorHAnsi"/>
        </w:rPr>
      </w:pPr>
      <w:r>
        <w:rPr>
          <w:rFonts w:asciiTheme="majorHAnsi" w:hAnsiTheme="majorHAnsi"/>
        </w:rPr>
        <w:t>El portafolio de inversiones</w:t>
      </w:r>
      <w:r w:rsidR="00177C2C">
        <w:rPr>
          <w:rFonts w:asciiTheme="majorHAnsi" w:hAnsiTheme="majorHAnsi"/>
        </w:rPr>
        <w:t xml:space="preserve"> </w:t>
      </w:r>
      <w:r w:rsidR="007D0BC7" w:rsidRPr="00613B2C">
        <w:rPr>
          <w:rFonts w:asciiTheme="majorHAnsi" w:hAnsiTheme="majorHAnsi"/>
        </w:rPr>
        <w:t>(sin incluir carteras de créditos) del SNP equivale a 12 billones de colones con una concentración</w:t>
      </w:r>
      <w:r w:rsidR="00E559BF">
        <w:rPr>
          <w:rFonts w:asciiTheme="majorHAnsi" w:hAnsiTheme="majorHAnsi"/>
        </w:rPr>
        <w:t xml:space="preserve"> de 9</w:t>
      </w:r>
      <w:r w:rsidR="007D0BC7" w:rsidRPr="00613B2C">
        <w:rPr>
          <w:rFonts w:asciiTheme="majorHAnsi" w:hAnsiTheme="majorHAnsi"/>
        </w:rPr>
        <w:t xml:space="preserve"> billones en sector público</w:t>
      </w:r>
      <w:r w:rsidR="00E559BF">
        <w:rPr>
          <w:rFonts w:asciiTheme="majorHAnsi" w:hAnsiTheme="majorHAnsi"/>
        </w:rPr>
        <w:t>,</w:t>
      </w:r>
      <w:r w:rsidR="007D0BC7" w:rsidRPr="00613B2C">
        <w:rPr>
          <w:rFonts w:asciiTheme="majorHAnsi" w:hAnsiTheme="majorHAnsi"/>
        </w:rPr>
        <w:t xml:space="preserve"> de los cuales 7.5 billones </w:t>
      </w:r>
      <w:r>
        <w:rPr>
          <w:rFonts w:asciiTheme="majorHAnsi" w:hAnsiTheme="majorHAnsi"/>
        </w:rPr>
        <w:t xml:space="preserve">se encuentran </w:t>
      </w:r>
      <w:r w:rsidR="007D0BC7" w:rsidRPr="00613B2C">
        <w:rPr>
          <w:rFonts w:asciiTheme="majorHAnsi" w:hAnsiTheme="majorHAnsi"/>
        </w:rPr>
        <w:t xml:space="preserve">invertidos </w:t>
      </w:r>
      <w:r w:rsidR="000E1F98">
        <w:rPr>
          <w:rFonts w:asciiTheme="majorHAnsi" w:hAnsiTheme="majorHAnsi"/>
        </w:rPr>
        <w:t>en instrumentos del</w:t>
      </w:r>
      <w:r w:rsidR="007D0BC7" w:rsidRPr="00613B2C">
        <w:rPr>
          <w:rFonts w:asciiTheme="majorHAnsi" w:hAnsiTheme="majorHAnsi"/>
        </w:rPr>
        <w:t xml:space="preserve"> Ministerio de Hacienda</w:t>
      </w:r>
      <w:r w:rsidR="000E1F98">
        <w:rPr>
          <w:rFonts w:asciiTheme="majorHAnsi" w:hAnsiTheme="majorHAnsi"/>
        </w:rPr>
        <w:t xml:space="preserve"> y Banco Central de Costa Rica</w:t>
      </w:r>
      <w:r w:rsidR="007D0BC7" w:rsidRPr="00613B2C">
        <w:rPr>
          <w:rFonts w:asciiTheme="majorHAnsi" w:hAnsiTheme="majorHAnsi"/>
        </w:rPr>
        <w:t xml:space="preserve">. </w:t>
      </w:r>
      <w:r w:rsidR="00177C2C">
        <w:rPr>
          <w:rFonts w:asciiTheme="majorHAnsi" w:hAnsiTheme="majorHAnsi"/>
        </w:rPr>
        <w:t>Respecto de la composición por régimen,</w:t>
      </w:r>
      <w:r w:rsidR="007D0BC7" w:rsidRPr="00613B2C">
        <w:rPr>
          <w:rFonts w:asciiTheme="majorHAnsi" w:hAnsiTheme="majorHAnsi"/>
        </w:rPr>
        <w:t xml:space="preserve"> 46% </w:t>
      </w:r>
      <w:r w:rsidR="009D5C27">
        <w:rPr>
          <w:rFonts w:asciiTheme="majorHAnsi" w:hAnsiTheme="majorHAnsi"/>
        </w:rPr>
        <w:t xml:space="preserve">pertenece a regímenes básicos, 41% al </w:t>
      </w:r>
      <w:r w:rsidR="00951F80">
        <w:rPr>
          <w:rFonts w:asciiTheme="majorHAnsi" w:hAnsiTheme="majorHAnsi"/>
        </w:rPr>
        <w:t xml:space="preserve">ROP, </w:t>
      </w:r>
      <w:r w:rsidR="007D0BC7" w:rsidRPr="00613B2C">
        <w:rPr>
          <w:rFonts w:asciiTheme="majorHAnsi" w:hAnsiTheme="majorHAnsi"/>
        </w:rPr>
        <w:t xml:space="preserve">7% en los regímenes </w:t>
      </w:r>
      <w:r w:rsidR="00951F80">
        <w:rPr>
          <w:rFonts w:asciiTheme="majorHAnsi" w:hAnsiTheme="majorHAnsi"/>
        </w:rPr>
        <w:t xml:space="preserve">complementarios </w:t>
      </w:r>
      <w:r w:rsidR="00046F51">
        <w:rPr>
          <w:rFonts w:asciiTheme="majorHAnsi" w:hAnsiTheme="majorHAnsi"/>
        </w:rPr>
        <w:t xml:space="preserve">especiales, </w:t>
      </w:r>
      <w:r w:rsidR="009917F6">
        <w:rPr>
          <w:rFonts w:asciiTheme="majorHAnsi" w:hAnsiTheme="majorHAnsi"/>
        </w:rPr>
        <w:t xml:space="preserve">4% al FCL y </w:t>
      </w:r>
      <w:r w:rsidR="00046F51">
        <w:rPr>
          <w:rFonts w:asciiTheme="majorHAnsi" w:hAnsiTheme="majorHAnsi"/>
        </w:rPr>
        <w:t>el</w:t>
      </w:r>
      <w:r w:rsidR="007D0BC7" w:rsidRPr="00613B2C">
        <w:rPr>
          <w:rFonts w:asciiTheme="majorHAnsi" w:hAnsiTheme="majorHAnsi"/>
        </w:rPr>
        <w:t xml:space="preserve"> 2% </w:t>
      </w:r>
      <w:r w:rsidR="000614C2">
        <w:rPr>
          <w:rFonts w:asciiTheme="majorHAnsi" w:hAnsiTheme="majorHAnsi"/>
        </w:rPr>
        <w:t>restante son de pensiones</w:t>
      </w:r>
      <w:r w:rsidR="000154F0">
        <w:rPr>
          <w:rFonts w:asciiTheme="majorHAnsi" w:hAnsiTheme="majorHAnsi"/>
        </w:rPr>
        <w:t xml:space="preserve"> voluntaria</w:t>
      </w:r>
      <w:r w:rsidR="007D0BC7" w:rsidRPr="00613B2C">
        <w:rPr>
          <w:rFonts w:asciiTheme="majorHAnsi" w:hAnsiTheme="majorHAnsi"/>
        </w:rPr>
        <w:t>s.</w:t>
      </w:r>
    </w:p>
    <w:p w14:paraId="6DEFE515" w14:textId="77777777" w:rsidR="00F269A2" w:rsidRPr="00F269A2" w:rsidRDefault="00F269A2" w:rsidP="00F269A2">
      <w:pPr>
        <w:spacing w:after="0" w:line="240" w:lineRule="auto"/>
        <w:rPr>
          <w:rFonts w:asciiTheme="majorHAnsi" w:hAnsiTheme="majorHAnsi"/>
        </w:rPr>
      </w:pPr>
    </w:p>
    <w:p w14:paraId="40319FC4" w14:textId="00A4F189" w:rsidR="00852DD8" w:rsidRPr="00613B2C" w:rsidRDefault="00852DD8" w:rsidP="00852DD8">
      <w:pPr>
        <w:spacing w:after="0" w:line="240" w:lineRule="auto"/>
        <w:jc w:val="center"/>
        <w:rPr>
          <w:rFonts w:asciiTheme="majorHAnsi" w:hAnsiTheme="majorHAnsi"/>
        </w:rPr>
      </w:pPr>
      <w:r>
        <w:rPr>
          <w:rFonts w:asciiTheme="majorHAnsi" w:hAnsiTheme="majorHAnsi"/>
        </w:rPr>
        <w:t>Cuadro 3</w:t>
      </w:r>
    </w:p>
    <w:p w14:paraId="2734527D" w14:textId="38ABCB03" w:rsidR="007D0BC7" w:rsidRPr="00613B2C" w:rsidRDefault="007D0BC7" w:rsidP="007D0BC7">
      <w:pPr>
        <w:spacing w:after="0" w:line="240" w:lineRule="auto"/>
        <w:jc w:val="center"/>
        <w:rPr>
          <w:rFonts w:asciiTheme="majorHAnsi" w:hAnsiTheme="majorHAnsi"/>
        </w:rPr>
      </w:pPr>
      <w:r w:rsidRPr="00613B2C">
        <w:rPr>
          <w:rFonts w:asciiTheme="majorHAnsi" w:hAnsiTheme="majorHAnsi"/>
        </w:rPr>
        <w:t>Inversiones por Régimen de Pensiones</w:t>
      </w:r>
    </w:p>
    <w:p w14:paraId="33EC669C" w14:textId="77777777" w:rsidR="00242FF6" w:rsidRDefault="00242FF6" w:rsidP="007D0BC7">
      <w:pPr>
        <w:spacing w:after="0" w:line="240" w:lineRule="auto"/>
        <w:jc w:val="center"/>
        <w:rPr>
          <w:rFonts w:asciiTheme="majorHAnsi" w:hAnsiTheme="majorHAnsi"/>
        </w:rPr>
      </w:pPr>
      <w:r>
        <w:rPr>
          <w:rFonts w:asciiTheme="majorHAnsi" w:hAnsiTheme="majorHAnsi"/>
        </w:rPr>
        <w:t>Se</w:t>
      </w:r>
      <w:r w:rsidR="007D0BC7" w:rsidRPr="00613B2C">
        <w:rPr>
          <w:rFonts w:asciiTheme="majorHAnsi" w:hAnsiTheme="majorHAnsi"/>
        </w:rPr>
        <w:t xml:space="preserve">tiembre 2018 </w:t>
      </w:r>
    </w:p>
    <w:p w14:paraId="1D4D42A1" w14:textId="260E3EBA" w:rsidR="007D0BC7" w:rsidRPr="00613B2C" w:rsidRDefault="00242FF6" w:rsidP="007D0BC7">
      <w:pPr>
        <w:spacing w:after="0" w:line="240" w:lineRule="auto"/>
        <w:jc w:val="center"/>
        <w:rPr>
          <w:rFonts w:asciiTheme="majorHAnsi" w:hAnsiTheme="majorHAnsi"/>
        </w:rPr>
      </w:pPr>
      <w:r>
        <w:rPr>
          <w:rFonts w:asciiTheme="majorHAnsi" w:hAnsiTheme="majorHAnsi"/>
        </w:rPr>
        <w:t>(</w:t>
      </w:r>
      <w:r w:rsidR="007D0BC7" w:rsidRPr="00613B2C">
        <w:rPr>
          <w:rFonts w:asciiTheme="majorHAnsi" w:hAnsiTheme="majorHAnsi"/>
        </w:rPr>
        <w:t>millones de colones</w:t>
      </w:r>
      <w:r>
        <w:rPr>
          <w:rFonts w:asciiTheme="majorHAnsi" w:hAnsiTheme="majorHAnsi"/>
        </w:rPr>
        <w:t>)</w:t>
      </w:r>
    </w:p>
    <w:bookmarkStart w:id="6" w:name="_1603525717"/>
    <w:bookmarkEnd w:id="6"/>
    <w:p w14:paraId="3801DD53" w14:textId="77777777" w:rsidR="007D0BC7" w:rsidRPr="00613B2C" w:rsidRDefault="00F733C3" w:rsidP="007D0BC7">
      <w:pPr>
        <w:spacing w:after="0" w:line="240" w:lineRule="auto"/>
        <w:ind w:left="-426"/>
        <w:rPr>
          <w:rFonts w:asciiTheme="majorHAnsi" w:hAnsiTheme="majorHAnsi"/>
          <w:highlight w:val="yellow"/>
        </w:rPr>
      </w:pPr>
      <w:r w:rsidRPr="00F733C3">
        <w:rPr>
          <w:rFonts w:asciiTheme="majorHAnsi" w:hAnsiTheme="majorHAnsi"/>
        </w:rPr>
        <w:object w:dxaOrig="13799" w:dyaOrig="3796" w14:anchorId="611BFBBB">
          <v:shape id="_x0000_i1026" type="#_x0000_t75" style="width:549pt;height:150pt" o:ole="">
            <v:imagedata r:id="rId16" o:title=""/>
          </v:shape>
          <o:OLEObject Type="Embed" ProgID="Excel.Sheet.12" ShapeID="_x0000_i1026" DrawAspect="Content" ObjectID="_1610970907" r:id="rId17"/>
        </w:object>
      </w:r>
    </w:p>
    <w:p w14:paraId="3A9493E4" w14:textId="77777777" w:rsidR="007D0BC7" w:rsidRPr="00613B2C" w:rsidRDefault="007D0BC7" w:rsidP="007D0BC7">
      <w:pPr>
        <w:spacing w:after="0" w:line="240" w:lineRule="auto"/>
        <w:rPr>
          <w:rFonts w:asciiTheme="majorHAnsi" w:hAnsiTheme="majorHAnsi"/>
          <w:highlight w:val="yellow"/>
        </w:rPr>
      </w:pPr>
    </w:p>
    <w:p w14:paraId="70FA6A64" w14:textId="0F0A2F20" w:rsidR="007D0BC7" w:rsidRDefault="00EB31F3" w:rsidP="007D0BC7">
      <w:pPr>
        <w:spacing w:after="0" w:line="240" w:lineRule="auto"/>
        <w:jc w:val="both"/>
        <w:rPr>
          <w:rFonts w:asciiTheme="majorHAnsi" w:hAnsiTheme="majorHAnsi"/>
        </w:rPr>
      </w:pPr>
      <w:r>
        <w:rPr>
          <w:rFonts w:asciiTheme="majorHAnsi" w:hAnsiTheme="majorHAnsi"/>
        </w:rPr>
        <w:t xml:space="preserve">Los gestores con más recursos invertidos en el </w:t>
      </w:r>
      <w:r w:rsidR="007D0BC7" w:rsidRPr="00613B2C">
        <w:rPr>
          <w:rFonts w:asciiTheme="majorHAnsi" w:hAnsiTheme="majorHAnsi"/>
        </w:rPr>
        <w:t xml:space="preserve">sector público local son en primer lugar el </w:t>
      </w:r>
      <w:r w:rsidR="00DD6177">
        <w:rPr>
          <w:rFonts w:asciiTheme="majorHAnsi" w:hAnsiTheme="majorHAnsi"/>
        </w:rPr>
        <w:t>IVM</w:t>
      </w:r>
      <w:r w:rsidR="007D0BC7" w:rsidRPr="00613B2C">
        <w:rPr>
          <w:rFonts w:asciiTheme="majorHAnsi" w:hAnsiTheme="majorHAnsi"/>
        </w:rPr>
        <w:t xml:space="preserve"> con 2 billones de colones, </w:t>
      </w:r>
      <w:r w:rsidR="00DD6177">
        <w:rPr>
          <w:rFonts w:asciiTheme="majorHAnsi" w:hAnsiTheme="majorHAnsi"/>
        </w:rPr>
        <w:t>seguido por</w:t>
      </w:r>
      <w:r w:rsidR="00CF2DA7">
        <w:rPr>
          <w:rFonts w:asciiTheme="majorHAnsi" w:hAnsiTheme="majorHAnsi"/>
        </w:rPr>
        <w:t xml:space="preserve"> e</w:t>
      </w:r>
      <w:r w:rsidR="007D0BC7" w:rsidRPr="00613B2C">
        <w:rPr>
          <w:rFonts w:asciiTheme="majorHAnsi" w:hAnsiTheme="majorHAnsi"/>
        </w:rPr>
        <w:t>l fondo de Capitalización Colectiva del Magisterio nacional (FCCMN) con 1.7 billones de colones, en tercer lugar, Popular Pensiones con 1.5 billo</w:t>
      </w:r>
      <w:r w:rsidR="00CF2DA7">
        <w:rPr>
          <w:rFonts w:asciiTheme="majorHAnsi" w:hAnsiTheme="majorHAnsi"/>
        </w:rPr>
        <w:t xml:space="preserve">nes de colones, en cuarto </w:t>
      </w:r>
      <w:r w:rsidR="00F575B8">
        <w:rPr>
          <w:rFonts w:asciiTheme="majorHAnsi" w:hAnsiTheme="majorHAnsi"/>
        </w:rPr>
        <w:t>lugar,</w:t>
      </w:r>
      <w:r w:rsidR="007D0BC7" w:rsidRPr="00613B2C">
        <w:rPr>
          <w:rFonts w:asciiTheme="majorHAnsi" w:hAnsiTheme="majorHAnsi"/>
        </w:rPr>
        <w:t xml:space="preserve"> BN-Vital con 0.9 </w:t>
      </w:r>
      <w:r w:rsidR="007D0BC7" w:rsidRPr="00613B2C">
        <w:rPr>
          <w:rFonts w:asciiTheme="majorHAnsi" w:hAnsiTheme="majorHAnsi"/>
        </w:rPr>
        <w:lastRenderedPageBreak/>
        <w:t>billone</w:t>
      </w:r>
      <w:r w:rsidR="00CF2DA7">
        <w:rPr>
          <w:rFonts w:asciiTheme="majorHAnsi" w:hAnsiTheme="majorHAnsi"/>
        </w:rPr>
        <w:t xml:space="preserve">s de colones y en quinto lugar </w:t>
      </w:r>
      <w:r w:rsidR="007D0BC7" w:rsidRPr="00613B2C">
        <w:rPr>
          <w:rFonts w:asciiTheme="majorHAnsi" w:hAnsiTheme="majorHAnsi"/>
        </w:rPr>
        <w:t>BCR Pensión con 0.7 billones de colones. Estas cinco entidades representan el 75% del total de activos invertidos en el sector público local.</w:t>
      </w:r>
    </w:p>
    <w:p w14:paraId="7B8FEED8" w14:textId="5BCAC72F" w:rsidR="00A97B8A" w:rsidRDefault="00A97B8A" w:rsidP="007D0BC7">
      <w:pPr>
        <w:spacing w:after="0" w:line="240" w:lineRule="auto"/>
        <w:jc w:val="both"/>
        <w:rPr>
          <w:rFonts w:asciiTheme="majorHAnsi" w:hAnsiTheme="majorHAnsi"/>
        </w:rPr>
      </w:pPr>
    </w:p>
    <w:p w14:paraId="054F47D7" w14:textId="19271780" w:rsidR="00A97B8A" w:rsidRPr="00A97B8A" w:rsidRDefault="00A97B8A" w:rsidP="00A97B8A">
      <w:pPr>
        <w:spacing w:after="0" w:line="240" w:lineRule="auto"/>
        <w:jc w:val="both"/>
        <w:rPr>
          <w:rFonts w:asciiTheme="majorHAnsi" w:hAnsiTheme="majorHAnsi"/>
        </w:rPr>
      </w:pPr>
      <w:r w:rsidRPr="00A97B8A">
        <w:rPr>
          <w:rFonts w:asciiTheme="majorHAnsi" w:hAnsiTheme="majorHAnsi"/>
        </w:rPr>
        <w:t>En relación con las inversiones del ROP, en conjunto se observa una disminución de las inversiones en Ministerio de Hacienda y Banco Central. Esta disminución ha sido del 9% durante los últimos 6 años. Adicionalmente se da una disminución de para el periodo observado de 2% en las inversiones de instituciones públicas no financieras. Esta disminución se contrapone al aumento en las inversiones en el sector privado (5%), en el sector público financiero (1%) y principalmente en las inversiones en el sector externo, las que crecieron un 6% en los últimos 5 años.</w:t>
      </w:r>
    </w:p>
    <w:p w14:paraId="4D83B0E3" w14:textId="77777777" w:rsidR="00A97B8A" w:rsidRPr="00A97B8A" w:rsidRDefault="00A97B8A" w:rsidP="00A97B8A">
      <w:pPr>
        <w:spacing w:after="0" w:line="240" w:lineRule="auto"/>
        <w:jc w:val="both"/>
        <w:rPr>
          <w:rFonts w:asciiTheme="majorHAnsi" w:hAnsiTheme="majorHAnsi"/>
        </w:rPr>
      </w:pPr>
    </w:p>
    <w:p w14:paraId="5025CDA1" w14:textId="77777777" w:rsidR="00A97B8A" w:rsidRPr="00A97B8A" w:rsidRDefault="00A97B8A" w:rsidP="00A97B8A">
      <w:pPr>
        <w:spacing w:after="0" w:line="240" w:lineRule="auto"/>
        <w:jc w:val="center"/>
        <w:rPr>
          <w:rFonts w:asciiTheme="majorHAnsi" w:hAnsiTheme="majorHAnsi"/>
        </w:rPr>
      </w:pPr>
      <w:r w:rsidRPr="00A97B8A">
        <w:rPr>
          <w:rFonts w:asciiTheme="majorHAnsi" w:hAnsiTheme="majorHAnsi"/>
        </w:rPr>
        <w:t>Gráfico 1</w:t>
      </w:r>
    </w:p>
    <w:p w14:paraId="554E792C" w14:textId="5CEA0B81" w:rsidR="00A97B8A" w:rsidRPr="00A55650" w:rsidRDefault="00F575B8" w:rsidP="00A97B8A">
      <w:pPr>
        <w:spacing w:after="0" w:line="240" w:lineRule="auto"/>
        <w:jc w:val="center"/>
        <w:rPr>
          <w:rFonts w:asciiTheme="majorHAnsi" w:hAnsiTheme="majorHAnsi"/>
          <w:highlight w:val="yellow"/>
        </w:rPr>
      </w:pPr>
      <w:r>
        <w:rPr>
          <w:noProof/>
        </w:rPr>
        <w:drawing>
          <wp:inline distT="0" distB="0" distL="0" distR="0" wp14:anchorId="19C83F2A" wp14:editId="4A44C717">
            <wp:extent cx="5731510" cy="1397000"/>
            <wp:effectExtent l="0" t="0" r="2540" b="0"/>
            <wp:docPr id="1445259982" name="Imagen 1445259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731510" cy="1397000"/>
                    </a:xfrm>
                    <a:prstGeom prst="rect">
                      <a:avLst/>
                    </a:prstGeom>
                  </pic:spPr>
                </pic:pic>
              </a:graphicData>
            </a:graphic>
          </wp:inline>
        </w:drawing>
      </w:r>
    </w:p>
    <w:p w14:paraId="6D0F76D9" w14:textId="77777777" w:rsidR="00A97B8A" w:rsidRPr="00613B2C" w:rsidRDefault="00A97B8A" w:rsidP="007D0BC7">
      <w:pPr>
        <w:spacing w:after="0" w:line="240" w:lineRule="auto"/>
        <w:jc w:val="both"/>
        <w:rPr>
          <w:rFonts w:asciiTheme="majorHAnsi" w:hAnsiTheme="majorHAnsi"/>
        </w:rPr>
      </w:pPr>
    </w:p>
    <w:p w14:paraId="51D072FE" w14:textId="77777777" w:rsidR="007D0BC7" w:rsidRPr="00613B2C" w:rsidRDefault="007D0BC7" w:rsidP="007D0BC7">
      <w:pPr>
        <w:spacing w:after="0" w:line="240" w:lineRule="auto"/>
        <w:rPr>
          <w:rFonts w:asciiTheme="majorHAnsi" w:hAnsiTheme="majorHAnsi"/>
        </w:rPr>
      </w:pPr>
    </w:p>
    <w:p w14:paraId="39117A5D" w14:textId="77777777" w:rsidR="007D0BC7" w:rsidRPr="00613B2C" w:rsidRDefault="007D0BC7" w:rsidP="00772349">
      <w:pPr>
        <w:pStyle w:val="Ttulo2"/>
      </w:pPr>
      <w:r w:rsidRPr="00613B2C">
        <w:t>Sector privado</w:t>
      </w:r>
    </w:p>
    <w:p w14:paraId="6E901EEB" w14:textId="77777777" w:rsidR="007D0BC7" w:rsidRPr="00613B2C" w:rsidRDefault="007D0BC7" w:rsidP="007D0BC7">
      <w:pPr>
        <w:spacing w:after="0" w:line="240" w:lineRule="auto"/>
        <w:jc w:val="both"/>
        <w:rPr>
          <w:rFonts w:asciiTheme="majorHAnsi" w:hAnsiTheme="majorHAnsi"/>
        </w:rPr>
      </w:pPr>
    </w:p>
    <w:p w14:paraId="29FF151C" w14:textId="01E70A8D" w:rsidR="007D0BC7" w:rsidRPr="00613B2C" w:rsidRDefault="007D0BC7" w:rsidP="007D0BC7">
      <w:pPr>
        <w:spacing w:after="0" w:line="240" w:lineRule="auto"/>
        <w:jc w:val="both"/>
        <w:rPr>
          <w:rFonts w:asciiTheme="majorHAnsi" w:hAnsiTheme="majorHAnsi"/>
        </w:rPr>
      </w:pPr>
      <w:r w:rsidRPr="00613B2C">
        <w:rPr>
          <w:rFonts w:asciiTheme="majorHAnsi" w:hAnsiTheme="majorHAnsi"/>
        </w:rPr>
        <w:t>Los fondos de pensión tienen casi 2 billones de colones invertidos en títulos del sector privado local, este monto representa el 15% del total de activos administrados por el SNP</w:t>
      </w:r>
      <w:r w:rsidRPr="00613B2C">
        <w:rPr>
          <w:rFonts w:asciiTheme="majorHAnsi" w:hAnsiTheme="majorHAnsi"/>
          <w:vertAlign w:val="superscript"/>
        </w:rPr>
        <w:footnoteReference w:id="2"/>
      </w:r>
      <w:r w:rsidRPr="00613B2C">
        <w:rPr>
          <w:rFonts w:asciiTheme="majorHAnsi" w:hAnsiTheme="majorHAnsi"/>
        </w:rPr>
        <w:t>. El 67% de las inversiones está colocado en moneda local y el resto en dólares. Por otro lado, el 80% de estos recursos está concentrado en 10 emisores que correspo</w:t>
      </w:r>
      <w:r w:rsidR="00E628C3">
        <w:rPr>
          <w:rFonts w:asciiTheme="majorHAnsi" w:hAnsiTheme="majorHAnsi"/>
        </w:rPr>
        <w:t>nden a 5 bancos, 2 mutuales, 2 sociedades administradoras de f</w:t>
      </w:r>
      <w:r w:rsidRPr="00613B2C">
        <w:rPr>
          <w:rFonts w:asciiTheme="majorHAnsi" w:hAnsiTheme="majorHAnsi"/>
        </w:rPr>
        <w:t>ond</w:t>
      </w:r>
      <w:r w:rsidR="00E628C3">
        <w:rPr>
          <w:rFonts w:asciiTheme="majorHAnsi" w:hAnsiTheme="majorHAnsi"/>
        </w:rPr>
        <w:t>os de i</w:t>
      </w:r>
      <w:r w:rsidRPr="00613B2C">
        <w:rPr>
          <w:rFonts w:asciiTheme="majorHAnsi" w:hAnsiTheme="majorHAnsi"/>
        </w:rPr>
        <w:t>nversión y Florida Ice and Farm.</w:t>
      </w:r>
    </w:p>
    <w:p w14:paraId="39D990D7" w14:textId="60470777" w:rsidR="007D0BC7" w:rsidRPr="00613B2C" w:rsidRDefault="007D0BC7" w:rsidP="007D0BC7">
      <w:pPr>
        <w:spacing w:after="0" w:line="240" w:lineRule="auto"/>
        <w:rPr>
          <w:rFonts w:asciiTheme="majorHAnsi" w:hAnsiTheme="majorHAnsi"/>
        </w:rPr>
      </w:pPr>
    </w:p>
    <w:p w14:paraId="1FF64D1B" w14:textId="5E914876" w:rsidR="007D0BC7" w:rsidRPr="00613B2C" w:rsidRDefault="00852DD8" w:rsidP="00852DD8">
      <w:pPr>
        <w:spacing w:after="0" w:line="240" w:lineRule="auto"/>
        <w:jc w:val="center"/>
        <w:rPr>
          <w:rFonts w:asciiTheme="majorHAnsi" w:hAnsiTheme="majorHAnsi"/>
        </w:rPr>
      </w:pPr>
      <w:r>
        <w:rPr>
          <w:rFonts w:asciiTheme="majorHAnsi" w:hAnsiTheme="majorHAnsi"/>
        </w:rPr>
        <w:t>Cuadro 4</w:t>
      </w:r>
    </w:p>
    <w:p w14:paraId="6A964E63" w14:textId="77777777" w:rsidR="007D0BC7" w:rsidRPr="00613B2C" w:rsidRDefault="007D0BC7" w:rsidP="007D0BC7">
      <w:pPr>
        <w:spacing w:after="0" w:line="240" w:lineRule="auto"/>
        <w:jc w:val="center"/>
        <w:rPr>
          <w:rFonts w:asciiTheme="majorHAnsi" w:hAnsiTheme="majorHAnsi"/>
        </w:rPr>
      </w:pPr>
      <w:r w:rsidRPr="00613B2C">
        <w:rPr>
          <w:rFonts w:asciiTheme="majorHAnsi" w:hAnsiTheme="majorHAnsi"/>
        </w:rPr>
        <w:t>Inversiones de los Fondos de Pensión en el sector privado local</w:t>
      </w:r>
    </w:p>
    <w:p w14:paraId="234A1458" w14:textId="77777777" w:rsidR="007D0BC7" w:rsidRPr="00613B2C" w:rsidRDefault="007D0BC7" w:rsidP="007D0BC7">
      <w:pPr>
        <w:spacing w:after="0" w:line="240" w:lineRule="auto"/>
        <w:jc w:val="center"/>
        <w:rPr>
          <w:rFonts w:asciiTheme="majorHAnsi" w:hAnsiTheme="majorHAnsi"/>
        </w:rPr>
      </w:pPr>
      <w:r w:rsidRPr="00613B2C">
        <w:rPr>
          <w:rFonts w:asciiTheme="majorHAnsi" w:hAnsiTheme="majorHAnsi"/>
        </w:rPr>
        <w:t>Diez principales emisores (representan el 80%)</w:t>
      </w:r>
    </w:p>
    <w:p w14:paraId="6BFB286B" w14:textId="748AD1FD" w:rsidR="007D0BC7" w:rsidRPr="00613B2C" w:rsidRDefault="00457C4D" w:rsidP="007D0BC7">
      <w:pPr>
        <w:spacing w:after="0" w:line="240" w:lineRule="auto"/>
        <w:jc w:val="center"/>
        <w:rPr>
          <w:rFonts w:asciiTheme="majorHAnsi" w:hAnsiTheme="majorHAnsi"/>
        </w:rPr>
      </w:pPr>
      <w:r>
        <w:rPr>
          <w:rFonts w:asciiTheme="majorHAnsi" w:hAnsiTheme="majorHAnsi"/>
        </w:rPr>
        <w:t>En millones de colones Se</w:t>
      </w:r>
      <w:r w:rsidR="007D0BC7" w:rsidRPr="00613B2C">
        <w:rPr>
          <w:rFonts w:asciiTheme="majorHAnsi" w:hAnsiTheme="majorHAnsi"/>
        </w:rPr>
        <w:t>tiembre 2018</w:t>
      </w:r>
    </w:p>
    <w:p w14:paraId="1D4A7068" w14:textId="77777777" w:rsidR="007D0BC7" w:rsidRPr="00613B2C" w:rsidRDefault="007D0BC7" w:rsidP="007D0BC7">
      <w:pPr>
        <w:spacing w:after="0" w:line="240" w:lineRule="auto"/>
        <w:rPr>
          <w:rFonts w:asciiTheme="majorHAnsi" w:hAnsiTheme="majorHAnsi"/>
        </w:rPr>
      </w:pPr>
    </w:p>
    <w:p w14:paraId="4BC71009" w14:textId="77777777" w:rsidR="007D0BC7" w:rsidRPr="00613B2C" w:rsidRDefault="007D0BC7" w:rsidP="007D0BC7">
      <w:pPr>
        <w:spacing w:after="0" w:line="240" w:lineRule="auto"/>
        <w:jc w:val="center"/>
        <w:rPr>
          <w:rFonts w:asciiTheme="majorHAnsi" w:hAnsiTheme="majorHAnsi"/>
        </w:rPr>
      </w:pPr>
      <w:r w:rsidRPr="00613B2C">
        <w:rPr>
          <w:rFonts w:asciiTheme="majorHAnsi" w:hAnsiTheme="majorHAnsi"/>
        </w:rPr>
        <w:object w:dxaOrig="8567" w:dyaOrig="3520" w14:anchorId="099518F7">
          <v:shape id="_x0000_i1027" type="#_x0000_t75" style="width:428.25pt;height:176.25pt" o:ole="">
            <v:imagedata r:id="rId19" o:title=""/>
          </v:shape>
          <o:OLEObject Type="Embed" ProgID="Excel.Sheet.12" ShapeID="_x0000_i1027" DrawAspect="Content" ObjectID="_1610970908" r:id="rId20"/>
        </w:object>
      </w:r>
    </w:p>
    <w:p w14:paraId="2EBF0356" w14:textId="77777777" w:rsidR="007D0BC7" w:rsidRPr="00613B2C" w:rsidRDefault="007D0BC7" w:rsidP="007D0BC7">
      <w:pPr>
        <w:spacing w:after="0" w:line="240" w:lineRule="auto"/>
        <w:rPr>
          <w:rFonts w:asciiTheme="majorHAnsi" w:hAnsiTheme="majorHAnsi"/>
        </w:rPr>
      </w:pPr>
    </w:p>
    <w:p w14:paraId="70EFBA74" w14:textId="77777777" w:rsidR="007D0BC7" w:rsidRPr="00613B2C" w:rsidRDefault="007D0BC7" w:rsidP="007D0BC7">
      <w:pPr>
        <w:spacing w:after="0" w:line="240" w:lineRule="auto"/>
        <w:rPr>
          <w:rFonts w:asciiTheme="majorHAnsi" w:hAnsiTheme="majorHAnsi"/>
        </w:rPr>
      </w:pPr>
    </w:p>
    <w:p w14:paraId="37D0E788" w14:textId="77777777" w:rsidR="007D0BC7" w:rsidRPr="00613B2C" w:rsidRDefault="007D0BC7" w:rsidP="007D0BC7">
      <w:pPr>
        <w:spacing w:after="0" w:line="240" w:lineRule="auto"/>
        <w:jc w:val="both"/>
        <w:rPr>
          <w:rFonts w:asciiTheme="majorHAnsi" w:hAnsiTheme="majorHAnsi"/>
        </w:rPr>
      </w:pPr>
      <w:r w:rsidRPr="00613B2C">
        <w:rPr>
          <w:rFonts w:asciiTheme="majorHAnsi" w:hAnsiTheme="majorHAnsi"/>
        </w:rPr>
        <w:lastRenderedPageBreak/>
        <w:t xml:space="preserve">Del total de activos invertidos en títulos del sector privado local 0.9 billones de colones (el 47%) se encuentra en deuda estandarizada, 0.6 billones de colones (el 32%) están colocados en deuda individual y 0.4 millones de colones (el 21%) en acciones y fondos de inversión abiertos y cerrados. Ahora bien, del total de activos invertidos en el sector privado local el 87% está colocado en los ROP, el 11 % en el FCL y el restante 2% en los fondos voluntarios, regímenes especiales y otros. </w:t>
      </w:r>
    </w:p>
    <w:p w14:paraId="644F1BC1" w14:textId="77777777" w:rsidR="007D0BC7" w:rsidRPr="00613B2C" w:rsidRDefault="007D0BC7" w:rsidP="007D0BC7">
      <w:pPr>
        <w:spacing w:after="0" w:line="240" w:lineRule="auto"/>
        <w:jc w:val="both"/>
        <w:rPr>
          <w:rFonts w:asciiTheme="majorHAnsi" w:hAnsiTheme="majorHAnsi"/>
        </w:rPr>
      </w:pPr>
    </w:p>
    <w:p w14:paraId="2EF1A4E0" w14:textId="45A118B4" w:rsidR="00C02EEE" w:rsidRPr="00613B2C" w:rsidRDefault="00D97237" w:rsidP="007D0BC7">
      <w:pPr>
        <w:spacing w:after="0" w:line="240" w:lineRule="auto"/>
        <w:jc w:val="both"/>
        <w:rPr>
          <w:rFonts w:asciiTheme="majorHAnsi" w:hAnsiTheme="majorHAnsi"/>
        </w:rPr>
      </w:pPr>
      <w:r>
        <w:rPr>
          <w:rFonts w:asciiTheme="majorHAnsi" w:hAnsiTheme="majorHAnsi"/>
        </w:rPr>
        <w:t>En</w:t>
      </w:r>
      <w:r w:rsidR="00C02EEE" w:rsidRPr="00C02EEE">
        <w:rPr>
          <w:rFonts w:asciiTheme="majorHAnsi" w:hAnsiTheme="majorHAnsi"/>
        </w:rPr>
        <w:t xml:space="preserve"> este sector el </w:t>
      </w:r>
      <w:r w:rsidR="00D3139E">
        <w:rPr>
          <w:rFonts w:asciiTheme="majorHAnsi" w:hAnsiTheme="majorHAnsi"/>
        </w:rPr>
        <w:t xml:space="preserve">RCC del Magisterio Nacional </w:t>
      </w:r>
      <w:r w:rsidR="00A31090">
        <w:rPr>
          <w:rFonts w:asciiTheme="majorHAnsi" w:hAnsiTheme="majorHAnsi"/>
        </w:rPr>
        <w:t>representa</w:t>
      </w:r>
      <w:r w:rsidR="00D011F6">
        <w:rPr>
          <w:rFonts w:asciiTheme="majorHAnsi" w:hAnsiTheme="majorHAnsi"/>
        </w:rPr>
        <w:t xml:space="preserve"> un 19%, BN Vital con 18%, </w:t>
      </w:r>
      <w:r w:rsidR="00C02EEE" w:rsidRPr="00C02EEE">
        <w:rPr>
          <w:rFonts w:asciiTheme="majorHAnsi" w:hAnsiTheme="majorHAnsi"/>
        </w:rPr>
        <w:t xml:space="preserve">Popular </w:t>
      </w:r>
      <w:proofErr w:type="gramStart"/>
      <w:r w:rsidR="00C02EEE" w:rsidRPr="00C02EEE">
        <w:rPr>
          <w:rFonts w:asciiTheme="majorHAnsi" w:hAnsiTheme="majorHAnsi"/>
        </w:rPr>
        <w:t>Pe</w:t>
      </w:r>
      <w:r w:rsidR="00D011F6">
        <w:rPr>
          <w:rFonts w:asciiTheme="majorHAnsi" w:hAnsiTheme="majorHAnsi"/>
        </w:rPr>
        <w:t>nsiones  15</w:t>
      </w:r>
      <w:proofErr w:type="gramEnd"/>
      <w:r w:rsidR="00D011F6">
        <w:rPr>
          <w:rFonts w:asciiTheme="majorHAnsi" w:hAnsiTheme="majorHAnsi"/>
        </w:rPr>
        <w:t xml:space="preserve">%, BCR Pensión </w:t>
      </w:r>
      <w:r w:rsidR="00C02EEE" w:rsidRPr="00C02EEE">
        <w:rPr>
          <w:rFonts w:asciiTheme="majorHAnsi" w:hAnsiTheme="majorHAnsi"/>
        </w:rPr>
        <w:t>13%, el Vida Plena 9% y BAC SJ Pensiones con 6%. Estas seis entidades representan el 80% del total de activos invertidos en el sector privado.</w:t>
      </w:r>
    </w:p>
    <w:p w14:paraId="7CB52EA4" w14:textId="77777777" w:rsidR="007D0BC7" w:rsidRPr="00613B2C" w:rsidRDefault="007D0BC7" w:rsidP="007D0BC7">
      <w:pPr>
        <w:spacing w:after="0" w:line="240" w:lineRule="auto"/>
        <w:jc w:val="both"/>
        <w:rPr>
          <w:rFonts w:asciiTheme="majorHAnsi" w:hAnsiTheme="majorHAnsi"/>
        </w:rPr>
      </w:pPr>
    </w:p>
    <w:p w14:paraId="4DCB5671" w14:textId="1B7E55F7" w:rsidR="007D0BC7" w:rsidRPr="00613B2C" w:rsidRDefault="007D0BC7" w:rsidP="00772349">
      <w:pPr>
        <w:pStyle w:val="Ttulo2"/>
      </w:pPr>
      <w:r w:rsidRPr="00613B2C">
        <w:t>Emisores extranjeros</w:t>
      </w:r>
    </w:p>
    <w:p w14:paraId="0CC0197A" w14:textId="77777777" w:rsidR="007D0BC7" w:rsidRPr="00613B2C" w:rsidRDefault="007D0BC7" w:rsidP="007D0BC7">
      <w:pPr>
        <w:spacing w:after="0" w:line="240" w:lineRule="auto"/>
        <w:jc w:val="both"/>
        <w:rPr>
          <w:rFonts w:asciiTheme="majorHAnsi" w:hAnsiTheme="majorHAnsi"/>
        </w:rPr>
      </w:pPr>
    </w:p>
    <w:p w14:paraId="409E0A6D" w14:textId="77777777" w:rsidR="007D0BC7" w:rsidRPr="00613B2C" w:rsidRDefault="007D0BC7" w:rsidP="007D0BC7">
      <w:pPr>
        <w:spacing w:after="0" w:line="240" w:lineRule="auto"/>
        <w:jc w:val="both"/>
        <w:rPr>
          <w:rFonts w:asciiTheme="majorHAnsi" w:hAnsiTheme="majorHAnsi"/>
        </w:rPr>
      </w:pPr>
      <w:r w:rsidRPr="00613B2C">
        <w:rPr>
          <w:rFonts w:asciiTheme="majorHAnsi" w:hAnsiTheme="majorHAnsi"/>
        </w:rPr>
        <w:t>Los fondos de pensión tienen 0.7 billones de colones invertidos en títulos de emisores extranjeros, este monto representa el 6% del total de activos administrados por el SNP</w:t>
      </w:r>
      <w:r w:rsidRPr="0089705F">
        <w:rPr>
          <w:rFonts w:asciiTheme="majorHAnsi" w:hAnsiTheme="majorHAnsi"/>
          <w:sz w:val="18"/>
          <w:vertAlign w:val="superscript"/>
        </w:rPr>
        <w:footnoteReference w:id="3"/>
      </w:r>
      <w:r w:rsidRPr="00613B2C">
        <w:rPr>
          <w:rFonts w:asciiTheme="majorHAnsi" w:hAnsiTheme="majorHAnsi"/>
        </w:rPr>
        <w:t>, de los cuales el 99% está colocado en dólares y el restante 1% en colones. El 88% de estos recursos está concentrado en sólo 10 emisores.</w:t>
      </w:r>
    </w:p>
    <w:p w14:paraId="0A02DEC7" w14:textId="77777777" w:rsidR="007D0BC7" w:rsidRPr="00613B2C" w:rsidRDefault="007D0BC7" w:rsidP="007D0BC7">
      <w:pPr>
        <w:spacing w:after="0" w:line="240" w:lineRule="auto"/>
        <w:jc w:val="both"/>
        <w:rPr>
          <w:rFonts w:asciiTheme="majorHAnsi" w:hAnsiTheme="majorHAnsi"/>
        </w:rPr>
      </w:pPr>
    </w:p>
    <w:p w14:paraId="175CFEB2" w14:textId="77777777" w:rsidR="00852DD8" w:rsidRDefault="00852DD8" w:rsidP="007D0BC7">
      <w:pPr>
        <w:spacing w:after="0" w:line="240" w:lineRule="auto"/>
        <w:jc w:val="center"/>
        <w:rPr>
          <w:rFonts w:asciiTheme="majorHAnsi" w:hAnsiTheme="majorHAnsi"/>
        </w:rPr>
      </w:pPr>
    </w:p>
    <w:p w14:paraId="559BFD0C" w14:textId="3CCE0A35" w:rsidR="00852DD8" w:rsidRDefault="00852DD8" w:rsidP="007D0BC7">
      <w:pPr>
        <w:spacing w:after="0" w:line="240" w:lineRule="auto"/>
        <w:jc w:val="center"/>
        <w:rPr>
          <w:rFonts w:asciiTheme="majorHAnsi" w:hAnsiTheme="majorHAnsi"/>
        </w:rPr>
      </w:pPr>
      <w:r>
        <w:rPr>
          <w:rFonts w:asciiTheme="majorHAnsi" w:hAnsiTheme="majorHAnsi"/>
        </w:rPr>
        <w:t>Cuadro 5</w:t>
      </w:r>
    </w:p>
    <w:p w14:paraId="2B293057" w14:textId="46F8B55D" w:rsidR="007D0BC7" w:rsidRPr="00613B2C" w:rsidRDefault="007D0BC7" w:rsidP="007D0BC7">
      <w:pPr>
        <w:spacing w:after="0" w:line="240" w:lineRule="auto"/>
        <w:jc w:val="center"/>
        <w:rPr>
          <w:rFonts w:asciiTheme="majorHAnsi" w:hAnsiTheme="majorHAnsi"/>
        </w:rPr>
      </w:pPr>
      <w:r w:rsidRPr="00613B2C">
        <w:rPr>
          <w:rFonts w:asciiTheme="majorHAnsi" w:hAnsiTheme="majorHAnsi"/>
        </w:rPr>
        <w:t>Inversiones de los Fondos de Pensión en Emisores Extranjeros</w:t>
      </w:r>
    </w:p>
    <w:p w14:paraId="66304E59" w14:textId="77777777" w:rsidR="007D0BC7" w:rsidRPr="00613B2C" w:rsidRDefault="007D0BC7" w:rsidP="007D0BC7">
      <w:pPr>
        <w:spacing w:after="0" w:line="240" w:lineRule="auto"/>
        <w:jc w:val="center"/>
        <w:rPr>
          <w:rFonts w:asciiTheme="majorHAnsi" w:hAnsiTheme="majorHAnsi"/>
        </w:rPr>
      </w:pPr>
      <w:r w:rsidRPr="00613B2C">
        <w:rPr>
          <w:rFonts w:asciiTheme="majorHAnsi" w:hAnsiTheme="majorHAnsi"/>
        </w:rPr>
        <w:t>Diez principales emisores (representan el 88%)</w:t>
      </w:r>
    </w:p>
    <w:p w14:paraId="663A96E1" w14:textId="77777777" w:rsidR="007D0BC7" w:rsidRPr="00613B2C" w:rsidRDefault="007D0BC7" w:rsidP="007D0BC7">
      <w:pPr>
        <w:spacing w:after="0" w:line="240" w:lineRule="auto"/>
        <w:jc w:val="center"/>
        <w:rPr>
          <w:rFonts w:asciiTheme="majorHAnsi" w:hAnsiTheme="majorHAnsi"/>
        </w:rPr>
      </w:pPr>
      <w:r w:rsidRPr="00613B2C">
        <w:rPr>
          <w:rFonts w:asciiTheme="majorHAnsi" w:hAnsiTheme="majorHAnsi"/>
        </w:rPr>
        <w:t>En millones de colones</w:t>
      </w:r>
    </w:p>
    <w:p w14:paraId="70BB1AD0" w14:textId="77777777" w:rsidR="007D0BC7" w:rsidRPr="00613B2C" w:rsidRDefault="007D0BC7" w:rsidP="007D0BC7">
      <w:pPr>
        <w:spacing w:after="0" w:line="240" w:lineRule="auto"/>
        <w:jc w:val="both"/>
        <w:rPr>
          <w:rFonts w:asciiTheme="majorHAnsi" w:hAnsiTheme="majorHAnsi"/>
        </w:rPr>
      </w:pPr>
    </w:p>
    <w:p w14:paraId="55009F0A" w14:textId="77777777" w:rsidR="007D0BC7" w:rsidRPr="00613B2C" w:rsidRDefault="007D0BC7" w:rsidP="007D0BC7">
      <w:pPr>
        <w:spacing w:after="0" w:line="240" w:lineRule="auto"/>
        <w:jc w:val="center"/>
        <w:rPr>
          <w:rFonts w:asciiTheme="majorHAnsi" w:hAnsiTheme="majorHAnsi"/>
        </w:rPr>
      </w:pPr>
      <w:r w:rsidRPr="00613B2C">
        <w:rPr>
          <w:rFonts w:asciiTheme="majorHAnsi" w:hAnsiTheme="majorHAnsi"/>
        </w:rPr>
        <w:object w:dxaOrig="6522" w:dyaOrig="2939" w14:anchorId="37EB8204">
          <v:shape id="_x0000_i1028" type="#_x0000_t75" style="width:326.25pt;height:146.25pt" o:ole="">
            <v:imagedata r:id="rId21" o:title=""/>
          </v:shape>
          <o:OLEObject Type="Embed" ProgID="Excel.Sheet.12" ShapeID="_x0000_i1028" DrawAspect="Content" ObjectID="_1610970909" r:id="rId22"/>
        </w:object>
      </w:r>
    </w:p>
    <w:p w14:paraId="13E217AE" w14:textId="77777777" w:rsidR="007D0BC7" w:rsidRPr="00613B2C" w:rsidRDefault="007D0BC7" w:rsidP="007D0BC7">
      <w:pPr>
        <w:spacing w:after="0" w:line="240" w:lineRule="auto"/>
        <w:jc w:val="both"/>
        <w:rPr>
          <w:rFonts w:asciiTheme="majorHAnsi" w:hAnsiTheme="majorHAnsi"/>
        </w:rPr>
      </w:pPr>
    </w:p>
    <w:p w14:paraId="63B327E7" w14:textId="57128F90" w:rsidR="007D0BC7" w:rsidRPr="00613B2C" w:rsidRDefault="009D2E2C" w:rsidP="007D0BC7">
      <w:pPr>
        <w:spacing w:after="0" w:line="240" w:lineRule="auto"/>
        <w:jc w:val="both"/>
        <w:rPr>
          <w:rFonts w:asciiTheme="majorHAnsi" w:hAnsiTheme="majorHAnsi"/>
        </w:rPr>
      </w:pPr>
      <w:r>
        <w:rPr>
          <w:rFonts w:asciiTheme="majorHAnsi" w:hAnsiTheme="majorHAnsi"/>
        </w:rPr>
        <w:t>Sólo cinco de las seis operadoras de p</w:t>
      </w:r>
      <w:r w:rsidR="007D0BC7" w:rsidRPr="00613B2C">
        <w:rPr>
          <w:rFonts w:asciiTheme="majorHAnsi" w:hAnsiTheme="majorHAnsi"/>
        </w:rPr>
        <w:t xml:space="preserve">ensiones invierten en títulos de emisores extranjeros, del total de activos invertidos en este sector el 95% corresponde a instrumentos de la cartera del ROP, el 4% al FCL y el restante 1% a los fondos voluntarios. </w:t>
      </w:r>
    </w:p>
    <w:p w14:paraId="6B0EC3DF" w14:textId="77777777" w:rsidR="007D0BC7" w:rsidRPr="00613B2C" w:rsidRDefault="007D0BC7" w:rsidP="007D0BC7">
      <w:pPr>
        <w:spacing w:after="0" w:line="240" w:lineRule="auto"/>
        <w:jc w:val="both"/>
        <w:rPr>
          <w:rFonts w:asciiTheme="majorHAnsi" w:hAnsiTheme="majorHAnsi"/>
        </w:rPr>
      </w:pPr>
    </w:p>
    <w:p w14:paraId="307D44FD" w14:textId="48CE72C5" w:rsidR="007D0BC7" w:rsidRDefault="007D0BC7" w:rsidP="007D0BC7">
      <w:pPr>
        <w:spacing w:after="0" w:line="240" w:lineRule="auto"/>
        <w:jc w:val="both"/>
        <w:rPr>
          <w:rFonts w:asciiTheme="majorHAnsi" w:hAnsiTheme="majorHAnsi"/>
        </w:rPr>
      </w:pPr>
      <w:r w:rsidRPr="00613B2C">
        <w:rPr>
          <w:rFonts w:asciiTheme="majorHAnsi" w:hAnsiTheme="majorHAnsi"/>
        </w:rPr>
        <w:t xml:space="preserve">Los activos colocados en este sector se concentran en fondos de inversión con un 99% y sólo el 1% está invertido en deuda estandariza. Adicionalmente, hay una inversión en acciones de AD Astra </w:t>
      </w:r>
      <w:proofErr w:type="spellStart"/>
      <w:r w:rsidRPr="00613B2C">
        <w:rPr>
          <w:rFonts w:asciiTheme="majorHAnsi" w:hAnsiTheme="majorHAnsi"/>
        </w:rPr>
        <w:t>Rocket</w:t>
      </w:r>
      <w:proofErr w:type="spellEnd"/>
      <w:r w:rsidRPr="00613B2C">
        <w:rPr>
          <w:rFonts w:asciiTheme="majorHAnsi" w:hAnsiTheme="majorHAnsi"/>
        </w:rPr>
        <w:t xml:space="preserve"> Company que representa el 0.02% del total de la cartera invertida en el sector extranjero.</w:t>
      </w:r>
    </w:p>
    <w:p w14:paraId="3315C150" w14:textId="64A5FA6B" w:rsidR="00A97B8A" w:rsidRDefault="00A97B8A" w:rsidP="007D0BC7">
      <w:pPr>
        <w:spacing w:after="0" w:line="240" w:lineRule="auto"/>
        <w:jc w:val="both"/>
        <w:rPr>
          <w:rFonts w:asciiTheme="majorHAnsi" w:hAnsiTheme="majorHAnsi"/>
        </w:rPr>
      </w:pPr>
    </w:p>
    <w:p w14:paraId="577994BB" w14:textId="6E4BB8C0" w:rsidR="00A97B8A" w:rsidRPr="00613B2C" w:rsidRDefault="00A97B8A" w:rsidP="00A97B8A">
      <w:pPr>
        <w:spacing w:after="0" w:line="240" w:lineRule="auto"/>
        <w:jc w:val="both"/>
        <w:rPr>
          <w:rFonts w:asciiTheme="majorHAnsi" w:hAnsiTheme="majorHAnsi"/>
        </w:rPr>
      </w:pPr>
      <w:r w:rsidRPr="00A97B8A">
        <w:rPr>
          <w:rFonts w:asciiTheme="majorHAnsi" w:hAnsiTheme="majorHAnsi"/>
        </w:rPr>
        <w:t xml:space="preserve">A nivel de inversiones en el sector externo, también ha cambiado la composición. En el 2013 la cartera externa se concentraba en emisores como </w:t>
      </w:r>
      <w:proofErr w:type="spellStart"/>
      <w:r w:rsidRPr="00A97B8A">
        <w:rPr>
          <w:rFonts w:asciiTheme="majorHAnsi" w:hAnsiTheme="majorHAnsi"/>
        </w:rPr>
        <w:t>Flanklin</w:t>
      </w:r>
      <w:proofErr w:type="spellEnd"/>
      <w:r w:rsidRPr="00A97B8A">
        <w:rPr>
          <w:rFonts w:asciiTheme="majorHAnsi" w:hAnsiTheme="majorHAnsi"/>
        </w:rPr>
        <w:t xml:space="preserve"> </w:t>
      </w:r>
      <w:proofErr w:type="spellStart"/>
      <w:r w:rsidRPr="00A97B8A">
        <w:rPr>
          <w:rFonts w:asciiTheme="majorHAnsi" w:hAnsiTheme="majorHAnsi"/>
        </w:rPr>
        <w:t>Templeton</w:t>
      </w:r>
      <w:proofErr w:type="spellEnd"/>
      <w:r w:rsidRPr="00A97B8A">
        <w:rPr>
          <w:rFonts w:asciiTheme="majorHAnsi" w:hAnsiTheme="majorHAnsi"/>
        </w:rPr>
        <w:t xml:space="preserve"> </w:t>
      </w:r>
      <w:proofErr w:type="spellStart"/>
      <w:r w:rsidRPr="00A97B8A">
        <w:rPr>
          <w:rFonts w:asciiTheme="majorHAnsi" w:hAnsiTheme="majorHAnsi"/>
        </w:rPr>
        <w:t>Investment</w:t>
      </w:r>
      <w:proofErr w:type="spellEnd"/>
      <w:r w:rsidRPr="00A97B8A">
        <w:rPr>
          <w:rFonts w:asciiTheme="majorHAnsi" w:hAnsiTheme="majorHAnsi"/>
        </w:rPr>
        <w:t xml:space="preserve"> </w:t>
      </w:r>
      <w:proofErr w:type="spellStart"/>
      <w:r w:rsidRPr="00A97B8A">
        <w:rPr>
          <w:rFonts w:asciiTheme="majorHAnsi" w:hAnsiTheme="majorHAnsi"/>
        </w:rPr>
        <w:t>Funds</w:t>
      </w:r>
      <w:proofErr w:type="spellEnd"/>
      <w:r w:rsidRPr="00A97B8A">
        <w:rPr>
          <w:rFonts w:asciiTheme="majorHAnsi" w:hAnsiTheme="majorHAnsi"/>
        </w:rPr>
        <w:t xml:space="preserve">, </w:t>
      </w:r>
      <w:proofErr w:type="gramStart"/>
      <w:r w:rsidRPr="00A97B8A">
        <w:rPr>
          <w:rFonts w:asciiTheme="majorHAnsi" w:hAnsiTheme="majorHAnsi"/>
        </w:rPr>
        <w:t xml:space="preserve">International  </w:t>
      </w:r>
      <w:proofErr w:type="spellStart"/>
      <w:r w:rsidRPr="00A97B8A">
        <w:rPr>
          <w:rFonts w:asciiTheme="majorHAnsi" w:hAnsiTheme="majorHAnsi"/>
        </w:rPr>
        <w:t>Finance</w:t>
      </w:r>
      <w:proofErr w:type="spellEnd"/>
      <w:proofErr w:type="gramEnd"/>
      <w:r w:rsidRPr="00A97B8A">
        <w:rPr>
          <w:rFonts w:asciiTheme="majorHAnsi" w:hAnsiTheme="majorHAnsi"/>
        </w:rPr>
        <w:t xml:space="preserve"> </w:t>
      </w:r>
      <w:proofErr w:type="spellStart"/>
      <w:r w:rsidRPr="00A97B8A">
        <w:rPr>
          <w:rFonts w:asciiTheme="majorHAnsi" w:hAnsiTheme="majorHAnsi"/>
        </w:rPr>
        <w:t>Corporation</w:t>
      </w:r>
      <w:proofErr w:type="spellEnd"/>
      <w:r w:rsidRPr="00A97B8A">
        <w:rPr>
          <w:rFonts w:asciiTheme="majorHAnsi" w:hAnsiTheme="majorHAnsi"/>
        </w:rPr>
        <w:t xml:space="preserve"> y </w:t>
      </w:r>
      <w:proofErr w:type="spellStart"/>
      <w:r w:rsidRPr="00A97B8A">
        <w:rPr>
          <w:rFonts w:asciiTheme="majorHAnsi" w:hAnsiTheme="majorHAnsi"/>
        </w:rPr>
        <w:t>Interamerican</w:t>
      </w:r>
      <w:proofErr w:type="spellEnd"/>
      <w:r w:rsidRPr="00A97B8A">
        <w:rPr>
          <w:rFonts w:asciiTheme="majorHAnsi" w:hAnsiTheme="majorHAnsi"/>
        </w:rPr>
        <w:t xml:space="preserve"> </w:t>
      </w:r>
      <w:proofErr w:type="spellStart"/>
      <w:r w:rsidRPr="00A97B8A">
        <w:rPr>
          <w:rFonts w:asciiTheme="majorHAnsi" w:hAnsiTheme="majorHAnsi"/>
        </w:rPr>
        <w:t>Development</w:t>
      </w:r>
      <w:proofErr w:type="spellEnd"/>
      <w:r w:rsidRPr="00A97B8A">
        <w:rPr>
          <w:rFonts w:asciiTheme="majorHAnsi" w:hAnsiTheme="majorHAnsi"/>
        </w:rPr>
        <w:t xml:space="preserve"> Bank con el total conjunto del 92% de total de las inversiones. Para el 2018 los fondos son invertidos en diferentes emisores sin que ninguno sobrepase en 20% de la cartera.</w:t>
      </w:r>
    </w:p>
    <w:p w14:paraId="50CC64DE" w14:textId="77777777" w:rsidR="007D0BC7" w:rsidRPr="00613B2C" w:rsidRDefault="007D0BC7" w:rsidP="007D0BC7">
      <w:pPr>
        <w:spacing w:after="0" w:line="240" w:lineRule="auto"/>
        <w:jc w:val="both"/>
        <w:rPr>
          <w:rFonts w:asciiTheme="majorHAnsi" w:hAnsiTheme="majorHAnsi"/>
        </w:rPr>
      </w:pPr>
    </w:p>
    <w:p w14:paraId="4C467303" w14:textId="3DF5BD2B" w:rsidR="007D0BC7" w:rsidRPr="00613B2C" w:rsidRDefault="00A97B8A" w:rsidP="007D0BC7">
      <w:pPr>
        <w:spacing w:after="0" w:line="240" w:lineRule="auto"/>
        <w:jc w:val="both"/>
        <w:rPr>
          <w:rFonts w:asciiTheme="majorHAnsi" w:hAnsiTheme="majorHAnsi"/>
        </w:rPr>
      </w:pPr>
      <w:r w:rsidRPr="00A97B8A">
        <w:rPr>
          <w:rFonts w:asciiTheme="majorHAnsi" w:hAnsiTheme="majorHAnsi"/>
        </w:rPr>
        <w:t>L</w:t>
      </w:r>
      <w:r w:rsidR="007D0BC7" w:rsidRPr="00A97B8A">
        <w:rPr>
          <w:rFonts w:asciiTheme="majorHAnsi" w:hAnsiTheme="majorHAnsi"/>
        </w:rPr>
        <w:t xml:space="preserve">as entidades que más </w:t>
      </w:r>
      <w:r w:rsidRPr="00A97B8A">
        <w:rPr>
          <w:rFonts w:asciiTheme="majorHAnsi" w:hAnsiTheme="majorHAnsi"/>
        </w:rPr>
        <w:t>han</w:t>
      </w:r>
      <w:r w:rsidR="007D0BC7" w:rsidRPr="00A97B8A">
        <w:rPr>
          <w:rFonts w:asciiTheme="majorHAnsi" w:hAnsiTheme="majorHAnsi"/>
        </w:rPr>
        <w:t xml:space="preserve"> invertido tienen el sector extranjero son</w:t>
      </w:r>
      <w:r w:rsidRPr="00A97B8A">
        <w:rPr>
          <w:rFonts w:asciiTheme="majorHAnsi" w:hAnsiTheme="majorHAnsi"/>
        </w:rPr>
        <w:t>:</w:t>
      </w:r>
      <w:r w:rsidR="007D0BC7" w:rsidRPr="00A97B8A">
        <w:rPr>
          <w:rFonts w:asciiTheme="majorHAnsi" w:hAnsiTheme="majorHAnsi"/>
        </w:rPr>
        <w:t xml:space="preserve"> Popular Pensiones</w:t>
      </w:r>
      <w:r w:rsidRPr="00A97B8A">
        <w:rPr>
          <w:rFonts w:asciiTheme="majorHAnsi" w:hAnsiTheme="majorHAnsi"/>
        </w:rPr>
        <w:t>,</w:t>
      </w:r>
      <w:r w:rsidR="007D0BC7" w:rsidRPr="00A97B8A">
        <w:rPr>
          <w:rFonts w:asciiTheme="majorHAnsi" w:hAnsiTheme="majorHAnsi"/>
        </w:rPr>
        <w:t xml:space="preserve"> seguido de </w:t>
      </w:r>
      <w:r w:rsidRPr="00A97B8A">
        <w:rPr>
          <w:rFonts w:asciiTheme="majorHAnsi" w:hAnsiTheme="majorHAnsi"/>
        </w:rPr>
        <w:t xml:space="preserve">BAC </w:t>
      </w:r>
      <w:r w:rsidR="007D0BC7" w:rsidRPr="00A97B8A">
        <w:rPr>
          <w:rFonts w:asciiTheme="majorHAnsi" w:hAnsiTheme="majorHAnsi"/>
        </w:rPr>
        <w:t>SJ Pensiones. Estas dos entidades representan el 81% del total de activos invertidos en este sector.</w:t>
      </w:r>
    </w:p>
    <w:p w14:paraId="45B7162D" w14:textId="77777777" w:rsidR="007D0BC7" w:rsidRPr="00613B2C" w:rsidRDefault="007D0BC7" w:rsidP="007D0BC7">
      <w:pPr>
        <w:spacing w:after="0" w:line="240" w:lineRule="auto"/>
        <w:jc w:val="both"/>
        <w:rPr>
          <w:rFonts w:asciiTheme="majorHAnsi" w:hAnsiTheme="majorHAnsi"/>
        </w:rPr>
      </w:pPr>
    </w:p>
    <w:p w14:paraId="1BDA9F41" w14:textId="77777777" w:rsidR="007D0BC7" w:rsidRPr="00613B2C" w:rsidRDefault="007D0BC7" w:rsidP="00772349">
      <w:pPr>
        <w:pStyle w:val="Ttulo2"/>
      </w:pPr>
      <w:r w:rsidRPr="00613B2C">
        <w:lastRenderedPageBreak/>
        <w:t>Análisis de la inversión en Deuda Individual</w:t>
      </w:r>
    </w:p>
    <w:p w14:paraId="2D1C5176" w14:textId="77777777" w:rsidR="007D0BC7" w:rsidRPr="00613B2C" w:rsidRDefault="007D0BC7" w:rsidP="007D0BC7">
      <w:pPr>
        <w:spacing w:after="0" w:line="240" w:lineRule="auto"/>
        <w:jc w:val="both"/>
        <w:rPr>
          <w:rFonts w:asciiTheme="majorHAnsi" w:hAnsiTheme="majorHAnsi"/>
        </w:rPr>
      </w:pPr>
    </w:p>
    <w:p w14:paraId="326DF555" w14:textId="77777777" w:rsidR="007D0BC7" w:rsidRPr="00613B2C" w:rsidRDefault="007D0BC7" w:rsidP="007D0BC7">
      <w:pPr>
        <w:spacing w:after="0" w:line="240" w:lineRule="auto"/>
        <w:jc w:val="both"/>
        <w:rPr>
          <w:rFonts w:asciiTheme="majorHAnsi" w:hAnsiTheme="majorHAnsi"/>
        </w:rPr>
      </w:pPr>
      <w:r w:rsidRPr="00613B2C">
        <w:rPr>
          <w:rFonts w:asciiTheme="majorHAnsi" w:hAnsiTheme="majorHAnsi"/>
        </w:rPr>
        <w:t>Los fondos de pensión tienen 1.3 billones de colones invertidos en deuda individual</w:t>
      </w:r>
      <w:r w:rsidRPr="00E514CC">
        <w:rPr>
          <w:rFonts w:asciiTheme="majorHAnsi" w:hAnsiTheme="majorHAnsi"/>
          <w:vertAlign w:val="superscript"/>
        </w:rPr>
        <w:footnoteReference w:id="4"/>
      </w:r>
      <w:r w:rsidRPr="00613B2C">
        <w:rPr>
          <w:rFonts w:asciiTheme="majorHAnsi" w:hAnsiTheme="majorHAnsi"/>
        </w:rPr>
        <w:t xml:space="preserve"> emitida por los bancos públicos y privados, las financieras y las mutuales. Este monto representa el 10.2% del total de activos administrados por el SNP</w:t>
      </w:r>
      <w:r w:rsidRPr="00613B2C">
        <w:rPr>
          <w:rFonts w:asciiTheme="majorHAnsi" w:hAnsiTheme="majorHAnsi"/>
          <w:vertAlign w:val="superscript"/>
        </w:rPr>
        <w:footnoteReference w:id="5"/>
      </w:r>
      <w:r w:rsidRPr="00613B2C">
        <w:rPr>
          <w:rFonts w:asciiTheme="majorHAnsi" w:hAnsiTheme="majorHAnsi"/>
        </w:rPr>
        <w:t>. Esta cantidad se distribuye en los diferentes fondos de la siguiente manera: el 45% corresponde al ROP, el 35% a los regímenes básicos, el 11% al FCL, el 5% a los regímenes especiales y otros; y el restante 5% a los fondos voluntarios.</w:t>
      </w:r>
    </w:p>
    <w:p w14:paraId="3F699313" w14:textId="77777777" w:rsidR="007D0BC7" w:rsidRPr="00613B2C" w:rsidRDefault="007D0BC7" w:rsidP="007D0BC7">
      <w:pPr>
        <w:spacing w:after="0" w:line="240" w:lineRule="auto"/>
        <w:jc w:val="both"/>
        <w:rPr>
          <w:rFonts w:asciiTheme="majorHAnsi" w:hAnsiTheme="majorHAnsi"/>
        </w:rPr>
      </w:pPr>
    </w:p>
    <w:p w14:paraId="503C0788" w14:textId="22C4AFDA" w:rsidR="007D0BC7" w:rsidRPr="00613B2C" w:rsidRDefault="007D0BC7" w:rsidP="007D0BC7">
      <w:pPr>
        <w:spacing w:after="0" w:line="240" w:lineRule="auto"/>
        <w:jc w:val="both"/>
        <w:rPr>
          <w:rFonts w:asciiTheme="majorHAnsi" w:hAnsiTheme="majorHAnsi"/>
        </w:rPr>
      </w:pPr>
      <w:r w:rsidRPr="00613B2C">
        <w:rPr>
          <w:rFonts w:asciiTheme="majorHAnsi" w:hAnsiTheme="majorHAnsi"/>
        </w:rPr>
        <w:t>El ROP, los regímenes básicos y especiales tienen menos del 15% de sus activos invertidos en deuda individual. Para el caso de FCL y los fondos voluntarios la regulación vigente no establece un límite de inversión en títulos de deuda individual, por lo tanto, se puede observar que estos fondos invierten entre 6% y el 49% de sus activos administrados en este tipo de instrumentos.</w:t>
      </w:r>
    </w:p>
    <w:p w14:paraId="29F9DF20" w14:textId="77777777" w:rsidR="007D0BC7" w:rsidRPr="00613B2C" w:rsidRDefault="007D0BC7" w:rsidP="007D0BC7">
      <w:pPr>
        <w:spacing w:after="0" w:line="240" w:lineRule="auto"/>
        <w:jc w:val="both"/>
        <w:rPr>
          <w:rFonts w:asciiTheme="majorHAnsi" w:hAnsiTheme="majorHAnsi"/>
        </w:rPr>
      </w:pPr>
    </w:p>
    <w:p w14:paraId="71F1859F" w14:textId="77777777" w:rsidR="007D0BC7" w:rsidRPr="00613B2C" w:rsidRDefault="007D0BC7" w:rsidP="007D0BC7">
      <w:pPr>
        <w:spacing w:after="0" w:line="240" w:lineRule="auto"/>
        <w:jc w:val="both"/>
        <w:rPr>
          <w:rFonts w:asciiTheme="majorHAnsi" w:hAnsiTheme="majorHAnsi"/>
        </w:rPr>
      </w:pPr>
      <w:r w:rsidRPr="00613B2C">
        <w:rPr>
          <w:rFonts w:asciiTheme="majorHAnsi" w:hAnsiTheme="majorHAnsi"/>
        </w:rPr>
        <w:t xml:space="preserve">Al agrupar la inversión de los fondos en títulos de deuda individual por emisor, se puede observar que para cada uno de los fondos de pensión los porcentajes invertidos por emisor oscilan entre el 0.02% y el 10% del activo administrado por las entidades. </w:t>
      </w:r>
    </w:p>
    <w:p w14:paraId="588CA51E" w14:textId="7D799662" w:rsidR="007D0BC7" w:rsidRPr="00613B2C" w:rsidRDefault="00852DD8" w:rsidP="00852DD8">
      <w:pPr>
        <w:spacing w:after="0" w:line="240" w:lineRule="auto"/>
        <w:jc w:val="center"/>
        <w:rPr>
          <w:rFonts w:asciiTheme="majorHAnsi" w:hAnsiTheme="majorHAnsi"/>
        </w:rPr>
      </w:pPr>
      <w:r>
        <w:rPr>
          <w:rFonts w:asciiTheme="majorHAnsi" w:hAnsiTheme="majorHAnsi"/>
        </w:rPr>
        <w:t>Cuadro 6</w:t>
      </w:r>
    </w:p>
    <w:p w14:paraId="6BD45639" w14:textId="77777777" w:rsidR="007D0BC7" w:rsidRPr="00613B2C" w:rsidRDefault="007D0BC7" w:rsidP="007D0BC7">
      <w:pPr>
        <w:spacing w:after="0" w:line="240" w:lineRule="auto"/>
        <w:jc w:val="center"/>
        <w:rPr>
          <w:rFonts w:asciiTheme="majorHAnsi" w:hAnsiTheme="majorHAnsi"/>
        </w:rPr>
      </w:pPr>
      <w:r w:rsidRPr="00613B2C">
        <w:rPr>
          <w:rFonts w:asciiTheme="majorHAnsi" w:hAnsiTheme="majorHAnsi"/>
        </w:rPr>
        <w:t>Inversiones de los Fondos de Pensión</w:t>
      </w:r>
    </w:p>
    <w:p w14:paraId="4BFCAF82" w14:textId="77777777" w:rsidR="007D0BC7" w:rsidRPr="00613B2C" w:rsidRDefault="007D0BC7" w:rsidP="007D0BC7">
      <w:pPr>
        <w:spacing w:after="0" w:line="240" w:lineRule="auto"/>
        <w:jc w:val="center"/>
        <w:rPr>
          <w:rFonts w:asciiTheme="majorHAnsi" w:hAnsiTheme="majorHAnsi"/>
        </w:rPr>
      </w:pPr>
      <w:r w:rsidRPr="00613B2C">
        <w:rPr>
          <w:rFonts w:asciiTheme="majorHAnsi" w:hAnsiTheme="majorHAnsi"/>
        </w:rPr>
        <w:t>en deuda individual por emisor del instrumento</w:t>
      </w:r>
    </w:p>
    <w:p w14:paraId="0B3B17E2" w14:textId="757F6939" w:rsidR="007D0BC7" w:rsidRPr="00613B2C" w:rsidRDefault="007D0BC7" w:rsidP="007D0BC7">
      <w:pPr>
        <w:spacing w:after="0" w:line="240" w:lineRule="auto"/>
        <w:jc w:val="center"/>
        <w:rPr>
          <w:rFonts w:asciiTheme="majorHAnsi" w:hAnsiTheme="majorHAnsi"/>
        </w:rPr>
      </w:pPr>
      <w:r w:rsidRPr="00613B2C">
        <w:rPr>
          <w:rFonts w:asciiTheme="majorHAnsi" w:hAnsiTheme="majorHAnsi"/>
        </w:rPr>
        <w:t>Cifras porcentuales a Diciembre</w:t>
      </w:r>
      <w:r w:rsidRPr="00613B2C">
        <w:rPr>
          <w:rFonts w:asciiTheme="majorHAnsi" w:hAnsiTheme="majorHAnsi"/>
        </w:rPr>
        <w:object w:dxaOrig="7594" w:dyaOrig="7250" w14:anchorId="60E79577">
          <v:shape id="_x0000_i1029" type="#_x0000_t75" style="width:379.5pt;height:361.5pt" o:ole="">
            <v:imagedata r:id="rId23" o:title=""/>
          </v:shape>
          <o:OLEObject Type="Embed" ProgID="Excel.Sheet.12" ShapeID="_x0000_i1029" DrawAspect="Content" ObjectID="_1610970910" r:id="rId24"/>
        </w:object>
      </w:r>
    </w:p>
    <w:p w14:paraId="750FFB69" w14:textId="77777777" w:rsidR="007D0BC7" w:rsidRPr="00613B2C" w:rsidRDefault="007D0BC7" w:rsidP="007D0BC7">
      <w:pPr>
        <w:spacing w:after="0" w:line="240" w:lineRule="auto"/>
        <w:jc w:val="both"/>
        <w:rPr>
          <w:rFonts w:asciiTheme="majorHAnsi" w:hAnsiTheme="majorHAnsi"/>
        </w:rPr>
      </w:pPr>
    </w:p>
    <w:p w14:paraId="012CE1D6" w14:textId="77777777" w:rsidR="007D0BC7" w:rsidRPr="00613B2C" w:rsidRDefault="007D0BC7" w:rsidP="007D0BC7">
      <w:pPr>
        <w:spacing w:after="0" w:line="240" w:lineRule="auto"/>
        <w:jc w:val="both"/>
        <w:rPr>
          <w:rFonts w:asciiTheme="majorHAnsi" w:hAnsiTheme="majorHAnsi"/>
        </w:rPr>
      </w:pPr>
      <w:r w:rsidRPr="00613B2C">
        <w:rPr>
          <w:rFonts w:asciiTheme="majorHAnsi" w:hAnsiTheme="majorHAnsi"/>
        </w:rPr>
        <w:lastRenderedPageBreak/>
        <w:t xml:space="preserve">Como se puede observar en la tabla anterior, sólo 11 de las inversiones de las entidades en títulos de deuda individual por emisor sobrepasa el 3% del activo administrado la cada entidad. </w:t>
      </w:r>
    </w:p>
    <w:p w14:paraId="31E0776E" w14:textId="77777777" w:rsidR="007D0BC7" w:rsidRPr="00613B2C" w:rsidRDefault="007D0BC7" w:rsidP="007D0BC7">
      <w:pPr>
        <w:spacing w:after="0" w:line="240" w:lineRule="auto"/>
        <w:jc w:val="both"/>
        <w:rPr>
          <w:rFonts w:asciiTheme="majorHAnsi" w:hAnsiTheme="majorHAnsi"/>
        </w:rPr>
      </w:pPr>
    </w:p>
    <w:p w14:paraId="0B5282A5" w14:textId="734E0DFB" w:rsidR="007D0BC7" w:rsidRPr="00613B2C" w:rsidRDefault="008A0E3E" w:rsidP="007D0BC7">
      <w:pPr>
        <w:spacing w:after="0" w:line="240" w:lineRule="auto"/>
        <w:jc w:val="both"/>
        <w:rPr>
          <w:rFonts w:asciiTheme="majorHAnsi" w:hAnsiTheme="majorHAnsi"/>
        </w:rPr>
      </w:pPr>
      <w:r>
        <w:rPr>
          <w:rFonts w:asciiTheme="majorHAnsi" w:hAnsiTheme="majorHAnsi"/>
        </w:rPr>
        <w:t>Sobre las concentraciones por emisor, destacan los siguientes aspectos:</w:t>
      </w:r>
    </w:p>
    <w:p w14:paraId="776A9E16" w14:textId="77777777" w:rsidR="007D0BC7" w:rsidRPr="00613B2C" w:rsidRDefault="007D0BC7" w:rsidP="007D0BC7">
      <w:pPr>
        <w:spacing w:after="0" w:line="240" w:lineRule="auto"/>
        <w:jc w:val="both"/>
        <w:rPr>
          <w:rFonts w:asciiTheme="majorHAnsi" w:hAnsiTheme="majorHAnsi"/>
        </w:rPr>
      </w:pPr>
    </w:p>
    <w:p w14:paraId="503FA5A5" w14:textId="77777777" w:rsidR="007D0BC7" w:rsidRPr="00613B2C" w:rsidRDefault="007D0BC7" w:rsidP="007D0BC7">
      <w:pPr>
        <w:pStyle w:val="Prrafodelista"/>
        <w:numPr>
          <w:ilvl w:val="0"/>
          <w:numId w:val="10"/>
        </w:numPr>
        <w:spacing w:after="0" w:line="240" w:lineRule="auto"/>
        <w:jc w:val="both"/>
        <w:rPr>
          <w:rFonts w:asciiTheme="majorHAnsi" w:hAnsiTheme="majorHAnsi"/>
          <w:sz w:val="22"/>
        </w:rPr>
      </w:pPr>
      <w:r w:rsidRPr="00613B2C">
        <w:rPr>
          <w:rFonts w:asciiTheme="majorHAnsi" w:hAnsiTheme="majorHAnsi"/>
          <w:sz w:val="22"/>
        </w:rPr>
        <w:t>La inversión del 10% del activo del Poder judicial en títulos de deuda individual del BCR.</w:t>
      </w:r>
    </w:p>
    <w:p w14:paraId="34C27F89" w14:textId="77777777" w:rsidR="007D0BC7" w:rsidRPr="00613B2C" w:rsidRDefault="007D0BC7" w:rsidP="007D0BC7">
      <w:pPr>
        <w:pStyle w:val="Prrafodelista"/>
        <w:numPr>
          <w:ilvl w:val="0"/>
          <w:numId w:val="10"/>
        </w:numPr>
        <w:spacing w:after="0" w:line="240" w:lineRule="auto"/>
        <w:jc w:val="both"/>
        <w:rPr>
          <w:rFonts w:asciiTheme="majorHAnsi" w:hAnsiTheme="majorHAnsi"/>
          <w:sz w:val="22"/>
        </w:rPr>
      </w:pPr>
      <w:r w:rsidRPr="00613B2C">
        <w:rPr>
          <w:rFonts w:asciiTheme="majorHAnsi" w:hAnsiTheme="majorHAnsi"/>
          <w:sz w:val="22"/>
        </w:rPr>
        <w:t>La inversión del 7% del activo del Fondeo de Empleados de la CCSS en títulos de deuda individual del BPDC.</w:t>
      </w:r>
    </w:p>
    <w:p w14:paraId="24A38762" w14:textId="77777777" w:rsidR="007D0BC7" w:rsidRPr="00613B2C" w:rsidRDefault="007D0BC7" w:rsidP="007D0BC7">
      <w:pPr>
        <w:pStyle w:val="Prrafodelista"/>
        <w:numPr>
          <w:ilvl w:val="0"/>
          <w:numId w:val="10"/>
        </w:numPr>
        <w:spacing w:after="0" w:line="240" w:lineRule="auto"/>
        <w:jc w:val="both"/>
        <w:rPr>
          <w:rFonts w:asciiTheme="majorHAnsi" w:hAnsiTheme="majorHAnsi"/>
          <w:sz w:val="22"/>
        </w:rPr>
      </w:pPr>
      <w:r w:rsidRPr="00613B2C">
        <w:rPr>
          <w:rFonts w:asciiTheme="majorHAnsi" w:hAnsiTheme="majorHAnsi"/>
          <w:sz w:val="22"/>
        </w:rPr>
        <w:t>La inversión del 6% del activo de SJ-Pensiones en títulos de deuda individual del BNCR.</w:t>
      </w:r>
    </w:p>
    <w:p w14:paraId="308D818F" w14:textId="72E5932E" w:rsidR="007D0BC7" w:rsidRPr="00613B2C" w:rsidRDefault="007D0BC7" w:rsidP="007D0BC7">
      <w:pPr>
        <w:pStyle w:val="Prrafodelista"/>
        <w:numPr>
          <w:ilvl w:val="0"/>
          <w:numId w:val="10"/>
        </w:numPr>
        <w:spacing w:after="0" w:line="240" w:lineRule="auto"/>
        <w:jc w:val="both"/>
        <w:rPr>
          <w:rFonts w:asciiTheme="majorHAnsi" w:hAnsiTheme="majorHAnsi"/>
          <w:sz w:val="22"/>
        </w:rPr>
      </w:pPr>
      <w:r w:rsidRPr="00613B2C">
        <w:rPr>
          <w:rFonts w:asciiTheme="majorHAnsi" w:hAnsiTheme="majorHAnsi"/>
          <w:sz w:val="22"/>
        </w:rPr>
        <w:t xml:space="preserve">La inversión </w:t>
      </w:r>
      <w:r w:rsidR="008A0E3E">
        <w:rPr>
          <w:rFonts w:asciiTheme="majorHAnsi" w:hAnsiTheme="majorHAnsi"/>
          <w:sz w:val="22"/>
        </w:rPr>
        <w:t>del 5% del activo del fondo de B</w:t>
      </w:r>
      <w:r w:rsidRPr="00613B2C">
        <w:rPr>
          <w:rFonts w:asciiTheme="majorHAnsi" w:hAnsiTheme="majorHAnsi"/>
          <w:sz w:val="22"/>
        </w:rPr>
        <w:t>omberos en títulos de deuda individual del MADAP.</w:t>
      </w:r>
    </w:p>
    <w:p w14:paraId="74EE2FB4" w14:textId="3FE2442D" w:rsidR="00316569" w:rsidRDefault="00316569">
      <w:pPr>
        <w:rPr>
          <w:rFonts w:asciiTheme="majorHAnsi" w:hAnsiTheme="majorHAnsi"/>
        </w:rPr>
      </w:pPr>
    </w:p>
    <w:p w14:paraId="19F5EF68" w14:textId="471E6AA6" w:rsidR="00BD22B3" w:rsidRPr="00613B2C" w:rsidRDefault="00BD22B3" w:rsidP="00BD22B3">
      <w:pPr>
        <w:spacing w:after="0" w:line="240" w:lineRule="auto"/>
        <w:jc w:val="center"/>
        <w:rPr>
          <w:rFonts w:asciiTheme="majorHAnsi" w:hAnsiTheme="majorHAnsi"/>
        </w:rPr>
      </w:pPr>
      <w:r>
        <w:rPr>
          <w:rFonts w:asciiTheme="majorHAnsi" w:hAnsiTheme="majorHAnsi"/>
        </w:rPr>
        <w:t>Cuadro 7</w:t>
      </w:r>
    </w:p>
    <w:p w14:paraId="1A958133" w14:textId="77777777" w:rsidR="007D0BC7" w:rsidRPr="00613B2C" w:rsidRDefault="007D0BC7" w:rsidP="007D0BC7">
      <w:pPr>
        <w:spacing w:after="0" w:line="240" w:lineRule="auto"/>
        <w:jc w:val="center"/>
        <w:rPr>
          <w:rFonts w:asciiTheme="majorHAnsi" w:hAnsiTheme="majorHAnsi"/>
        </w:rPr>
      </w:pPr>
      <w:r w:rsidRPr="00613B2C">
        <w:rPr>
          <w:rFonts w:asciiTheme="majorHAnsi" w:hAnsiTheme="majorHAnsi"/>
        </w:rPr>
        <w:t>Concentración en deuda individual del sector pensiones por entidad financiera</w:t>
      </w:r>
    </w:p>
    <w:p w14:paraId="748A305B" w14:textId="77777777" w:rsidR="007D0BC7" w:rsidRPr="00613B2C" w:rsidRDefault="007D0BC7" w:rsidP="007D0BC7">
      <w:pPr>
        <w:spacing w:after="0" w:line="240" w:lineRule="auto"/>
        <w:jc w:val="center"/>
        <w:rPr>
          <w:rFonts w:asciiTheme="majorHAnsi" w:hAnsiTheme="majorHAnsi"/>
        </w:rPr>
      </w:pPr>
      <w:r w:rsidRPr="00613B2C">
        <w:rPr>
          <w:rFonts w:asciiTheme="majorHAnsi" w:hAnsiTheme="majorHAnsi"/>
        </w:rPr>
        <w:t>como porcentaje de las captaciones a plazo con el público y el pasivo total</w:t>
      </w:r>
    </w:p>
    <w:p w14:paraId="746E010D" w14:textId="77777777" w:rsidR="007D0BC7" w:rsidRPr="00613B2C" w:rsidRDefault="007D0BC7" w:rsidP="007D0BC7">
      <w:pPr>
        <w:spacing w:after="0" w:line="240" w:lineRule="auto"/>
        <w:jc w:val="center"/>
        <w:rPr>
          <w:rFonts w:asciiTheme="majorHAnsi" w:hAnsiTheme="majorHAnsi"/>
        </w:rPr>
      </w:pPr>
      <w:r w:rsidRPr="00613B2C">
        <w:rPr>
          <w:rFonts w:asciiTheme="majorHAnsi" w:hAnsiTheme="majorHAnsi"/>
          <w:noProof/>
        </w:rPr>
        <w:drawing>
          <wp:inline distT="0" distB="0" distL="0" distR="0" wp14:anchorId="31AE1576" wp14:editId="7E7A2163">
            <wp:extent cx="4505325" cy="34575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05325" cy="3457575"/>
                    </a:xfrm>
                    <a:prstGeom prst="rect">
                      <a:avLst/>
                    </a:prstGeom>
                    <a:noFill/>
                    <a:ln>
                      <a:noFill/>
                    </a:ln>
                  </pic:spPr>
                </pic:pic>
              </a:graphicData>
            </a:graphic>
          </wp:inline>
        </w:drawing>
      </w:r>
    </w:p>
    <w:p w14:paraId="3B2B4270" w14:textId="77777777" w:rsidR="007D0BC7" w:rsidRPr="00613B2C" w:rsidRDefault="007D0BC7" w:rsidP="007D0BC7">
      <w:pPr>
        <w:spacing w:after="0" w:line="240" w:lineRule="auto"/>
        <w:jc w:val="both"/>
        <w:rPr>
          <w:rFonts w:asciiTheme="majorHAnsi" w:hAnsiTheme="majorHAnsi"/>
        </w:rPr>
      </w:pPr>
    </w:p>
    <w:p w14:paraId="05A0A021" w14:textId="1705AE6D" w:rsidR="007D0BC7" w:rsidRPr="00613B2C" w:rsidRDefault="007D0BC7" w:rsidP="007D0BC7">
      <w:pPr>
        <w:spacing w:after="0" w:line="240" w:lineRule="auto"/>
        <w:jc w:val="both"/>
        <w:rPr>
          <w:rFonts w:asciiTheme="majorHAnsi" w:hAnsiTheme="majorHAnsi"/>
        </w:rPr>
      </w:pPr>
      <w:r w:rsidRPr="00613B2C">
        <w:rPr>
          <w:rFonts w:asciiTheme="majorHAnsi" w:hAnsiTheme="majorHAnsi"/>
        </w:rPr>
        <w:t>Se ob</w:t>
      </w:r>
      <w:r w:rsidR="00316569">
        <w:rPr>
          <w:rFonts w:asciiTheme="majorHAnsi" w:hAnsiTheme="majorHAnsi"/>
        </w:rPr>
        <w:t>serva</w:t>
      </w:r>
      <w:r w:rsidRPr="00613B2C">
        <w:rPr>
          <w:rFonts w:asciiTheme="majorHAnsi" w:hAnsiTheme="majorHAnsi"/>
        </w:rPr>
        <w:t xml:space="preserve"> que para cinco entidades financieras la concentración en deuda individual en el sector pensiones representa más del 11% de su pasivo total: </w:t>
      </w:r>
      <w:proofErr w:type="spellStart"/>
      <w:r w:rsidRPr="00613B2C">
        <w:rPr>
          <w:rFonts w:asciiTheme="majorHAnsi" w:hAnsiTheme="majorHAnsi"/>
        </w:rPr>
        <w:t>Prival</w:t>
      </w:r>
      <w:proofErr w:type="spellEnd"/>
      <w:r w:rsidRPr="00613B2C">
        <w:rPr>
          <w:rFonts w:asciiTheme="majorHAnsi" w:hAnsiTheme="majorHAnsi"/>
        </w:rPr>
        <w:t xml:space="preserve"> Bank Costa Rica, Mutual Cartago de Ahorro y Préstamo, Banco Hipotecario de la Vivienda, Grupo Mutual Alajuela - La Vivienda de Ahorro y Préstamo, Banco Improsa y Banco Hipotecario de la Vivienda.</w:t>
      </w:r>
    </w:p>
    <w:p w14:paraId="7E2BB281" w14:textId="77777777" w:rsidR="007D0BC7" w:rsidRPr="00613B2C" w:rsidRDefault="007D0BC7" w:rsidP="007D0BC7">
      <w:pPr>
        <w:spacing w:after="0" w:line="240" w:lineRule="auto"/>
        <w:jc w:val="both"/>
        <w:rPr>
          <w:rFonts w:asciiTheme="majorHAnsi" w:hAnsiTheme="majorHAnsi"/>
        </w:rPr>
      </w:pPr>
    </w:p>
    <w:p w14:paraId="6D6BF89F" w14:textId="77777777" w:rsidR="007D0BC7" w:rsidRPr="00613B2C" w:rsidRDefault="007D0BC7" w:rsidP="007D0BC7">
      <w:pPr>
        <w:spacing w:after="0" w:line="240" w:lineRule="auto"/>
        <w:jc w:val="both"/>
        <w:rPr>
          <w:rFonts w:asciiTheme="majorHAnsi" w:hAnsiTheme="majorHAnsi"/>
        </w:rPr>
      </w:pPr>
      <w:r w:rsidRPr="00613B2C">
        <w:rPr>
          <w:rFonts w:asciiTheme="majorHAnsi" w:hAnsiTheme="majorHAnsi"/>
        </w:rPr>
        <w:t>Por otro lado, hay once entidades financieras donde la concentración en deuda individual en el sector pensiones representa más del 11% de la cuenta de captaciones a plazo con el público.</w:t>
      </w:r>
    </w:p>
    <w:p w14:paraId="622DCC0B" w14:textId="77777777" w:rsidR="007D0BC7" w:rsidRPr="00613B2C" w:rsidRDefault="007D0BC7" w:rsidP="007D0BC7">
      <w:pPr>
        <w:spacing w:after="0" w:line="240" w:lineRule="auto"/>
        <w:jc w:val="both"/>
        <w:rPr>
          <w:rFonts w:asciiTheme="majorHAnsi" w:hAnsiTheme="majorHAnsi"/>
        </w:rPr>
      </w:pPr>
    </w:p>
    <w:p w14:paraId="11F9AB93" w14:textId="77777777" w:rsidR="007D0BC7" w:rsidRPr="00613B2C" w:rsidRDefault="007D0BC7" w:rsidP="00772349">
      <w:pPr>
        <w:pStyle w:val="Ttulo2"/>
      </w:pPr>
      <w:r w:rsidRPr="00613B2C">
        <w:t>Plusvalías ROP.</w:t>
      </w:r>
    </w:p>
    <w:p w14:paraId="03DD5C32" w14:textId="36580C23" w:rsidR="009B5584" w:rsidRDefault="009B5584" w:rsidP="009B5584">
      <w:pPr>
        <w:spacing w:after="0" w:line="240" w:lineRule="auto"/>
        <w:jc w:val="both"/>
        <w:rPr>
          <w:rFonts w:asciiTheme="majorHAnsi" w:hAnsiTheme="majorHAnsi"/>
        </w:rPr>
      </w:pPr>
      <w:r w:rsidRPr="009B5584">
        <w:rPr>
          <w:rFonts w:asciiTheme="majorHAnsi" w:hAnsiTheme="majorHAnsi"/>
        </w:rPr>
        <w:t xml:space="preserve">Desde el año anterior, las carteras de los fondos de pensiones han experimentado una disminución de su valor. Esto en el mercado local debido la caída en el precio de los valores que conforman las carteras, producto de aumento interno de las tasas de interés. </w:t>
      </w:r>
    </w:p>
    <w:p w14:paraId="4D36473F" w14:textId="77777777" w:rsidR="009B5584" w:rsidRPr="009B5584" w:rsidRDefault="009B5584" w:rsidP="009B5584">
      <w:pPr>
        <w:spacing w:after="0" w:line="240" w:lineRule="auto"/>
        <w:jc w:val="both"/>
        <w:rPr>
          <w:rFonts w:asciiTheme="majorHAnsi" w:hAnsiTheme="majorHAnsi"/>
        </w:rPr>
      </w:pPr>
    </w:p>
    <w:p w14:paraId="3F44DB5A" w14:textId="1DA3DFD2" w:rsidR="00BD22B3" w:rsidRDefault="009B5584" w:rsidP="009B5584">
      <w:pPr>
        <w:spacing w:after="0" w:line="240" w:lineRule="auto"/>
        <w:jc w:val="both"/>
        <w:rPr>
          <w:rFonts w:asciiTheme="majorHAnsi" w:hAnsiTheme="majorHAnsi"/>
        </w:rPr>
      </w:pPr>
      <w:r w:rsidRPr="009B5584">
        <w:rPr>
          <w:rFonts w:asciiTheme="majorHAnsi" w:hAnsiTheme="majorHAnsi"/>
        </w:rPr>
        <w:t xml:space="preserve">En el caso específico del ROP, la caída de los precios afecta el valor de las carteras, afectando el valor del activo, y su rentabilidad. </w:t>
      </w:r>
      <w:r>
        <w:rPr>
          <w:rFonts w:asciiTheme="majorHAnsi" w:hAnsiTheme="majorHAnsi"/>
        </w:rPr>
        <w:t>L</w:t>
      </w:r>
      <w:r w:rsidRPr="009B5584">
        <w:rPr>
          <w:rFonts w:asciiTheme="majorHAnsi" w:hAnsiTheme="majorHAnsi"/>
        </w:rPr>
        <w:t>os fondos administrados han perdido valor durante el año por sus inversiones en el valor locales (denominados en colones). Sin embargo, para las carteras con porcentajes significativos in</w:t>
      </w:r>
      <w:r w:rsidRPr="009B5584">
        <w:rPr>
          <w:rFonts w:asciiTheme="majorHAnsi" w:hAnsiTheme="majorHAnsi"/>
        </w:rPr>
        <w:lastRenderedPageBreak/>
        <w:t>vertidos en valores extranjeros la afectación ha sido menor debido a que estas inversiones se han comportado positivamente, es decir, aument</w:t>
      </w:r>
      <w:r w:rsidR="00386EC8">
        <w:rPr>
          <w:rFonts w:asciiTheme="majorHAnsi" w:hAnsiTheme="majorHAnsi"/>
        </w:rPr>
        <w:t>ó</w:t>
      </w:r>
      <w:r w:rsidRPr="009B5584">
        <w:rPr>
          <w:rFonts w:asciiTheme="majorHAnsi" w:hAnsiTheme="majorHAnsi"/>
        </w:rPr>
        <w:t xml:space="preserve"> e</w:t>
      </w:r>
      <w:r w:rsidR="00386EC8">
        <w:rPr>
          <w:rFonts w:asciiTheme="majorHAnsi" w:hAnsiTheme="majorHAnsi"/>
        </w:rPr>
        <w:t>l</w:t>
      </w:r>
      <w:r w:rsidRPr="009B5584">
        <w:rPr>
          <w:rFonts w:asciiTheme="majorHAnsi" w:hAnsiTheme="majorHAnsi"/>
        </w:rPr>
        <w:t xml:space="preserve"> valor de las carteras. Este es el caso de los fondos administrado</w:t>
      </w:r>
      <w:r>
        <w:rPr>
          <w:rFonts w:asciiTheme="majorHAnsi" w:hAnsiTheme="majorHAnsi"/>
        </w:rPr>
        <w:t>s</w:t>
      </w:r>
      <w:r w:rsidRPr="009B5584">
        <w:rPr>
          <w:rFonts w:asciiTheme="majorHAnsi" w:hAnsiTheme="majorHAnsi"/>
        </w:rPr>
        <w:t xml:space="preserve"> por Popular Pensiones y por CCSS OPC. </w:t>
      </w:r>
    </w:p>
    <w:p w14:paraId="20804DE6" w14:textId="7BCB3F35" w:rsidR="007D0BC7" w:rsidRPr="00613B2C" w:rsidRDefault="00BD22B3" w:rsidP="00BD22B3">
      <w:pPr>
        <w:spacing w:after="0" w:line="240" w:lineRule="auto"/>
        <w:jc w:val="center"/>
        <w:rPr>
          <w:rFonts w:asciiTheme="majorHAnsi" w:hAnsiTheme="majorHAnsi"/>
        </w:rPr>
      </w:pPr>
      <w:r>
        <w:rPr>
          <w:rFonts w:asciiTheme="majorHAnsi" w:hAnsiTheme="majorHAnsi"/>
        </w:rPr>
        <w:t>Cuadro 8</w:t>
      </w:r>
    </w:p>
    <w:p w14:paraId="3FBB7D3E" w14:textId="63E9F286" w:rsidR="00772349" w:rsidRPr="00613B2C" w:rsidRDefault="00772349" w:rsidP="00772349">
      <w:pPr>
        <w:spacing w:after="0" w:line="240" w:lineRule="auto"/>
        <w:jc w:val="center"/>
        <w:rPr>
          <w:rFonts w:asciiTheme="majorHAnsi" w:hAnsiTheme="majorHAnsi"/>
        </w:rPr>
      </w:pPr>
      <w:r w:rsidRPr="00613B2C">
        <w:rPr>
          <w:rFonts w:asciiTheme="majorHAnsi" w:hAnsiTheme="majorHAnsi"/>
        </w:rPr>
        <w:t>ROP: Plusvalías del 2018</w:t>
      </w:r>
    </w:p>
    <w:p w14:paraId="2109FA77" w14:textId="270678FF" w:rsidR="00772349" w:rsidRPr="00613B2C" w:rsidRDefault="00772349" w:rsidP="00772349">
      <w:pPr>
        <w:spacing w:after="0" w:line="240" w:lineRule="auto"/>
        <w:jc w:val="center"/>
        <w:rPr>
          <w:rFonts w:asciiTheme="majorHAnsi" w:hAnsiTheme="majorHAnsi"/>
        </w:rPr>
      </w:pPr>
      <w:r w:rsidRPr="00613B2C">
        <w:rPr>
          <w:rFonts w:asciiTheme="majorHAnsi" w:hAnsiTheme="majorHAnsi"/>
        </w:rPr>
        <w:t>(millones de colones)</w:t>
      </w:r>
    </w:p>
    <w:p w14:paraId="7307A572" w14:textId="77777777" w:rsidR="00772349" w:rsidRPr="00613B2C" w:rsidRDefault="00772349" w:rsidP="007D0BC7">
      <w:pPr>
        <w:spacing w:after="0" w:line="240" w:lineRule="auto"/>
        <w:jc w:val="both"/>
        <w:rPr>
          <w:rFonts w:asciiTheme="majorHAnsi" w:hAnsiTheme="majorHAnsi"/>
        </w:rPr>
      </w:pPr>
    </w:p>
    <w:tbl>
      <w:tblPr>
        <w:tblW w:w="9214" w:type="dxa"/>
        <w:jc w:val="center"/>
        <w:tblCellMar>
          <w:left w:w="70" w:type="dxa"/>
          <w:right w:w="70" w:type="dxa"/>
        </w:tblCellMar>
        <w:tblLook w:val="04A0" w:firstRow="1" w:lastRow="0" w:firstColumn="1" w:lastColumn="0" w:noHBand="0" w:noVBand="1"/>
      </w:tblPr>
      <w:tblGrid>
        <w:gridCol w:w="1369"/>
        <w:gridCol w:w="1594"/>
        <w:gridCol w:w="1146"/>
        <w:gridCol w:w="1128"/>
        <w:gridCol w:w="1296"/>
        <w:gridCol w:w="1352"/>
        <w:gridCol w:w="1329"/>
      </w:tblGrid>
      <w:tr w:rsidR="007D0BC7" w:rsidRPr="00613B2C" w14:paraId="11EEC291" w14:textId="77777777" w:rsidTr="00772349">
        <w:trPr>
          <w:trHeight w:val="300"/>
          <w:jc w:val="center"/>
        </w:trPr>
        <w:tc>
          <w:tcPr>
            <w:tcW w:w="1369" w:type="dxa"/>
            <w:vMerge w:val="restart"/>
            <w:tcBorders>
              <w:top w:val="single" w:sz="8" w:space="0" w:color="auto"/>
              <w:left w:val="nil"/>
              <w:bottom w:val="single" w:sz="8" w:space="0" w:color="000000" w:themeColor="text1"/>
              <w:right w:val="nil"/>
            </w:tcBorders>
            <w:shd w:val="clear" w:color="auto" w:fill="auto"/>
            <w:noWrap/>
            <w:vAlign w:val="center"/>
            <w:hideMark/>
          </w:tcPr>
          <w:p w14:paraId="75394479" w14:textId="77777777" w:rsidR="007D0BC7" w:rsidRPr="00613B2C" w:rsidRDefault="007D0BC7" w:rsidP="00850B12">
            <w:pPr>
              <w:spacing w:after="0" w:line="240" w:lineRule="auto"/>
              <w:jc w:val="center"/>
              <w:rPr>
                <w:rFonts w:asciiTheme="majorHAnsi" w:hAnsiTheme="majorHAnsi"/>
              </w:rPr>
            </w:pPr>
            <w:r w:rsidRPr="00613B2C">
              <w:rPr>
                <w:rFonts w:asciiTheme="majorHAnsi" w:hAnsiTheme="majorHAnsi"/>
              </w:rPr>
              <w:t>Fecha</w:t>
            </w:r>
          </w:p>
        </w:tc>
        <w:tc>
          <w:tcPr>
            <w:tcW w:w="1594" w:type="dxa"/>
            <w:vMerge w:val="restart"/>
            <w:tcBorders>
              <w:top w:val="single" w:sz="8" w:space="0" w:color="auto"/>
              <w:left w:val="nil"/>
              <w:bottom w:val="single" w:sz="8" w:space="0" w:color="000000" w:themeColor="text1"/>
              <w:right w:val="nil"/>
            </w:tcBorders>
            <w:shd w:val="clear" w:color="auto" w:fill="auto"/>
            <w:noWrap/>
            <w:vAlign w:val="center"/>
            <w:hideMark/>
          </w:tcPr>
          <w:p w14:paraId="3104C095" w14:textId="77777777" w:rsidR="007D0BC7" w:rsidRPr="00613B2C" w:rsidRDefault="007D0BC7" w:rsidP="00850B12">
            <w:pPr>
              <w:spacing w:after="0" w:line="240" w:lineRule="auto"/>
              <w:jc w:val="center"/>
              <w:rPr>
                <w:rFonts w:asciiTheme="majorHAnsi" w:hAnsiTheme="majorHAnsi"/>
              </w:rPr>
            </w:pPr>
            <w:r w:rsidRPr="00613B2C">
              <w:rPr>
                <w:rFonts w:asciiTheme="majorHAnsi" w:hAnsiTheme="majorHAnsi"/>
              </w:rPr>
              <w:t>Disponibilidades</w:t>
            </w:r>
          </w:p>
        </w:tc>
        <w:tc>
          <w:tcPr>
            <w:tcW w:w="1146" w:type="dxa"/>
            <w:vMerge w:val="restart"/>
            <w:tcBorders>
              <w:top w:val="single" w:sz="8" w:space="0" w:color="auto"/>
              <w:left w:val="nil"/>
              <w:bottom w:val="single" w:sz="8" w:space="0" w:color="000000" w:themeColor="text1"/>
              <w:right w:val="nil"/>
            </w:tcBorders>
            <w:shd w:val="clear" w:color="auto" w:fill="auto"/>
            <w:noWrap/>
            <w:vAlign w:val="center"/>
            <w:hideMark/>
          </w:tcPr>
          <w:p w14:paraId="1E5CD9E4" w14:textId="77777777" w:rsidR="007D0BC7" w:rsidRPr="00613B2C" w:rsidRDefault="007D0BC7" w:rsidP="00850B12">
            <w:pPr>
              <w:spacing w:after="0" w:line="240" w:lineRule="auto"/>
              <w:jc w:val="center"/>
              <w:rPr>
                <w:rFonts w:asciiTheme="majorHAnsi" w:hAnsiTheme="majorHAnsi"/>
              </w:rPr>
            </w:pPr>
            <w:r w:rsidRPr="00613B2C">
              <w:rPr>
                <w:rFonts w:asciiTheme="majorHAnsi" w:hAnsiTheme="majorHAnsi"/>
              </w:rPr>
              <w:t>Inversiones</w:t>
            </w:r>
          </w:p>
        </w:tc>
        <w:tc>
          <w:tcPr>
            <w:tcW w:w="1128" w:type="dxa"/>
            <w:vMerge w:val="restart"/>
            <w:tcBorders>
              <w:top w:val="single" w:sz="8" w:space="0" w:color="auto"/>
              <w:left w:val="nil"/>
              <w:bottom w:val="single" w:sz="8" w:space="0" w:color="000000" w:themeColor="text1"/>
              <w:right w:val="nil"/>
            </w:tcBorders>
            <w:shd w:val="clear" w:color="auto" w:fill="auto"/>
            <w:noWrap/>
            <w:vAlign w:val="center"/>
            <w:hideMark/>
          </w:tcPr>
          <w:p w14:paraId="6B1FB76C" w14:textId="77777777" w:rsidR="007D0BC7" w:rsidRPr="00613B2C" w:rsidRDefault="007D0BC7" w:rsidP="00850B12">
            <w:pPr>
              <w:spacing w:after="0" w:line="240" w:lineRule="auto"/>
              <w:jc w:val="center"/>
              <w:rPr>
                <w:rFonts w:asciiTheme="majorHAnsi" w:hAnsiTheme="majorHAnsi"/>
              </w:rPr>
            </w:pPr>
            <w:r w:rsidRPr="00613B2C">
              <w:rPr>
                <w:rFonts w:asciiTheme="majorHAnsi" w:hAnsiTheme="majorHAnsi"/>
              </w:rPr>
              <w:t>Plusvalías valores Nacionales</w:t>
            </w:r>
          </w:p>
        </w:tc>
        <w:tc>
          <w:tcPr>
            <w:tcW w:w="1296" w:type="dxa"/>
            <w:tcBorders>
              <w:top w:val="single" w:sz="8" w:space="0" w:color="auto"/>
              <w:left w:val="nil"/>
              <w:bottom w:val="nil"/>
              <w:right w:val="nil"/>
            </w:tcBorders>
            <w:shd w:val="clear" w:color="auto" w:fill="auto"/>
            <w:noWrap/>
            <w:vAlign w:val="center"/>
            <w:hideMark/>
          </w:tcPr>
          <w:p w14:paraId="3ACCA1E5" w14:textId="77777777" w:rsidR="007D0BC7" w:rsidRPr="00613B2C" w:rsidRDefault="007D0BC7" w:rsidP="00850B12">
            <w:pPr>
              <w:spacing w:after="0" w:line="240" w:lineRule="auto"/>
              <w:jc w:val="center"/>
              <w:rPr>
                <w:rFonts w:asciiTheme="majorHAnsi" w:hAnsiTheme="majorHAnsi"/>
              </w:rPr>
            </w:pPr>
            <w:r w:rsidRPr="00613B2C">
              <w:rPr>
                <w:rFonts w:asciiTheme="majorHAnsi" w:hAnsiTheme="majorHAnsi"/>
              </w:rPr>
              <w:t>Plusvalías</w:t>
            </w:r>
          </w:p>
        </w:tc>
        <w:tc>
          <w:tcPr>
            <w:tcW w:w="1352" w:type="dxa"/>
            <w:vMerge w:val="restart"/>
            <w:tcBorders>
              <w:top w:val="single" w:sz="8" w:space="0" w:color="auto"/>
              <w:left w:val="nil"/>
              <w:bottom w:val="single" w:sz="8" w:space="0" w:color="000000" w:themeColor="text1"/>
              <w:right w:val="nil"/>
            </w:tcBorders>
            <w:shd w:val="clear" w:color="auto" w:fill="auto"/>
            <w:noWrap/>
            <w:vAlign w:val="center"/>
            <w:hideMark/>
          </w:tcPr>
          <w:p w14:paraId="576BAB2D" w14:textId="77777777" w:rsidR="007D0BC7" w:rsidRPr="00613B2C" w:rsidRDefault="007D0BC7" w:rsidP="00850B12">
            <w:pPr>
              <w:spacing w:after="0" w:line="240" w:lineRule="auto"/>
              <w:jc w:val="center"/>
              <w:rPr>
                <w:rFonts w:asciiTheme="majorHAnsi" w:hAnsiTheme="majorHAnsi"/>
              </w:rPr>
            </w:pPr>
            <w:r w:rsidRPr="00613B2C">
              <w:rPr>
                <w:rFonts w:asciiTheme="majorHAnsi" w:hAnsiTheme="majorHAnsi"/>
              </w:rPr>
              <w:t>Plusvalías totales</w:t>
            </w:r>
          </w:p>
        </w:tc>
        <w:tc>
          <w:tcPr>
            <w:tcW w:w="1329" w:type="dxa"/>
            <w:vMerge w:val="restart"/>
            <w:tcBorders>
              <w:top w:val="single" w:sz="8" w:space="0" w:color="auto"/>
              <w:left w:val="nil"/>
              <w:bottom w:val="single" w:sz="8" w:space="0" w:color="000000" w:themeColor="text1"/>
              <w:right w:val="nil"/>
            </w:tcBorders>
            <w:shd w:val="clear" w:color="auto" w:fill="auto"/>
            <w:noWrap/>
            <w:vAlign w:val="center"/>
            <w:hideMark/>
          </w:tcPr>
          <w:p w14:paraId="5892C725" w14:textId="77777777" w:rsidR="007D0BC7" w:rsidRPr="00613B2C" w:rsidRDefault="007D0BC7" w:rsidP="00850B12">
            <w:pPr>
              <w:spacing w:after="0" w:line="240" w:lineRule="auto"/>
              <w:jc w:val="center"/>
              <w:rPr>
                <w:rFonts w:asciiTheme="majorHAnsi" w:hAnsiTheme="majorHAnsi"/>
              </w:rPr>
            </w:pPr>
            <w:r w:rsidRPr="00613B2C">
              <w:rPr>
                <w:rFonts w:asciiTheme="majorHAnsi" w:hAnsiTheme="majorHAnsi"/>
              </w:rPr>
              <w:t>Porcentaje de las inversiones</w:t>
            </w:r>
          </w:p>
        </w:tc>
      </w:tr>
      <w:tr w:rsidR="007D0BC7" w:rsidRPr="00613B2C" w14:paraId="56C3B894" w14:textId="77777777" w:rsidTr="00772349">
        <w:trPr>
          <w:trHeight w:val="315"/>
          <w:jc w:val="center"/>
        </w:trPr>
        <w:tc>
          <w:tcPr>
            <w:tcW w:w="1369" w:type="dxa"/>
            <w:vMerge/>
            <w:tcBorders>
              <w:top w:val="single" w:sz="8" w:space="0" w:color="auto"/>
              <w:left w:val="nil"/>
              <w:bottom w:val="single" w:sz="8" w:space="0" w:color="000000"/>
              <w:right w:val="nil"/>
            </w:tcBorders>
            <w:vAlign w:val="center"/>
            <w:hideMark/>
          </w:tcPr>
          <w:p w14:paraId="0FAAEC47" w14:textId="77777777" w:rsidR="007D0BC7" w:rsidRPr="00613B2C" w:rsidRDefault="007D0BC7" w:rsidP="00850B12">
            <w:pPr>
              <w:spacing w:after="0" w:line="240" w:lineRule="auto"/>
              <w:jc w:val="center"/>
              <w:rPr>
                <w:rFonts w:asciiTheme="majorHAnsi" w:hAnsiTheme="majorHAnsi"/>
              </w:rPr>
            </w:pPr>
          </w:p>
        </w:tc>
        <w:tc>
          <w:tcPr>
            <w:tcW w:w="1594" w:type="dxa"/>
            <w:vMerge/>
            <w:tcBorders>
              <w:top w:val="single" w:sz="8" w:space="0" w:color="auto"/>
              <w:left w:val="nil"/>
              <w:bottom w:val="single" w:sz="8" w:space="0" w:color="000000"/>
              <w:right w:val="nil"/>
            </w:tcBorders>
            <w:vAlign w:val="center"/>
            <w:hideMark/>
          </w:tcPr>
          <w:p w14:paraId="2B370ABA" w14:textId="77777777" w:rsidR="007D0BC7" w:rsidRPr="00613B2C" w:rsidRDefault="007D0BC7" w:rsidP="00850B12">
            <w:pPr>
              <w:spacing w:after="0" w:line="240" w:lineRule="auto"/>
              <w:jc w:val="center"/>
              <w:rPr>
                <w:rFonts w:asciiTheme="majorHAnsi" w:hAnsiTheme="majorHAnsi"/>
              </w:rPr>
            </w:pPr>
          </w:p>
        </w:tc>
        <w:tc>
          <w:tcPr>
            <w:tcW w:w="1146" w:type="dxa"/>
            <w:vMerge/>
            <w:tcBorders>
              <w:top w:val="single" w:sz="8" w:space="0" w:color="auto"/>
              <w:left w:val="nil"/>
              <w:bottom w:val="single" w:sz="8" w:space="0" w:color="000000"/>
              <w:right w:val="nil"/>
            </w:tcBorders>
            <w:vAlign w:val="center"/>
            <w:hideMark/>
          </w:tcPr>
          <w:p w14:paraId="79A35E7A" w14:textId="77777777" w:rsidR="007D0BC7" w:rsidRPr="00613B2C" w:rsidRDefault="007D0BC7" w:rsidP="00850B12">
            <w:pPr>
              <w:spacing w:after="0" w:line="240" w:lineRule="auto"/>
              <w:jc w:val="center"/>
              <w:rPr>
                <w:rFonts w:asciiTheme="majorHAnsi" w:hAnsiTheme="majorHAnsi"/>
              </w:rPr>
            </w:pPr>
          </w:p>
        </w:tc>
        <w:tc>
          <w:tcPr>
            <w:tcW w:w="1128" w:type="dxa"/>
            <w:vMerge/>
            <w:tcBorders>
              <w:top w:val="single" w:sz="8" w:space="0" w:color="auto"/>
              <w:left w:val="nil"/>
              <w:bottom w:val="single" w:sz="8" w:space="0" w:color="000000"/>
              <w:right w:val="nil"/>
            </w:tcBorders>
            <w:vAlign w:val="center"/>
            <w:hideMark/>
          </w:tcPr>
          <w:p w14:paraId="0B6C7784" w14:textId="77777777" w:rsidR="007D0BC7" w:rsidRPr="00613B2C" w:rsidRDefault="007D0BC7" w:rsidP="00850B12">
            <w:pPr>
              <w:spacing w:after="0" w:line="240" w:lineRule="auto"/>
              <w:jc w:val="center"/>
              <w:rPr>
                <w:rFonts w:asciiTheme="majorHAnsi" w:hAnsiTheme="majorHAnsi"/>
              </w:rPr>
            </w:pPr>
          </w:p>
        </w:tc>
        <w:tc>
          <w:tcPr>
            <w:tcW w:w="1296" w:type="dxa"/>
            <w:tcBorders>
              <w:top w:val="nil"/>
              <w:left w:val="nil"/>
              <w:bottom w:val="single" w:sz="8" w:space="0" w:color="auto"/>
              <w:right w:val="nil"/>
            </w:tcBorders>
            <w:shd w:val="clear" w:color="auto" w:fill="auto"/>
            <w:noWrap/>
            <w:vAlign w:val="center"/>
            <w:hideMark/>
          </w:tcPr>
          <w:p w14:paraId="5B31CCE8" w14:textId="77777777" w:rsidR="007D0BC7" w:rsidRPr="00613B2C" w:rsidRDefault="007D0BC7" w:rsidP="00850B12">
            <w:pPr>
              <w:spacing w:after="0" w:line="240" w:lineRule="auto"/>
              <w:jc w:val="center"/>
              <w:rPr>
                <w:rFonts w:asciiTheme="majorHAnsi" w:hAnsiTheme="majorHAnsi"/>
              </w:rPr>
            </w:pPr>
            <w:r w:rsidRPr="00613B2C">
              <w:rPr>
                <w:rFonts w:asciiTheme="majorHAnsi" w:hAnsiTheme="majorHAnsi"/>
              </w:rPr>
              <w:t>valores extranjeros</w:t>
            </w:r>
          </w:p>
        </w:tc>
        <w:tc>
          <w:tcPr>
            <w:tcW w:w="1352" w:type="dxa"/>
            <w:vMerge/>
            <w:tcBorders>
              <w:top w:val="single" w:sz="8" w:space="0" w:color="auto"/>
              <w:left w:val="nil"/>
              <w:bottom w:val="single" w:sz="8" w:space="0" w:color="000000"/>
              <w:right w:val="nil"/>
            </w:tcBorders>
            <w:vAlign w:val="center"/>
            <w:hideMark/>
          </w:tcPr>
          <w:p w14:paraId="208EC4D6" w14:textId="77777777" w:rsidR="007D0BC7" w:rsidRPr="00613B2C" w:rsidRDefault="007D0BC7" w:rsidP="00850B12">
            <w:pPr>
              <w:spacing w:after="0" w:line="240" w:lineRule="auto"/>
              <w:jc w:val="center"/>
              <w:rPr>
                <w:rFonts w:asciiTheme="majorHAnsi" w:hAnsiTheme="majorHAnsi"/>
              </w:rPr>
            </w:pPr>
          </w:p>
        </w:tc>
        <w:tc>
          <w:tcPr>
            <w:tcW w:w="1329" w:type="dxa"/>
            <w:vMerge/>
            <w:tcBorders>
              <w:top w:val="single" w:sz="8" w:space="0" w:color="auto"/>
              <w:left w:val="nil"/>
              <w:bottom w:val="single" w:sz="8" w:space="0" w:color="000000"/>
              <w:right w:val="nil"/>
            </w:tcBorders>
            <w:vAlign w:val="center"/>
            <w:hideMark/>
          </w:tcPr>
          <w:p w14:paraId="20221671" w14:textId="77777777" w:rsidR="007D0BC7" w:rsidRPr="00613B2C" w:rsidRDefault="007D0BC7" w:rsidP="00850B12">
            <w:pPr>
              <w:spacing w:after="0" w:line="240" w:lineRule="auto"/>
              <w:jc w:val="center"/>
              <w:rPr>
                <w:rFonts w:asciiTheme="majorHAnsi" w:hAnsiTheme="majorHAnsi"/>
              </w:rPr>
            </w:pPr>
          </w:p>
        </w:tc>
      </w:tr>
      <w:tr w:rsidR="007D0BC7" w:rsidRPr="00613B2C" w14:paraId="31363052" w14:textId="77777777" w:rsidTr="00772349">
        <w:trPr>
          <w:trHeight w:val="300"/>
          <w:jc w:val="center"/>
        </w:trPr>
        <w:tc>
          <w:tcPr>
            <w:tcW w:w="1369" w:type="dxa"/>
            <w:tcBorders>
              <w:top w:val="nil"/>
              <w:left w:val="nil"/>
              <w:bottom w:val="nil"/>
              <w:right w:val="nil"/>
            </w:tcBorders>
            <w:shd w:val="clear" w:color="auto" w:fill="auto"/>
            <w:noWrap/>
            <w:vAlign w:val="bottom"/>
            <w:hideMark/>
          </w:tcPr>
          <w:p w14:paraId="2D8CE334" w14:textId="77777777" w:rsidR="007D0BC7" w:rsidRPr="00613B2C" w:rsidRDefault="007D0BC7" w:rsidP="00850B12">
            <w:pPr>
              <w:spacing w:after="0" w:line="240" w:lineRule="auto"/>
              <w:jc w:val="both"/>
              <w:rPr>
                <w:rFonts w:asciiTheme="majorHAnsi" w:hAnsiTheme="majorHAnsi"/>
              </w:rPr>
            </w:pPr>
            <w:r w:rsidRPr="00613B2C">
              <w:rPr>
                <w:rFonts w:asciiTheme="majorHAnsi" w:hAnsiTheme="majorHAnsi"/>
              </w:rPr>
              <w:t>31/01/2018</w:t>
            </w:r>
          </w:p>
        </w:tc>
        <w:tc>
          <w:tcPr>
            <w:tcW w:w="1594" w:type="dxa"/>
            <w:tcBorders>
              <w:top w:val="nil"/>
              <w:left w:val="nil"/>
              <w:bottom w:val="nil"/>
              <w:right w:val="nil"/>
            </w:tcBorders>
            <w:shd w:val="clear" w:color="auto" w:fill="auto"/>
            <w:noWrap/>
            <w:vAlign w:val="bottom"/>
            <w:hideMark/>
          </w:tcPr>
          <w:p w14:paraId="10F508C7"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48 385,7</w:t>
            </w:r>
          </w:p>
        </w:tc>
        <w:tc>
          <w:tcPr>
            <w:tcW w:w="1146" w:type="dxa"/>
            <w:tcBorders>
              <w:top w:val="nil"/>
              <w:left w:val="nil"/>
              <w:bottom w:val="nil"/>
              <w:right w:val="nil"/>
            </w:tcBorders>
            <w:shd w:val="clear" w:color="auto" w:fill="auto"/>
            <w:noWrap/>
            <w:vAlign w:val="bottom"/>
            <w:hideMark/>
          </w:tcPr>
          <w:p w14:paraId="235E6754"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4 957 655</w:t>
            </w:r>
          </w:p>
        </w:tc>
        <w:tc>
          <w:tcPr>
            <w:tcW w:w="1128" w:type="dxa"/>
            <w:tcBorders>
              <w:top w:val="nil"/>
              <w:left w:val="nil"/>
              <w:bottom w:val="nil"/>
              <w:right w:val="nil"/>
            </w:tcBorders>
            <w:shd w:val="clear" w:color="auto" w:fill="auto"/>
            <w:noWrap/>
            <w:vAlign w:val="bottom"/>
            <w:hideMark/>
          </w:tcPr>
          <w:p w14:paraId="77AEBB5B"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-7 757</w:t>
            </w:r>
          </w:p>
        </w:tc>
        <w:tc>
          <w:tcPr>
            <w:tcW w:w="1296" w:type="dxa"/>
            <w:tcBorders>
              <w:top w:val="nil"/>
              <w:left w:val="nil"/>
              <w:bottom w:val="nil"/>
              <w:right w:val="nil"/>
            </w:tcBorders>
            <w:shd w:val="clear" w:color="auto" w:fill="auto"/>
            <w:noWrap/>
            <w:vAlign w:val="bottom"/>
            <w:hideMark/>
          </w:tcPr>
          <w:p w14:paraId="05569AF5"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29 549</w:t>
            </w:r>
          </w:p>
        </w:tc>
        <w:tc>
          <w:tcPr>
            <w:tcW w:w="1352" w:type="dxa"/>
            <w:tcBorders>
              <w:top w:val="nil"/>
              <w:left w:val="nil"/>
              <w:bottom w:val="nil"/>
              <w:right w:val="nil"/>
            </w:tcBorders>
            <w:shd w:val="clear" w:color="auto" w:fill="auto"/>
            <w:noWrap/>
            <w:vAlign w:val="bottom"/>
            <w:hideMark/>
          </w:tcPr>
          <w:p w14:paraId="66835715"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21 791</w:t>
            </w:r>
          </w:p>
        </w:tc>
        <w:tc>
          <w:tcPr>
            <w:tcW w:w="1329" w:type="dxa"/>
            <w:tcBorders>
              <w:top w:val="nil"/>
              <w:left w:val="nil"/>
              <w:bottom w:val="nil"/>
              <w:right w:val="nil"/>
            </w:tcBorders>
            <w:shd w:val="clear" w:color="auto" w:fill="auto"/>
            <w:noWrap/>
            <w:vAlign w:val="bottom"/>
            <w:hideMark/>
          </w:tcPr>
          <w:p w14:paraId="57B0B5AA"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0,44%</w:t>
            </w:r>
          </w:p>
        </w:tc>
      </w:tr>
      <w:tr w:rsidR="007D0BC7" w:rsidRPr="00613B2C" w14:paraId="6C30421E" w14:textId="77777777" w:rsidTr="00772349">
        <w:trPr>
          <w:trHeight w:val="300"/>
          <w:jc w:val="center"/>
        </w:trPr>
        <w:tc>
          <w:tcPr>
            <w:tcW w:w="1369" w:type="dxa"/>
            <w:tcBorders>
              <w:top w:val="nil"/>
              <w:left w:val="nil"/>
              <w:bottom w:val="nil"/>
              <w:right w:val="nil"/>
            </w:tcBorders>
            <w:shd w:val="clear" w:color="auto" w:fill="auto"/>
            <w:noWrap/>
            <w:vAlign w:val="bottom"/>
            <w:hideMark/>
          </w:tcPr>
          <w:p w14:paraId="06E89368" w14:textId="77777777" w:rsidR="007D0BC7" w:rsidRPr="00613B2C" w:rsidRDefault="007D0BC7" w:rsidP="00850B12">
            <w:pPr>
              <w:spacing w:after="0" w:line="240" w:lineRule="auto"/>
              <w:jc w:val="both"/>
              <w:rPr>
                <w:rFonts w:asciiTheme="majorHAnsi" w:hAnsiTheme="majorHAnsi"/>
              </w:rPr>
            </w:pPr>
            <w:r w:rsidRPr="00613B2C">
              <w:rPr>
                <w:rFonts w:asciiTheme="majorHAnsi" w:hAnsiTheme="majorHAnsi"/>
              </w:rPr>
              <w:t>28/02/2018</w:t>
            </w:r>
          </w:p>
        </w:tc>
        <w:tc>
          <w:tcPr>
            <w:tcW w:w="1594" w:type="dxa"/>
            <w:tcBorders>
              <w:top w:val="nil"/>
              <w:left w:val="nil"/>
              <w:bottom w:val="nil"/>
              <w:right w:val="nil"/>
            </w:tcBorders>
            <w:shd w:val="clear" w:color="auto" w:fill="auto"/>
            <w:noWrap/>
            <w:vAlign w:val="bottom"/>
            <w:hideMark/>
          </w:tcPr>
          <w:p w14:paraId="236BB98D"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78 020,2</w:t>
            </w:r>
          </w:p>
        </w:tc>
        <w:tc>
          <w:tcPr>
            <w:tcW w:w="1146" w:type="dxa"/>
            <w:tcBorders>
              <w:top w:val="nil"/>
              <w:left w:val="nil"/>
              <w:bottom w:val="nil"/>
              <w:right w:val="nil"/>
            </w:tcBorders>
            <w:shd w:val="clear" w:color="auto" w:fill="auto"/>
            <w:noWrap/>
            <w:vAlign w:val="bottom"/>
            <w:hideMark/>
          </w:tcPr>
          <w:p w14:paraId="76BA159C"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4 923 576</w:t>
            </w:r>
          </w:p>
        </w:tc>
        <w:tc>
          <w:tcPr>
            <w:tcW w:w="1128" w:type="dxa"/>
            <w:tcBorders>
              <w:top w:val="nil"/>
              <w:left w:val="nil"/>
              <w:bottom w:val="nil"/>
              <w:right w:val="nil"/>
            </w:tcBorders>
            <w:shd w:val="clear" w:color="auto" w:fill="auto"/>
            <w:noWrap/>
            <w:vAlign w:val="bottom"/>
            <w:hideMark/>
          </w:tcPr>
          <w:p w14:paraId="5BDBF523"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-14 748</w:t>
            </w:r>
          </w:p>
        </w:tc>
        <w:tc>
          <w:tcPr>
            <w:tcW w:w="1296" w:type="dxa"/>
            <w:tcBorders>
              <w:top w:val="nil"/>
              <w:left w:val="nil"/>
              <w:bottom w:val="nil"/>
              <w:right w:val="nil"/>
            </w:tcBorders>
            <w:shd w:val="clear" w:color="auto" w:fill="auto"/>
            <w:noWrap/>
            <w:vAlign w:val="bottom"/>
            <w:hideMark/>
          </w:tcPr>
          <w:p w14:paraId="2058161C"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10 084</w:t>
            </w:r>
          </w:p>
        </w:tc>
        <w:tc>
          <w:tcPr>
            <w:tcW w:w="1352" w:type="dxa"/>
            <w:tcBorders>
              <w:top w:val="nil"/>
              <w:left w:val="nil"/>
              <w:bottom w:val="nil"/>
              <w:right w:val="nil"/>
            </w:tcBorders>
            <w:shd w:val="clear" w:color="auto" w:fill="auto"/>
            <w:noWrap/>
            <w:vAlign w:val="bottom"/>
            <w:hideMark/>
          </w:tcPr>
          <w:p w14:paraId="6E54F434"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-4 663</w:t>
            </w:r>
          </w:p>
        </w:tc>
        <w:tc>
          <w:tcPr>
            <w:tcW w:w="1329" w:type="dxa"/>
            <w:tcBorders>
              <w:top w:val="nil"/>
              <w:left w:val="nil"/>
              <w:bottom w:val="nil"/>
              <w:right w:val="nil"/>
            </w:tcBorders>
            <w:shd w:val="clear" w:color="auto" w:fill="auto"/>
            <w:noWrap/>
            <w:vAlign w:val="bottom"/>
            <w:hideMark/>
          </w:tcPr>
          <w:p w14:paraId="4C296C65"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-0,09%</w:t>
            </w:r>
          </w:p>
        </w:tc>
      </w:tr>
      <w:tr w:rsidR="007D0BC7" w:rsidRPr="00613B2C" w14:paraId="6BF57862" w14:textId="77777777" w:rsidTr="00772349">
        <w:trPr>
          <w:trHeight w:val="300"/>
          <w:jc w:val="center"/>
        </w:trPr>
        <w:tc>
          <w:tcPr>
            <w:tcW w:w="1369" w:type="dxa"/>
            <w:tcBorders>
              <w:top w:val="nil"/>
              <w:left w:val="nil"/>
              <w:bottom w:val="nil"/>
              <w:right w:val="nil"/>
            </w:tcBorders>
            <w:shd w:val="clear" w:color="auto" w:fill="auto"/>
            <w:noWrap/>
            <w:vAlign w:val="bottom"/>
            <w:hideMark/>
          </w:tcPr>
          <w:p w14:paraId="12657A87" w14:textId="77777777" w:rsidR="007D0BC7" w:rsidRPr="00613B2C" w:rsidRDefault="007D0BC7" w:rsidP="00850B12">
            <w:pPr>
              <w:spacing w:after="0" w:line="240" w:lineRule="auto"/>
              <w:jc w:val="both"/>
              <w:rPr>
                <w:rFonts w:asciiTheme="majorHAnsi" w:hAnsiTheme="majorHAnsi"/>
              </w:rPr>
            </w:pPr>
            <w:r w:rsidRPr="00613B2C">
              <w:rPr>
                <w:rFonts w:asciiTheme="majorHAnsi" w:hAnsiTheme="majorHAnsi"/>
              </w:rPr>
              <w:t>31/03/2018</w:t>
            </w:r>
          </w:p>
        </w:tc>
        <w:tc>
          <w:tcPr>
            <w:tcW w:w="1594" w:type="dxa"/>
            <w:tcBorders>
              <w:top w:val="nil"/>
              <w:left w:val="nil"/>
              <w:bottom w:val="nil"/>
              <w:right w:val="nil"/>
            </w:tcBorders>
            <w:shd w:val="clear" w:color="auto" w:fill="auto"/>
            <w:noWrap/>
            <w:vAlign w:val="bottom"/>
            <w:hideMark/>
          </w:tcPr>
          <w:p w14:paraId="5A1A49CF"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79 886,7</w:t>
            </w:r>
          </w:p>
        </w:tc>
        <w:tc>
          <w:tcPr>
            <w:tcW w:w="1146" w:type="dxa"/>
            <w:tcBorders>
              <w:top w:val="nil"/>
              <w:left w:val="nil"/>
              <w:bottom w:val="nil"/>
              <w:right w:val="nil"/>
            </w:tcBorders>
            <w:shd w:val="clear" w:color="auto" w:fill="auto"/>
            <w:noWrap/>
            <w:vAlign w:val="bottom"/>
            <w:hideMark/>
          </w:tcPr>
          <w:p w14:paraId="3D8E6FF4"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5 109 805</w:t>
            </w:r>
          </w:p>
        </w:tc>
        <w:tc>
          <w:tcPr>
            <w:tcW w:w="1128" w:type="dxa"/>
            <w:tcBorders>
              <w:top w:val="nil"/>
              <w:left w:val="nil"/>
              <w:bottom w:val="nil"/>
              <w:right w:val="nil"/>
            </w:tcBorders>
            <w:shd w:val="clear" w:color="auto" w:fill="auto"/>
            <w:noWrap/>
            <w:vAlign w:val="bottom"/>
            <w:hideMark/>
          </w:tcPr>
          <w:p w14:paraId="1C69B0BF"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-19 971</w:t>
            </w:r>
          </w:p>
        </w:tc>
        <w:tc>
          <w:tcPr>
            <w:tcW w:w="1296" w:type="dxa"/>
            <w:tcBorders>
              <w:top w:val="nil"/>
              <w:left w:val="nil"/>
              <w:bottom w:val="nil"/>
              <w:right w:val="nil"/>
            </w:tcBorders>
            <w:shd w:val="clear" w:color="auto" w:fill="auto"/>
            <w:noWrap/>
            <w:vAlign w:val="bottom"/>
            <w:hideMark/>
          </w:tcPr>
          <w:p w14:paraId="1DAE3F58"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 xml:space="preserve">    213</w:t>
            </w:r>
          </w:p>
        </w:tc>
        <w:tc>
          <w:tcPr>
            <w:tcW w:w="1352" w:type="dxa"/>
            <w:tcBorders>
              <w:top w:val="nil"/>
              <w:left w:val="nil"/>
              <w:bottom w:val="nil"/>
              <w:right w:val="nil"/>
            </w:tcBorders>
            <w:shd w:val="clear" w:color="auto" w:fill="auto"/>
            <w:noWrap/>
            <w:vAlign w:val="bottom"/>
            <w:hideMark/>
          </w:tcPr>
          <w:p w14:paraId="40C0D009"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-19 758</w:t>
            </w:r>
          </w:p>
        </w:tc>
        <w:tc>
          <w:tcPr>
            <w:tcW w:w="1329" w:type="dxa"/>
            <w:tcBorders>
              <w:top w:val="nil"/>
              <w:left w:val="nil"/>
              <w:bottom w:val="nil"/>
              <w:right w:val="nil"/>
            </w:tcBorders>
            <w:shd w:val="clear" w:color="auto" w:fill="auto"/>
            <w:noWrap/>
            <w:vAlign w:val="bottom"/>
            <w:hideMark/>
          </w:tcPr>
          <w:p w14:paraId="3FF9C488"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-0,39%</w:t>
            </w:r>
          </w:p>
        </w:tc>
      </w:tr>
      <w:tr w:rsidR="007D0BC7" w:rsidRPr="00613B2C" w14:paraId="536F6661" w14:textId="77777777" w:rsidTr="00772349">
        <w:trPr>
          <w:trHeight w:val="300"/>
          <w:jc w:val="center"/>
        </w:trPr>
        <w:tc>
          <w:tcPr>
            <w:tcW w:w="1369" w:type="dxa"/>
            <w:tcBorders>
              <w:top w:val="nil"/>
              <w:left w:val="nil"/>
              <w:bottom w:val="nil"/>
              <w:right w:val="nil"/>
            </w:tcBorders>
            <w:shd w:val="clear" w:color="auto" w:fill="auto"/>
            <w:noWrap/>
            <w:vAlign w:val="bottom"/>
            <w:hideMark/>
          </w:tcPr>
          <w:p w14:paraId="431845C8" w14:textId="77777777" w:rsidR="007D0BC7" w:rsidRPr="00613B2C" w:rsidRDefault="007D0BC7" w:rsidP="00850B12">
            <w:pPr>
              <w:spacing w:after="0" w:line="240" w:lineRule="auto"/>
              <w:jc w:val="both"/>
              <w:rPr>
                <w:rFonts w:asciiTheme="majorHAnsi" w:hAnsiTheme="majorHAnsi"/>
              </w:rPr>
            </w:pPr>
            <w:r w:rsidRPr="00613B2C">
              <w:rPr>
                <w:rFonts w:asciiTheme="majorHAnsi" w:hAnsiTheme="majorHAnsi"/>
              </w:rPr>
              <w:t>30/04/2018</w:t>
            </w:r>
          </w:p>
        </w:tc>
        <w:tc>
          <w:tcPr>
            <w:tcW w:w="1594" w:type="dxa"/>
            <w:tcBorders>
              <w:top w:val="nil"/>
              <w:left w:val="nil"/>
              <w:bottom w:val="nil"/>
              <w:right w:val="nil"/>
            </w:tcBorders>
            <w:shd w:val="clear" w:color="auto" w:fill="auto"/>
            <w:noWrap/>
            <w:vAlign w:val="bottom"/>
            <w:hideMark/>
          </w:tcPr>
          <w:p w14:paraId="1539DF01"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74 566,3</w:t>
            </w:r>
          </w:p>
        </w:tc>
        <w:tc>
          <w:tcPr>
            <w:tcW w:w="1146" w:type="dxa"/>
            <w:tcBorders>
              <w:top w:val="nil"/>
              <w:left w:val="nil"/>
              <w:bottom w:val="nil"/>
              <w:right w:val="nil"/>
            </w:tcBorders>
            <w:shd w:val="clear" w:color="auto" w:fill="auto"/>
            <w:noWrap/>
            <w:vAlign w:val="bottom"/>
            <w:hideMark/>
          </w:tcPr>
          <w:p w14:paraId="682CD891"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5 158 930</w:t>
            </w:r>
          </w:p>
        </w:tc>
        <w:tc>
          <w:tcPr>
            <w:tcW w:w="1128" w:type="dxa"/>
            <w:tcBorders>
              <w:top w:val="nil"/>
              <w:left w:val="nil"/>
              <w:bottom w:val="nil"/>
              <w:right w:val="nil"/>
            </w:tcBorders>
            <w:shd w:val="clear" w:color="auto" w:fill="auto"/>
            <w:noWrap/>
            <w:vAlign w:val="bottom"/>
            <w:hideMark/>
          </w:tcPr>
          <w:p w14:paraId="1B7D1D27"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-21 285</w:t>
            </w:r>
          </w:p>
        </w:tc>
        <w:tc>
          <w:tcPr>
            <w:tcW w:w="1296" w:type="dxa"/>
            <w:tcBorders>
              <w:top w:val="nil"/>
              <w:left w:val="nil"/>
              <w:bottom w:val="nil"/>
              <w:right w:val="nil"/>
            </w:tcBorders>
            <w:shd w:val="clear" w:color="auto" w:fill="auto"/>
            <w:noWrap/>
            <w:vAlign w:val="bottom"/>
            <w:hideMark/>
          </w:tcPr>
          <w:p w14:paraId="29D418EB"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9 315</w:t>
            </w:r>
          </w:p>
        </w:tc>
        <w:tc>
          <w:tcPr>
            <w:tcW w:w="1352" w:type="dxa"/>
            <w:tcBorders>
              <w:top w:val="nil"/>
              <w:left w:val="nil"/>
              <w:bottom w:val="nil"/>
              <w:right w:val="nil"/>
            </w:tcBorders>
            <w:shd w:val="clear" w:color="auto" w:fill="auto"/>
            <w:noWrap/>
            <w:vAlign w:val="bottom"/>
            <w:hideMark/>
          </w:tcPr>
          <w:p w14:paraId="48CCA83E"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-11 970</w:t>
            </w:r>
          </w:p>
        </w:tc>
        <w:tc>
          <w:tcPr>
            <w:tcW w:w="1329" w:type="dxa"/>
            <w:tcBorders>
              <w:top w:val="nil"/>
              <w:left w:val="nil"/>
              <w:bottom w:val="nil"/>
              <w:right w:val="nil"/>
            </w:tcBorders>
            <w:shd w:val="clear" w:color="auto" w:fill="auto"/>
            <w:noWrap/>
            <w:vAlign w:val="bottom"/>
            <w:hideMark/>
          </w:tcPr>
          <w:p w14:paraId="6E5F2731"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-0,23%</w:t>
            </w:r>
          </w:p>
        </w:tc>
      </w:tr>
      <w:tr w:rsidR="007D0BC7" w:rsidRPr="00613B2C" w14:paraId="187EC635" w14:textId="77777777" w:rsidTr="00772349">
        <w:trPr>
          <w:trHeight w:val="300"/>
          <w:jc w:val="center"/>
        </w:trPr>
        <w:tc>
          <w:tcPr>
            <w:tcW w:w="1369" w:type="dxa"/>
            <w:tcBorders>
              <w:top w:val="nil"/>
              <w:left w:val="nil"/>
              <w:bottom w:val="nil"/>
              <w:right w:val="nil"/>
            </w:tcBorders>
            <w:shd w:val="clear" w:color="auto" w:fill="auto"/>
            <w:noWrap/>
            <w:vAlign w:val="bottom"/>
            <w:hideMark/>
          </w:tcPr>
          <w:p w14:paraId="73B78082" w14:textId="77777777" w:rsidR="007D0BC7" w:rsidRPr="00613B2C" w:rsidRDefault="007D0BC7" w:rsidP="00850B12">
            <w:pPr>
              <w:spacing w:after="0" w:line="240" w:lineRule="auto"/>
              <w:jc w:val="both"/>
              <w:rPr>
                <w:rFonts w:asciiTheme="majorHAnsi" w:hAnsiTheme="majorHAnsi"/>
              </w:rPr>
            </w:pPr>
            <w:r w:rsidRPr="00613B2C">
              <w:rPr>
                <w:rFonts w:asciiTheme="majorHAnsi" w:hAnsiTheme="majorHAnsi"/>
              </w:rPr>
              <w:t>31/05/2018</w:t>
            </w:r>
          </w:p>
        </w:tc>
        <w:tc>
          <w:tcPr>
            <w:tcW w:w="1594" w:type="dxa"/>
            <w:tcBorders>
              <w:top w:val="nil"/>
              <w:left w:val="nil"/>
              <w:bottom w:val="nil"/>
              <w:right w:val="nil"/>
            </w:tcBorders>
            <w:shd w:val="clear" w:color="auto" w:fill="auto"/>
            <w:noWrap/>
            <w:vAlign w:val="bottom"/>
            <w:hideMark/>
          </w:tcPr>
          <w:p w14:paraId="61CA034B"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52 048,8</w:t>
            </w:r>
          </w:p>
        </w:tc>
        <w:tc>
          <w:tcPr>
            <w:tcW w:w="1146" w:type="dxa"/>
            <w:tcBorders>
              <w:top w:val="nil"/>
              <w:left w:val="nil"/>
              <w:bottom w:val="nil"/>
              <w:right w:val="nil"/>
            </w:tcBorders>
            <w:shd w:val="clear" w:color="auto" w:fill="auto"/>
            <w:noWrap/>
            <w:vAlign w:val="bottom"/>
            <w:hideMark/>
          </w:tcPr>
          <w:p w14:paraId="1DED4F0E"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5 1978 40</w:t>
            </w:r>
          </w:p>
        </w:tc>
        <w:tc>
          <w:tcPr>
            <w:tcW w:w="1128" w:type="dxa"/>
            <w:tcBorders>
              <w:top w:val="nil"/>
              <w:left w:val="nil"/>
              <w:bottom w:val="nil"/>
              <w:right w:val="nil"/>
            </w:tcBorders>
            <w:shd w:val="clear" w:color="auto" w:fill="auto"/>
            <w:noWrap/>
            <w:vAlign w:val="bottom"/>
            <w:hideMark/>
          </w:tcPr>
          <w:p w14:paraId="33FE9AC3"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-24 000</w:t>
            </w:r>
          </w:p>
        </w:tc>
        <w:tc>
          <w:tcPr>
            <w:tcW w:w="1296" w:type="dxa"/>
            <w:tcBorders>
              <w:top w:val="nil"/>
              <w:left w:val="nil"/>
              <w:bottom w:val="nil"/>
              <w:right w:val="nil"/>
            </w:tcBorders>
            <w:shd w:val="clear" w:color="auto" w:fill="auto"/>
            <w:noWrap/>
            <w:vAlign w:val="bottom"/>
            <w:hideMark/>
          </w:tcPr>
          <w:p w14:paraId="4983FA0A"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11 950</w:t>
            </w:r>
          </w:p>
        </w:tc>
        <w:tc>
          <w:tcPr>
            <w:tcW w:w="1352" w:type="dxa"/>
            <w:tcBorders>
              <w:top w:val="nil"/>
              <w:left w:val="nil"/>
              <w:bottom w:val="nil"/>
              <w:right w:val="nil"/>
            </w:tcBorders>
            <w:shd w:val="clear" w:color="auto" w:fill="auto"/>
            <w:noWrap/>
            <w:vAlign w:val="bottom"/>
            <w:hideMark/>
          </w:tcPr>
          <w:p w14:paraId="671C2B3F"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-12 050</w:t>
            </w:r>
          </w:p>
        </w:tc>
        <w:tc>
          <w:tcPr>
            <w:tcW w:w="1329" w:type="dxa"/>
            <w:tcBorders>
              <w:top w:val="nil"/>
              <w:left w:val="nil"/>
              <w:bottom w:val="nil"/>
              <w:right w:val="nil"/>
            </w:tcBorders>
            <w:shd w:val="clear" w:color="auto" w:fill="auto"/>
            <w:noWrap/>
            <w:vAlign w:val="bottom"/>
            <w:hideMark/>
          </w:tcPr>
          <w:p w14:paraId="3EB3F304"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-0,23%</w:t>
            </w:r>
          </w:p>
        </w:tc>
      </w:tr>
      <w:tr w:rsidR="007D0BC7" w:rsidRPr="00613B2C" w14:paraId="444B8FDA" w14:textId="77777777" w:rsidTr="00772349">
        <w:trPr>
          <w:trHeight w:val="300"/>
          <w:jc w:val="center"/>
        </w:trPr>
        <w:tc>
          <w:tcPr>
            <w:tcW w:w="1369" w:type="dxa"/>
            <w:tcBorders>
              <w:top w:val="nil"/>
              <w:left w:val="nil"/>
              <w:bottom w:val="nil"/>
              <w:right w:val="nil"/>
            </w:tcBorders>
            <w:shd w:val="clear" w:color="auto" w:fill="auto"/>
            <w:noWrap/>
            <w:vAlign w:val="bottom"/>
            <w:hideMark/>
          </w:tcPr>
          <w:p w14:paraId="5286AC5B" w14:textId="77777777" w:rsidR="007D0BC7" w:rsidRPr="00613B2C" w:rsidRDefault="007D0BC7" w:rsidP="00850B12">
            <w:pPr>
              <w:spacing w:after="0" w:line="240" w:lineRule="auto"/>
              <w:jc w:val="both"/>
              <w:rPr>
                <w:rFonts w:asciiTheme="majorHAnsi" w:hAnsiTheme="majorHAnsi"/>
              </w:rPr>
            </w:pPr>
            <w:r w:rsidRPr="00613B2C">
              <w:rPr>
                <w:rFonts w:asciiTheme="majorHAnsi" w:hAnsiTheme="majorHAnsi"/>
              </w:rPr>
              <w:t>30/06/2018</w:t>
            </w:r>
          </w:p>
        </w:tc>
        <w:tc>
          <w:tcPr>
            <w:tcW w:w="1594" w:type="dxa"/>
            <w:tcBorders>
              <w:top w:val="nil"/>
              <w:left w:val="nil"/>
              <w:bottom w:val="nil"/>
              <w:right w:val="nil"/>
            </w:tcBorders>
            <w:shd w:val="clear" w:color="auto" w:fill="auto"/>
            <w:noWrap/>
            <w:vAlign w:val="bottom"/>
            <w:hideMark/>
          </w:tcPr>
          <w:p w14:paraId="138EF561"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42 638,5</w:t>
            </w:r>
          </w:p>
        </w:tc>
        <w:tc>
          <w:tcPr>
            <w:tcW w:w="1146" w:type="dxa"/>
            <w:tcBorders>
              <w:top w:val="nil"/>
              <w:left w:val="nil"/>
              <w:bottom w:val="nil"/>
              <w:right w:val="nil"/>
            </w:tcBorders>
            <w:shd w:val="clear" w:color="auto" w:fill="auto"/>
            <w:noWrap/>
            <w:vAlign w:val="bottom"/>
            <w:hideMark/>
          </w:tcPr>
          <w:p w14:paraId="6E68474D"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5 241 229</w:t>
            </w:r>
          </w:p>
        </w:tc>
        <w:tc>
          <w:tcPr>
            <w:tcW w:w="1128" w:type="dxa"/>
            <w:tcBorders>
              <w:top w:val="nil"/>
              <w:left w:val="nil"/>
              <w:bottom w:val="nil"/>
              <w:right w:val="nil"/>
            </w:tcBorders>
            <w:shd w:val="clear" w:color="auto" w:fill="auto"/>
            <w:noWrap/>
            <w:vAlign w:val="bottom"/>
            <w:hideMark/>
          </w:tcPr>
          <w:p w14:paraId="3184569A"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-22 793</w:t>
            </w:r>
          </w:p>
        </w:tc>
        <w:tc>
          <w:tcPr>
            <w:tcW w:w="1296" w:type="dxa"/>
            <w:tcBorders>
              <w:top w:val="nil"/>
              <w:left w:val="nil"/>
              <w:bottom w:val="nil"/>
              <w:right w:val="nil"/>
            </w:tcBorders>
            <w:shd w:val="clear" w:color="auto" w:fill="auto"/>
            <w:noWrap/>
            <w:vAlign w:val="bottom"/>
            <w:hideMark/>
          </w:tcPr>
          <w:p w14:paraId="3CFB0EB6"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7 650</w:t>
            </w:r>
          </w:p>
        </w:tc>
        <w:tc>
          <w:tcPr>
            <w:tcW w:w="1352" w:type="dxa"/>
            <w:tcBorders>
              <w:top w:val="nil"/>
              <w:left w:val="nil"/>
              <w:bottom w:val="nil"/>
              <w:right w:val="nil"/>
            </w:tcBorders>
            <w:shd w:val="clear" w:color="auto" w:fill="auto"/>
            <w:noWrap/>
            <w:vAlign w:val="bottom"/>
            <w:hideMark/>
          </w:tcPr>
          <w:p w14:paraId="067041E0"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-15 142</w:t>
            </w:r>
          </w:p>
        </w:tc>
        <w:tc>
          <w:tcPr>
            <w:tcW w:w="1329" w:type="dxa"/>
            <w:tcBorders>
              <w:top w:val="nil"/>
              <w:left w:val="nil"/>
              <w:bottom w:val="nil"/>
              <w:right w:val="nil"/>
            </w:tcBorders>
            <w:shd w:val="clear" w:color="auto" w:fill="auto"/>
            <w:noWrap/>
            <w:vAlign w:val="bottom"/>
            <w:hideMark/>
          </w:tcPr>
          <w:p w14:paraId="1B9BD51E"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-0,29%</w:t>
            </w:r>
          </w:p>
        </w:tc>
      </w:tr>
      <w:tr w:rsidR="007D0BC7" w:rsidRPr="00613B2C" w14:paraId="093D434E" w14:textId="77777777" w:rsidTr="00772349">
        <w:trPr>
          <w:trHeight w:val="300"/>
          <w:jc w:val="center"/>
        </w:trPr>
        <w:tc>
          <w:tcPr>
            <w:tcW w:w="1369" w:type="dxa"/>
            <w:tcBorders>
              <w:top w:val="nil"/>
              <w:left w:val="nil"/>
              <w:bottom w:val="nil"/>
              <w:right w:val="nil"/>
            </w:tcBorders>
            <w:shd w:val="clear" w:color="auto" w:fill="auto"/>
            <w:noWrap/>
            <w:vAlign w:val="bottom"/>
            <w:hideMark/>
          </w:tcPr>
          <w:p w14:paraId="21DA81A1" w14:textId="77777777" w:rsidR="007D0BC7" w:rsidRPr="00613B2C" w:rsidRDefault="007D0BC7" w:rsidP="00850B12">
            <w:pPr>
              <w:spacing w:after="0" w:line="240" w:lineRule="auto"/>
              <w:jc w:val="both"/>
              <w:rPr>
                <w:rFonts w:asciiTheme="majorHAnsi" w:hAnsiTheme="majorHAnsi"/>
              </w:rPr>
            </w:pPr>
            <w:r w:rsidRPr="00613B2C">
              <w:rPr>
                <w:rFonts w:asciiTheme="majorHAnsi" w:hAnsiTheme="majorHAnsi"/>
              </w:rPr>
              <w:t>31/07/2018</w:t>
            </w:r>
          </w:p>
        </w:tc>
        <w:tc>
          <w:tcPr>
            <w:tcW w:w="1594" w:type="dxa"/>
            <w:tcBorders>
              <w:top w:val="nil"/>
              <w:left w:val="nil"/>
              <w:bottom w:val="nil"/>
              <w:right w:val="nil"/>
            </w:tcBorders>
            <w:shd w:val="clear" w:color="auto" w:fill="auto"/>
            <w:noWrap/>
            <w:vAlign w:val="bottom"/>
            <w:hideMark/>
          </w:tcPr>
          <w:p w14:paraId="56ABB263"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82 639,3</w:t>
            </w:r>
          </w:p>
        </w:tc>
        <w:tc>
          <w:tcPr>
            <w:tcW w:w="1146" w:type="dxa"/>
            <w:tcBorders>
              <w:top w:val="nil"/>
              <w:left w:val="nil"/>
              <w:bottom w:val="nil"/>
              <w:right w:val="nil"/>
            </w:tcBorders>
            <w:shd w:val="clear" w:color="auto" w:fill="auto"/>
            <w:noWrap/>
            <w:vAlign w:val="bottom"/>
            <w:hideMark/>
          </w:tcPr>
          <w:p w14:paraId="13E762F3"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5 352 761</w:t>
            </w:r>
          </w:p>
        </w:tc>
        <w:tc>
          <w:tcPr>
            <w:tcW w:w="1128" w:type="dxa"/>
            <w:tcBorders>
              <w:top w:val="nil"/>
              <w:left w:val="nil"/>
              <w:bottom w:val="nil"/>
              <w:right w:val="nil"/>
            </w:tcBorders>
            <w:shd w:val="clear" w:color="auto" w:fill="auto"/>
            <w:noWrap/>
            <w:vAlign w:val="bottom"/>
            <w:hideMark/>
          </w:tcPr>
          <w:p w14:paraId="2ECBB5BB"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-33 269</w:t>
            </w:r>
          </w:p>
        </w:tc>
        <w:tc>
          <w:tcPr>
            <w:tcW w:w="1296" w:type="dxa"/>
            <w:tcBorders>
              <w:top w:val="nil"/>
              <w:left w:val="nil"/>
              <w:bottom w:val="nil"/>
              <w:right w:val="nil"/>
            </w:tcBorders>
            <w:shd w:val="clear" w:color="auto" w:fill="auto"/>
            <w:noWrap/>
            <w:vAlign w:val="bottom"/>
            <w:hideMark/>
          </w:tcPr>
          <w:p w14:paraId="58079C47"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20 005</w:t>
            </w:r>
          </w:p>
        </w:tc>
        <w:tc>
          <w:tcPr>
            <w:tcW w:w="1352" w:type="dxa"/>
            <w:tcBorders>
              <w:top w:val="nil"/>
              <w:left w:val="nil"/>
              <w:bottom w:val="nil"/>
              <w:right w:val="nil"/>
            </w:tcBorders>
            <w:shd w:val="clear" w:color="auto" w:fill="auto"/>
            <w:noWrap/>
            <w:vAlign w:val="bottom"/>
            <w:hideMark/>
          </w:tcPr>
          <w:p w14:paraId="3703255D"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-13 264</w:t>
            </w:r>
          </w:p>
        </w:tc>
        <w:tc>
          <w:tcPr>
            <w:tcW w:w="1329" w:type="dxa"/>
            <w:tcBorders>
              <w:top w:val="nil"/>
              <w:left w:val="nil"/>
              <w:bottom w:val="nil"/>
              <w:right w:val="nil"/>
            </w:tcBorders>
            <w:shd w:val="clear" w:color="auto" w:fill="auto"/>
            <w:noWrap/>
            <w:vAlign w:val="bottom"/>
            <w:hideMark/>
          </w:tcPr>
          <w:p w14:paraId="0EBD24E6"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-0,25%</w:t>
            </w:r>
          </w:p>
        </w:tc>
      </w:tr>
      <w:tr w:rsidR="007D0BC7" w:rsidRPr="00613B2C" w14:paraId="277BBCD3" w14:textId="77777777" w:rsidTr="00772349">
        <w:trPr>
          <w:trHeight w:val="300"/>
          <w:jc w:val="center"/>
        </w:trPr>
        <w:tc>
          <w:tcPr>
            <w:tcW w:w="1369" w:type="dxa"/>
            <w:tcBorders>
              <w:top w:val="nil"/>
              <w:left w:val="nil"/>
              <w:right w:val="nil"/>
            </w:tcBorders>
            <w:shd w:val="clear" w:color="auto" w:fill="auto"/>
            <w:noWrap/>
            <w:vAlign w:val="bottom"/>
            <w:hideMark/>
          </w:tcPr>
          <w:p w14:paraId="0E4BC036" w14:textId="77777777" w:rsidR="007D0BC7" w:rsidRPr="00613B2C" w:rsidRDefault="007D0BC7" w:rsidP="00850B12">
            <w:pPr>
              <w:spacing w:after="0" w:line="240" w:lineRule="auto"/>
              <w:jc w:val="both"/>
              <w:rPr>
                <w:rFonts w:asciiTheme="majorHAnsi" w:hAnsiTheme="majorHAnsi"/>
              </w:rPr>
            </w:pPr>
            <w:r w:rsidRPr="00613B2C">
              <w:rPr>
                <w:rFonts w:asciiTheme="majorHAnsi" w:hAnsiTheme="majorHAnsi"/>
              </w:rPr>
              <w:t>31/08/2018</w:t>
            </w:r>
          </w:p>
        </w:tc>
        <w:tc>
          <w:tcPr>
            <w:tcW w:w="1594" w:type="dxa"/>
            <w:tcBorders>
              <w:top w:val="nil"/>
              <w:left w:val="nil"/>
              <w:right w:val="nil"/>
            </w:tcBorders>
            <w:shd w:val="clear" w:color="auto" w:fill="auto"/>
            <w:noWrap/>
            <w:vAlign w:val="bottom"/>
            <w:hideMark/>
          </w:tcPr>
          <w:p w14:paraId="0B1985ED"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45 562,5</w:t>
            </w:r>
          </w:p>
        </w:tc>
        <w:tc>
          <w:tcPr>
            <w:tcW w:w="1146" w:type="dxa"/>
            <w:tcBorders>
              <w:top w:val="nil"/>
              <w:left w:val="nil"/>
              <w:right w:val="nil"/>
            </w:tcBorders>
            <w:shd w:val="clear" w:color="auto" w:fill="auto"/>
            <w:noWrap/>
            <w:vAlign w:val="bottom"/>
            <w:hideMark/>
          </w:tcPr>
          <w:p w14:paraId="6D339250"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5 410 070</w:t>
            </w:r>
          </w:p>
        </w:tc>
        <w:tc>
          <w:tcPr>
            <w:tcW w:w="1128" w:type="dxa"/>
            <w:tcBorders>
              <w:top w:val="nil"/>
              <w:left w:val="nil"/>
              <w:right w:val="nil"/>
            </w:tcBorders>
            <w:shd w:val="clear" w:color="auto" w:fill="auto"/>
            <w:noWrap/>
            <w:vAlign w:val="bottom"/>
            <w:hideMark/>
          </w:tcPr>
          <w:p w14:paraId="6E80F042"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-46 538</w:t>
            </w:r>
          </w:p>
        </w:tc>
        <w:tc>
          <w:tcPr>
            <w:tcW w:w="1296" w:type="dxa"/>
            <w:tcBorders>
              <w:top w:val="nil"/>
              <w:left w:val="nil"/>
              <w:right w:val="nil"/>
            </w:tcBorders>
            <w:shd w:val="clear" w:color="auto" w:fill="auto"/>
            <w:noWrap/>
            <w:vAlign w:val="bottom"/>
            <w:hideMark/>
          </w:tcPr>
          <w:p w14:paraId="638E1513"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24 774</w:t>
            </w:r>
          </w:p>
        </w:tc>
        <w:tc>
          <w:tcPr>
            <w:tcW w:w="1352" w:type="dxa"/>
            <w:tcBorders>
              <w:top w:val="nil"/>
              <w:left w:val="nil"/>
              <w:right w:val="nil"/>
            </w:tcBorders>
            <w:shd w:val="clear" w:color="auto" w:fill="auto"/>
            <w:noWrap/>
            <w:vAlign w:val="bottom"/>
            <w:hideMark/>
          </w:tcPr>
          <w:p w14:paraId="5CCB78E8"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-21 763</w:t>
            </w:r>
          </w:p>
        </w:tc>
        <w:tc>
          <w:tcPr>
            <w:tcW w:w="1329" w:type="dxa"/>
            <w:tcBorders>
              <w:top w:val="nil"/>
              <w:left w:val="nil"/>
              <w:right w:val="nil"/>
            </w:tcBorders>
            <w:shd w:val="clear" w:color="auto" w:fill="auto"/>
            <w:noWrap/>
            <w:vAlign w:val="bottom"/>
            <w:hideMark/>
          </w:tcPr>
          <w:p w14:paraId="04EA318E"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-0,40%</w:t>
            </w:r>
          </w:p>
        </w:tc>
      </w:tr>
      <w:tr w:rsidR="007D0BC7" w:rsidRPr="00613B2C" w14:paraId="6AD550AE" w14:textId="77777777" w:rsidTr="00772349">
        <w:trPr>
          <w:trHeight w:val="300"/>
          <w:jc w:val="center"/>
        </w:trPr>
        <w:tc>
          <w:tcPr>
            <w:tcW w:w="1369" w:type="dxa"/>
            <w:tcBorders>
              <w:top w:val="nil"/>
              <w:left w:val="nil"/>
              <w:bottom w:val="single" w:sz="4" w:space="0" w:color="auto"/>
              <w:right w:val="nil"/>
            </w:tcBorders>
            <w:shd w:val="clear" w:color="auto" w:fill="auto"/>
            <w:noWrap/>
            <w:vAlign w:val="bottom"/>
            <w:hideMark/>
          </w:tcPr>
          <w:p w14:paraId="5107B2E2" w14:textId="77777777" w:rsidR="007D0BC7" w:rsidRPr="00613B2C" w:rsidRDefault="007D0BC7" w:rsidP="00850B12">
            <w:pPr>
              <w:spacing w:after="0" w:line="240" w:lineRule="auto"/>
              <w:jc w:val="both"/>
              <w:rPr>
                <w:rFonts w:asciiTheme="majorHAnsi" w:hAnsiTheme="majorHAnsi"/>
              </w:rPr>
            </w:pPr>
            <w:r w:rsidRPr="00613B2C">
              <w:rPr>
                <w:rFonts w:asciiTheme="majorHAnsi" w:hAnsiTheme="majorHAnsi"/>
              </w:rPr>
              <w:t>30/09/2018</w:t>
            </w:r>
          </w:p>
        </w:tc>
        <w:tc>
          <w:tcPr>
            <w:tcW w:w="1594" w:type="dxa"/>
            <w:tcBorders>
              <w:top w:val="nil"/>
              <w:left w:val="nil"/>
              <w:bottom w:val="single" w:sz="4" w:space="0" w:color="auto"/>
              <w:right w:val="nil"/>
            </w:tcBorders>
            <w:shd w:val="clear" w:color="auto" w:fill="auto"/>
            <w:noWrap/>
            <w:vAlign w:val="bottom"/>
            <w:hideMark/>
          </w:tcPr>
          <w:p w14:paraId="2F6665D7"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143 017,5</w:t>
            </w:r>
          </w:p>
        </w:tc>
        <w:tc>
          <w:tcPr>
            <w:tcW w:w="1146" w:type="dxa"/>
            <w:tcBorders>
              <w:top w:val="nil"/>
              <w:left w:val="nil"/>
              <w:bottom w:val="single" w:sz="4" w:space="0" w:color="auto"/>
              <w:right w:val="nil"/>
            </w:tcBorders>
            <w:shd w:val="clear" w:color="auto" w:fill="auto"/>
            <w:noWrap/>
            <w:vAlign w:val="bottom"/>
            <w:hideMark/>
          </w:tcPr>
          <w:p w14:paraId="065DA580"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5 398 555</w:t>
            </w:r>
          </w:p>
        </w:tc>
        <w:tc>
          <w:tcPr>
            <w:tcW w:w="1128" w:type="dxa"/>
            <w:tcBorders>
              <w:top w:val="nil"/>
              <w:left w:val="nil"/>
              <w:bottom w:val="single" w:sz="4" w:space="0" w:color="auto"/>
              <w:right w:val="nil"/>
            </w:tcBorders>
            <w:shd w:val="clear" w:color="auto" w:fill="auto"/>
            <w:noWrap/>
            <w:vAlign w:val="bottom"/>
            <w:hideMark/>
          </w:tcPr>
          <w:p w14:paraId="51A2E269"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-60 828</w:t>
            </w:r>
          </w:p>
        </w:tc>
        <w:tc>
          <w:tcPr>
            <w:tcW w:w="1296" w:type="dxa"/>
            <w:tcBorders>
              <w:top w:val="nil"/>
              <w:left w:val="nil"/>
              <w:bottom w:val="single" w:sz="4" w:space="0" w:color="auto"/>
              <w:right w:val="nil"/>
            </w:tcBorders>
            <w:shd w:val="clear" w:color="auto" w:fill="auto"/>
            <w:noWrap/>
            <w:vAlign w:val="bottom"/>
            <w:hideMark/>
          </w:tcPr>
          <w:p w14:paraId="70D4B7D9"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25 759</w:t>
            </w:r>
          </w:p>
        </w:tc>
        <w:tc>
          <w:tcPr>
            <w:tcW w:w="1352" w:type="dxa"/>
            <w:tcBorders>
              <w:top w:val="nil"/>
              <w:left w:val="nil"/>
              <w:bottom w:val="single" w:sz="4" w:space="0" w:color="auto"/>
              <w:right w:val="nil"/>
            </w:tcBorders>
            <w:shd w:val="clear" w:color="auto" w:fill="auto"/>
            <w:noWrap/>
            <w:vAlign w:val="bottom"/>
            <w:hideMark/>
          </w:tcPr>
          <w:p w14:paraId="2B9DFAA4"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-35 068</w:t>
            </w:r>
          </w:p>
        </w:tc>
        <w:tc>
          <w:tcPr>
            <w:tcW w:w="1329" w:type="dxa"/>
            <w:tcBorders>
              <w:top w:val="nil"/>
              <w:left w:val="nil"/>
              <w:bottom w:val="single" w:sz="4" w:space="0" w:color="auto"/>
              <w:right w:val="nil"/>
            </w:tcBorders>
            <w:shd w:val="clear" w:color="auto" w:fill="auto"/>
            <w:noWrap/>
            <w:vAlign w:val="bottom"/>
            <w:hideMark/>
          </w:tcPr>
          <w:p w14:paraId="66A53453" w14:textId="77777777" w:rsidR="007D0BC7" w:rsidRPr="00613B2C" w:rsidRDefault="007D0BC7" w:rsidP="00850B12">
            <w:pPr>
              <w:spacing w:after="0" w:line="240" w:lineRule="auto"/>
              <w:jc w:val="right"/>
              <w:rPr>
                <w:rFonts w:asciiTheme="majorHAnsi" w:hAnsiTheme="majorHAnsi"/>
              </w:rPr>
            </w:pPr>
            <w:r w:rsidRPr="00613B2C">
              <w:rPr>
                <w:rFonts w:asciiTheme="majorHAnsi" w:hAnsiTheme="majorHAnsi"/>
              </w:rPr>
              <w:t>-0,65%</w:t>
            </w:r>
          </w:p>
        </w:tc>
      </w:tr>
    </w:tbl>
    <w:p w14:paraId="14851F12" w14:textId="77777777" w:rsidR="007D0BC7" w:rsidRPr="00613B2C" w:rsidRDefault="007D0BC7" w:rsidP="007D0BC7">
      <w:pPr>
        <w:spacing w:after="0" w:line="240" w:lineRule="auto"/>
        <w:jc w:val="both"/>
        <w:rPr>
          <w:rFonts w:asciiTheme="majorHAnsi" w:hAnsiTheme="majorHAnsi"/>
        </w:rPr>
      </w:pPr>
    </w:p>
    <w:p w14:paraId="5205B2C1" w14:textId="77777777" w:rsidR="007D0BC7" w:rsidRPr="00613B2C" w:rsidRDefault="007D0BC7" w:rsidP="007D0BC7">
      <w:pPr>
        <w:spacing w:after="0" w:line="240" w:lineRule="auto"/>
        <w:jc w:val="both"/>
        <w:rPr>
          <w:rFonts w:asciiTheme="majorHAnsi" w:hAnsiTheme="majorHAnsi"/>
        </w:rPr>
      </w:pPr>
    </w:p>
    <w:p w14:paraId="1D5E578C" w14:textId="77777777" w:rsidR="007D0BC7" w:rsidRPr="00613B2C" w:rsidRDefault="007D0BC7" w:rsidP="007D0BC7">
      <w:pPr>
        <w:spacing w:after="0" w:line="240" w:lineRule="auto"/>
        <w:jc w:val="both"/>
        <w:rPr>
          <w:rFonts w:asciiTheme="majorHAnsi" w:hAnsiTheme="majorHAnsi"/>
        </w:rPr>
      </w:pPr>
    </w:p>
    <w:p w14:paraId="47515DB7" w14:textId="77777777" w:rsidR="007D0BC7" w:rsidRPr="00613B2C" w:rsidRDefault="007D0BC7" w:rsidP="00772349">
      <w:pPr>
        <w:pStyle w:val="Ttulo2"/>
      </w:pPr>
      <w:bookmarkStart w:id="7" w:name="_Hlk530991380"/>
      <w:r w:rsidRPr="00613B2C">
        <w:t>Rentabilidades real fondos ROP</w:t>
      </w:r>
    </w:p>
    <w:p w14:paraId="178516BD" w14:textId="77777777" w:rsidR="007D0BC7" w:rsidRPr="00613B2C" w:rsidRDefault="007D0BC7" w:rsidP="007D0BC7">
      <w:pPr>
        <w:spacing w:after="0" w:line="240" w:lineRule="auto"/>
        <w:jc w:val="both"/>
        <w:rPr>
          <w:rFonts w:asciiTheme="majorHAnsi" w:hAnsiTheme="majorHAnsi"/>
        </w:rPr>
      </w:pPr>
    </w:p>
    <w:p w14:paraId="049C16DB" w14:textId="32CE3775" w:rsidR="00191549" w:rsidRDefault="007D0BC7" w:rsidP="007D0BC7">
      <w:pPr>
        <w:spacing w:after="0" w:line="240" w:lineRule="auto"/>
        <w:jc w:val="both"/>
        <w:rPr>
          <w:rFonts w:asciiTheme="majorHAnsi" w:hAnsiTheme="majorHAnsi"/>
        </w:rPr>
      </w:pPr>
      <w:r w:rsidRPr="00613B2C">
        <w:rPr>
          <w:rFonts w:asciiTheme="majorHAnsi" w:hAnsiTheme="majorHAnsi"/>
        </w:rPr>
        <w:t>Las rentabilidades del ROP se han visto afectadas por el ajuste a la baja de los precios de los instrumentos locales y las ganancias por variaciones en el tipo de cambio</w:t>
      </w:r>
      <w:r w:rsidR="00191549">
        <w:rPr>
          <w:rFonts w:asciiTheme="majorHAnsi" w:hAnsiTheme="majorHAnsi"/>
        </w:rPr>
        <w:t>.</w:t>
      </w:r>
    </w:p>
    <w:p w14:paraId="67C621A8" w14:textId="4367EA80" w:rsidR="007D0BC7" w:rsidRPr="00613B2C" w:rsidRDefault="007D0BC7" w:rsidP="007D0BC7">
      <w:pPr>
        <w:spacing w:after="0" w:line="240" w:lineRule="auto"/>
        <w:jc w:val="both"/>
        <w:rPr>
          <w:rFonts w:asciiTheme="majorHAnsi" w:hAnsiTheme="majorHAnsi"/>
        </w:rPr>
      </w:pPr>
      <w:r w:rsidRPr="00613B2C">
        <w:rPr>
          <w:rFonts w:asciiTheme="majorHAnsi" w:hAnsiTheme="majorHAnsi"/>
        </w:rPr>
        <w:t xml:space="preserve">La afectación del valor de las inversiones afecta el valor de los activos, por ende, el valor cuota y </w:t>
      </w:r>
      <w:r w:rsidR="0026304B">
        <w:rPr>
          <w:rFonts w:asciiTheme="majorHAnsi" w:hAnsiTheme="majorHAnsi"/>
        </w:rPr>
        <w:t>con ello la rentabilidad</w:t>
      </w:r>
      <w:r w:rsidRPr="00613B2C">
        <w:rPr>
          <w:rFonts w:asciiTheme="majorHAnsi" w:hAnsiTheme="majorHAnsi"/>
        </w:rPr>
        <w:t>. Durante los últimos meses se han visto favorecidos aquellos fondos con el mayor porcentaje invertido en valores extranjeros, lo que han aumentado de valor y en instrumentos denominados en dólares los cuales se han revalorizado por efecto cambiario.</w:t>
      </w:r>
    </w:p>
    <w:p w14:paraId="7E853DDE" w14:textId="77777777" w:rsidR="00812D4C" w:rsidRPr="00812D4C" w:rsidRDefault="00812D4C" w:rsidP="00812D4C">
      <w:pPr>
        <w:spacing w:after="0" w:line="240" w:lineRule="auto"/>
        <w:jc w:val="center"/>
        <w:rPr>
          <w:rFonts w:asciiTheme="majorHAnsi" w:hAnsiTheme="majorHAnsi"/>
        </w:rPr>
      </w:pPr>
    </w:p>
    <w:p w14:paraId="32FE09AC" w14:textId="41D71183" w:rsidR="00BD22B3" w:rsidRPr="00613B2C" w:rsidRDefault="00BD22B3" w:rsidP="007D0BC7">
      <w:pPr>
        <w:spacing w:after="0" w:line="240" w:lineRule="auto"/>
        <w:jc w:val="center"/>
        <w:rPr>
          <w:rFonts w:asciiTheme="majorHAnsi" w:hAnsiTheme="majorHAnsi"/>
        </w:rPr>
      </w:pPr>
      <w:r>
        <w:rPr>
          <w:rFonts w:asciiTheme="majorHAnsi" w:hAnsiTheme="majorHAnsi"/>
        </w:rPr>
        <w:t>Gráfico 2</w:t>
      </w:r>
    </w:p>
    <w:p w14:paraId="3706116F" w14:textId="534192E1" w:rsidR="007D0BC7" w:rsidRPr="00613B2C" w:rsidRDefault="007D0BC7" w:rsidP="007D0BC7">
      <w:pPr>
        <w:spacing w:after="0" w:line="240" w:lineRule="auto"/>
        <w:jc w:val="center"/>
        <w:rPr>
          <w:rFonts w:asciiTheme="majorHAnsi" w:hAnsiTheme="majorHAnsi"/>
        </w:rPr>
      </w:pPr>
      <w:r w:rsidRPr="00613B2C">
        <w:rPr>
          <w:rFonts w:asciiTheme="majorHAnsi" w:hAnsiTheme="majorHAnsi"/>
        </w:rPr>
        <w:t>ROP: Rentabilidad anual Real</w:t>
      </w:r>
    </w:p>
    <w:p w14:paraId="7ED79C46" w14:textId="77777777" w:rsidR="007D0BC7" w:rsidRPr="00613B2C" w:rsidRDefault="007D0BC7" w:rsidP="007D0BC7">
      <w:pPr>
        <w:spacing w:after="0" w:line="240" w:lineRule="auto"/>
        <w:rPr>
          <w:rFonts w:asciiTheme="majorHAnsi" w:hAnsiTheme="majorHAnsi"/>
        </w:rPr>
      </w:pPr>
    </w:p>
    <w:p w14:paraId="3093182D" w14:textId="77777777" w:rsidR="007D0BC7" w:rsidRPr="00613B2C" w:rsidRDefault="007D0BC7" w:rsidP="007D0BC7">
      <w:pPr>
        <w:spacing w:after="0" w:line="240" w:lineRule="auto"/>
        <w:jc w:val="center"/>
        <w:rPr>
          <w:rFonts w:asciiTheme="majorHAnsi" w:hAnsiTheme="majorHAnsi"/>
        </w:rPr>
      </w:pPr>
      <w:r w:rsidRPr="00613B2C">
        <w:rPr>
          <w:rFonts w:asciiTheme="majorHAnsi" w:hAnsiTheme="majorHAnsi"/>
          <w:noProof/>
        </w:rPr>
        <w:drawing>
          <wp:inline distT="0" distB="0" distL="0" distR="0" wp14:anchorId="2D408D80" wp14:editId="20813667">
            <wp:extent cx="4890052" cy="2345635"/>
            <wp:effectExtent l="0" t="0" r="6350" b="17145"/>
            <wp:docPr id="1" name="Gráfico 1">
              <a:extLst xmlns:a="http://schemas.openxmlformats.org/drawingml/2006/main">
                <a:ext uri="{FF2B5EF4-FFF2-40B4-BE49-F238E27FC236}">
                  <a16:creationId xmlns:a16="http://schemas.microsoft.com/office/drawing/2014/main" id="{6AABAB53-F594-47FB-9F3B-EC1FB7B995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6133BCF" w14:textId="77777777" w:rsidR="007D0BC7" w:rsidRPr="00613B2C" w:rsidRDefault="007D0BC7" w:rsidP="007D0BC7">
      <w:pPr>
        <w:spacing w:after="0" w:line="240" w:lineRule="auto"/>
        <w:jc w:val="center"/>
        <w:rPr>
          <w:rFonts w:asciiTheme="majorHAnsi" w:hAnsiTheme="majorHAnsi"/>
        </w:rPr>
      </w:pPr>
    </w:p>
    <w:p w14:paraId="75DC0D66" w14:textId="2261F415" w:rsidR="00191549" w:rsidRDefault="007D0BC7" w:rsidP="007D0BC7">
      <w:pPr>
        <w:spacing w:after="0" w:line="240" w:lineRule="auto"/>
        <w:jc w:val="both"/>
        <w:rPr>
          <w:rFonts w:asciiTheme="majorHAnsi" w:hAnsiTheme="majorHAnsi"/>
        </w:rPr>
      </w:pPr>
      <w:bookmarkStart w:id="8" w:name="_Hlk530736843"/>
      <w:r w:rsidRPr="009B5584">
        <w:rPr>
          <w:rFonts w:asciiTheme="majorHAnsi" w:hAnsiTheme="majorHAnsi"/>
        </w:rPr>
        <w:lastRenderedPageBreak/>
        <w:t>En general</w:t>
      </w:r>
      <w:r w:rsidR="0026304B" w:rsidRPr="009B5584">
        <w:rPr>
          <w:rFonts w:asciiTheme="majorHAnsi" w:hAnsiTheme="majorHAnsi"/>
        </w:rPr>
        <w:t xml:space="preserve">, </w:t>
      </w:r>
      <w:r w:rsidRPr="009B5584">
        <w:rPr>
          <w:rFonts w:asciiTheme="majorHAnsi" w:hAnsiTheme="majorHAnsi"/>
        </w:rPr>
        <w:t>l</w:t>
      </w:r>
      <w:r w:rsidR="00E06D21">
        <w:rPr>
          <w:rFonts w:asciiTheme="majorHAnsi" w:hAnsiTheme="majorHAnsi"/>
        </w:rPr>
        <w:t xml:space="preserve">as carteras de los </w:t>
      </w:r>
      <w:r w:rsidRPr="009B5584">
        <w:rPr>
          <w:rFonts w:asciiTheme="majorHAnsi" w:hAnsiTheme="majorHAnsi"/>
        </w:rPr>
        <w:t xml:space="preserve">fondos administrados han perdido valor durante </w:t>
      </w:r>
      <w:r w:rsidR="00852071">
        <w:rPr>
          <w:rFonts w:asciiTheme="majorHAnsi" w:hAnsiTheme="majorHAnsi"/>
        </w:rPr>
        <w:t xml:space="preserve">los últimos dos años, siendo afectadas sus </w:t>
      </w:r>
      <w:r w:rsidRPr="009B5584">
        <w:rPr>
          <w:rFonts w:asciiTheme="majorHAnsi" w:hAnsiTheme="majorHAnsi"/>
        </w:rPr>
        <w:t>inversiones en valor</w:t>
      </w:r>
      <w:r w:rsidR="0096238C">
        <w:rPr>
          <w:rFonts w:asciiTheme="majorHAnsi" w:hAnsiTheme="majorHAnsi"/>
        </w:rPr>
        <w:t>es</w:t>
      </w:r>
      <w:r w:rsidRPr="009B5584">
        <w:rPr>
          <w:rFonts w:asciiTheme="majorHAnsi" w:hAnsiTheme="majorHAnsi"/>
        </w:rPr>
        <w:t xml:space="preserve"> locales (denominados en colones)</w:t>
      </w:r>
      <w:r w:rsidR="00222DDD">
        <w:rPr>
          <w:rFonts w:asciiTheme="majorHAnsi" w:hAnsiTheme="majorHAnsi"/>
        </w:rPr>
        <w:t>,</w:t>
      </w:r>
      <w:r w:rsidRPr="009B5584">
        <w:rPr>
          <w:rFonts w:asciiTheme="majorHAnsi" w:hAnsiTheme="majorHAnsi"/>
        </w:rPr>
        <w:t xml:space="preserve"> </w:t>
      </w:r>
      <w:r w:rsidR="00191549">
        <w:rPr>
          <w:rFonts w:asciiTheme="majorHAnsi" w:hAnsiTheme="majorHAnsi"/>
        </w:rPr>
        <w:t>esto</w:t>
      </w:r>
      <w:r w:rsidR="00852071">
        <w:rPr>
          <w:rFonts w:asciiTheme="majorHAnsi" w:hAnsiTheme="majorHAnsi"/>
        </w:rPr>
        <w:t xml:space="preserve"> principalmente en el 2018, pasando de presentar plusvalías en sus carteras a minusvalías desde inicios del </w:t>
      </w:r>
      <w:r w:rsidR="00191549">
        <w:rPr>
          <w:rFonts w:asciiTheme="majorHAnsi" w:hAnsiTheme="majorHAnsi"/>
        </w:rPr>
        <w:t>2018.</w:t>
      </w:r>
    </w:p>
    <w:p w14:paraId="08F6F84A" w14:textId="77777777" w:rsidR="00191549" w:rsidRDefault="00191549" w:rsidP="007D0BC7">
      <w:pPr>
        <w:spacing w:after="0" w:line="240" w:lineRule="auto"/>
        <w:jc w:val="both"/>
        <w:rPr>
          <w:rFonts w:asciiTheme="majorHAnsi" w:hAnsiTheme="majorHAnsi"/>
        </w:rPr>
      </w:pPr>
    </w:p>
    <w:p w14:paraId="4121D9DE" w14:textId="2ADAEF85" w:rsidR="009A3EE3" w:rsidRDefault="002D58F1" w:rsidP="007D0BC7">
      <w:pPr>
        <w:spacing w:after="0" w:line="240" w:lineRule="auto"/>
        <w:jc w:val="both"/>
        <w:rPr>
          <w:rFonts w:asciiTheme="majorHAnsi" w:hAnsiTheme="majorHAnsi"/>
        </w:rPr>
      </w:pPr>
      <w:r>
        <w:rPr>
          <w:rFonts w:asciiTheme="majorHAnsi" w:hAnsiTheme="majorHAnsi"/>
        </w:rPr>
        <w:t xml:space="preserve">El impacto en la rentabilidad </w:t>
      </w:r>
      <w:r w:rsidR="00191549">
        <w:rPr>
          <w:rFonts w:asciiTheme="majorHAnsi" w:hAnsiTheme="majorHAnsi"/>
        </w:rPr>
        <w:t>ha variado</w:t>
      </w:r>
      <w:r>
        <w:rPr>
          <w:rFonts w:asciiTheme="majorHAnsi" w:hAnsiTheme="majorHAnsi"/>
        </w:rPr>
        <w:t xml:space="preserve"> a lo largo de los meses. Diferentes factores afectan también la rentabilidad como lo son el tipo de cambio</w:t>
      </w:r>
      <w:r w:rsidR="00191549">
        <w:rPr>
          <w:rFonts w:asciiTheme="majorHAnsi" w:hAnsiTheme="majorHAnsi"/>
        </w:rPr>
        <w:t xml:space="preserve"> (favoreciendo las carteras con mayor concentración en dólares</w:t>
      </w:r>
      <w:r w:rsidR="00655AB7">
        <w:rPr>
          <w:rFonts w:asciiTheme="majorHAnsi" w:hAnsiTheme="majorHAnsi"/>
        </w:rPr>
        <w:t>)</w:t>
      </w:r>
      <w:r w:rsidR="00191549">
        <w:rPr>
          <w:rFonts w:asciiTheme="majorHAnsi" w:hAnsiTheme="majorHAnsi"/>
        </w:rPr>
        <w:t xml:space="preserve">, </w:t>
      </w:r>
      <w:r>
        <w:rPr>
          <w:rFonts w:asciiTheme="majorHAnsi" w:hAnsiTheme="majorHAnsi"/>
        </w:rPr>
        <w:t>el crecimiento de la cartera por efecto de la acumulación de intereses</w:t>
      </w:r>
      <w:r w:rsidR="006247F0">
        <w:rPr>
          <w:rFonts w:asciiTheme="majorHAnsi" w:hAnsiTheme="majorHAnsi"/>
        </w:rPr>
        <w:t>;</w:t>
      </w:r>
      <w:r>
        <w:rPr>
          <w:rFonts w:asciiTheme="majorHAnsi" w:hAnsiTheme="majorHAnsi"/>
        </w:rPr>
        <w:t xml:space="preserve"> primas y descuentos</w:t>
      </w:r>
      <w:r w:rsidR="009A3EE3">
        <w:rPr>
          <w:rFonts w:asciiTheme="majorHAnsi" w:hAnsiTheme="majorHAnsi"/>
        </w:rPr>
        <w:t xml:space="preserve"> y la referencia de la base de cálculo (que se mide por el cambio entre dos valores cuota)</w:t>
      </w:r>
      <w:r w:rsidR="006247F0">
        <w:rPr>
          <w:rFonts w:asciiTheme="majorHAnsi" w:hAnsiTheme="majorHAnsi"/>
        </w:rPr>
        <w:t>.</w:t>
      </w:r>
    </w:p>
    <w:p w14:paraId="6DD9F82E" w14:textId="77777777" w:rsidR="00E80FC9" w:rsidRDefault="00E80FC9" w:rsidP="007D0BC7">
      <w:pPr>
        <w:spacing w:after="0" w:line="240" w:lineRule="auto"/>
        <w:jc w:val="both"/>
        <w:rPr>
          <w:rFonts w:asciiTheme="majorHAnsi" w:hAnsiTheme="majorHAnsi"/>
        </w:rPr>
      </w:pPr>
    </w:p>
    <w:p w14:paraId="6A065F18" w14:textId="692FEB4D" w:rsidR="0091460F" w:rsidRDefault="002D58F1" w:rsidP="007D0BC7">
      <w:pPr>
        <w:spacing w:after="0" w:line="240" w:lineRule="auto"/>
        <w:jc w:val="both"/>
        <w:rPr>
          <w:rFonts w:asciiTheme="majorHAnsi" w:hAnsiTheme="majorHAnsi"/>
        </w:rPr>
      </w:pPr>
      <w:r>
        <w:rPr>
          <w:rFonts w:asciiTheme="majorHAnsi" w:hAnsiTheme="majorHAnsi"/>
        </w:rPr>
        <w:t>Adicionalmente, o</w:t>
      </w:r>
      <w:r w:rsidR="0091460F">
        <w:rPr>
          <w:rFonts w:asciiTheme="majorHAnsi" w:hAnsiTheme="majorHAnsi"/>
        </w:rPr>
        <w:t xml:space="preserve">tro elemento </w:t>
      </w:r>
      <w:r w:rsidR="00852071">
        <w:rPr>
          <w:rFonts w:asciiTheme="majorHAnsi" w:hAnsiTheme="majorHAnsi"/>
        </w:rPr>
        <w:t>a</w:t>
      </w:r>
      <w:r w:rsidR="0091460F">
        <w:rPr>
          <w:rFonts w:asciiTheme="majorHAnsi" w:hAnsiTheme="majorHAnsi"/>
        </w:rPr>
        <w:t xml:space="preserve"> considerar a nivel de rentabilidades reales </w:t>
      </w:r>
      <w:r w:rsidR="00190FD5">
        <w:rPr>
          <w:rFonts w:asciiTheme="majorHAnsi" w:hAnsiTheme="majorHAnsi"/>
        </w:rPr>
        <w:t xml:space="preserve">es </w:t>
      </w:r>
      <w:r w:rsidR="0091460F">
        <w:rPr>
          <w:rFonts w:asciiTheme="majorHAnsi" w:hAnsiTheme="majorHAnsi"/>
        </w:rPr>
        <w:t>el cambio en el nivel de precio</w:t>
      </w:r>
      <w:r w:rsidR="00191549">
        <w:rPr>
          <w:rFonts w:asciiTheme="majorHAnsi" w:hAnsiTheme="majorHAnsi"/>
        </w:rPr>
        <w:t>s (IPC)</w:t>
      </w:r>
      <w:r w:rsidR="0091460F">
        <w:rPr>
          <w:rFonts w:asciiTheme="majorHAnsi" w:hAnsiTheme="majorHAnsi"/>
        </w:rPr>
        <w:t>, que hacen disminuir este tipo de tasas con respecto a las similares nominales.</w:t>
      </w:r>
      <w:r w:rsidR="00191549">
        <w:rPr>
          <w:rFonts w:asciiTheme="majorHAnsi" w:hAnsiTheme="majorHAnsi"/>
        </w:rPr>
        <w:t xml:space="preserve"> El aumento en la inflación afecta negativamente las rentabilidades reales</w:t>
      </w:r>
      <w:r w:rsidR="00111615">
        <w:rPr>
          <w:rFonts w:asciiTheme="majorHAnsi" w:hAnsiTheme="majorHAnsi"/>
        </w:rPr>
        <w:t>.</w:t>
      </w:r>
      <w:r w:rsidR="0091460F">
        <w:rPr>
          <w:rFonts w:asciiTheme="majorHAnsi" w:hAnsiTheme="majorHAnsi"/>
        </w:rPr>
        <w:t xml:space="preserve"> Para setiembre 2017 el cambio anual de IPC fue de 1.64%, alcanzando 2,61% en marzo 2018 y </w:t>
      </w:r>
      <w:r w:rsidR="00852071">
        <w:rPr>
          <w:rFonts w:asciiTheme="majorHAnsi" w:hAnsiTheme="majorHAnsi"/>
        </w:rPr>
        <w:t>finaliz</w:t>
      </w:r>
      <w:r w:rsidR="00D43379">
        <w:rPr>
          <w:rFonts w:asciiTheme="majorHAnsi" w:hAnsiTheme="majorHAnsi"/>
        </w:rPr>
        <w:t>ó</w:t>
      </w:r>
      <w:r w:rsidR="00852071">
        <w:rPr>
          <w:rFonts w:asciiTheme="majorHAnsi" w:hAnsiTheme="majorHAnsi"/>
        </w:rPr>
        <w:t xml:space="preserve"> el periodo observado en setiembre en 2,21</w:t>
      </w:r>
      <w:r w:rsidR="00D43379">
        <w:rPr>
          <w:rFonts w:asciiTheme="majorHAnsi" w:hAnsiTheme="majorHAnsi"/>
        </w:rPr>
        <w:t>%</w:t>
      </w:r>
      <w:r w:rsidR="00852071">
        <w:rPr>
          <w:rFonts w:asciiTheme="majorHAnsi" w:hAnsiTheme="majorHAnsi"/>
        </w:rPr>
        <w:t xml:space="preserve">. </w:t>
      </w:r>
    </w:p>
    <w:p w14:paraId="3CD9C041" w14:textId="77777777" w:rsidR="00191549" w:rsidRDefault="00191549" w:rsidP="007D0BC7">
      <w:pPr>
        <w:spacing w:after="0" w:line="240" w:lineRule="auto"/>
        <w:jc w:val="both"/>
        <w:rPr>
          <w:rFonts w:asciiTheme="majorHAnsi" w:hAnsiTheme="majorHAnsi"/>
        </w:rPr>
      </w:pPr>
    </w:p>
    <w:p w14:paraId="7AEA3648" w14:textId="3198DC1F" w:rsidR="007D0BC7" w:rsidRPr="00613B2C" w:rsidRDefault="00191549" w:rsidP="007D0BC7">
      <w:pPr>
        <w:spacing w:after="0" w:line="240" w:lineRule="auto"/>
        <w:jc w:val="both"/>
        <w:rPr>
          <w:rFonts w:asciiTheme="majorHAnsi" w:hAnsiTheme="majorHAnsi"/>
        </w:rPr>
      </w:pPr>
      <w:r>
        <w:rPr>
          <w:rFonts w:asciiTheme="majorHAnsi" w:hAnsiTheme="majorHAnsi"/>
        </w:rPr>
        <w:t>Por otro lado</w:t>
      </w:r>
      <w:r w:rsidR="007D0BC7" w:rsidRPr="009B5584">
        <w:rPr>
          <w:rFonts w:asciiTheme="majorHAnsi" w:hAnsiTheme="majorHAnsi"/>
        </w:rPr>
        <w:t>, para las carteras con porcentajes significativos invertidos en valores extranjeros la afectación ha sido menor debido a que estas inversiones se han comportado positivamente, es decir, aument</w:t>
      </w:r>
      <w:r w:rsidR="006972DC">
        <w:rPr>
          <w:rFonts w:asciiTheme="majorHAnsi" w:hAnsiTheme="majorHAnsi"/>
        </w:rPr>
        <w:t>ando</w:t>
      </w:r>
      <w:r w:rsidR="007D0BC7" w:rsidRPr="009B5584">
        <w:rPr>
          <w:rFonts w:asciiTheme="majorHAnsi" w:hAnsiTheme="majorHAnsi"/>
        </w:rPr>
        <w:t xml:space="preserve"> </w:t>
      </w:r>
      <w:r w:rsidR="006972DC">
        <w:rPr>
          <w:rFonts w:asciiTheme="majorHAnsi" w:hAnsiTheme="majorHAnsi"/>
        </w:rPr>
        <w:t>d</w:t>
      </w:r>
      <w:r w:rsidR="007D0BC7" w:rsidRPr="009B5584">
        <w:rPr>
          <w:rFonts w:asciiTheme="majorHAnsi" w:hAnsiTheme="majorHAnsi"/>
        </w:rPr>
        <w:t xml:space="preserve">e valor </w:t>
      </w:r>
      <w:r w:rsidR="006972DC">
        <w:rPr>
          <w:rFonts w:asciiTheme="majorHAnsi" w:hAnsiTheme="majorHAnsi"/>
        </w:rPr>
        <w:t>en</w:t>
      </w:r>
      <w:r w:rsidR="006972DC" w:rsidRPr="009B5584">
        <w:rPr>
          <w:rFonts w:asciiTheme="majorHAnsi" w:hAnsiTheme="majorHAnsi"/>
        </w:rPr>
        <w:t xml:space="preserve"> </w:t>
      </w:r>
      <w:r w:rsidR="007D0BC7" w:rsidRPr="009B5584">
        <w:rPr>
          <w:rFonts w:asciiTheme="majorHAnsi" w:hAnsiTheme="majorHAnsi"/>
        </w:rPr>
        <w:t>las carteras. En términos relativos las minusvalías representan cada vez más un mayor porcentaje de las carteras el cual representa a</w:t>
      </w:r>
      <w:r w:rsidR="009B5584" w:rsidRPr="009B5584">
        <w:rPr>
          <w:rFonts w:asciiTheme="majorHAnsi" w:hAnsiTheme="majorHAnsi"/>
        </w:rPr>
        <w:t xml:space="preserve"> setiembre el </w:t>
      </w:r>
      <w:r w:rsidR="007D0BC7" w:rsidRPr="009B5584">
        <w:rPr>
          <w:rFonts w:asciiTheme="majorHAnsi" w:hAnsiTheme="majorHAnsi"/>
        </w:rPr>
        <w:t xml:space="preserve">0,65% </w:t>
      </w:r>
      <w:r w:rsidR="009B5584" w:rsidRPr="009B5584">
        <w:rPr>
          <w:rFonts w:asciiTheme="majorHAnsi" w:hAnsiTheme="majorHAnsi"/>
        </w:rPr>
        <w:t>de las inversiones. En enero las plusvalías no realizadas por valoración era</w:t>
      </w:r>
      <w:r w:rsidR="00E80FC9">
        <w:rPr>
          <w:rFonts w:asciiTheme="majorHAnsi" w:hAnsiTheme="majorHAnsi"/>
        </w:rPr>
        <w:t>n</w:t>
      </w:r>
      <w:r w:rsidR="00416FB4">
        <w:rPr>
          <w:rFonts w:asciiTheme="majorHAnsi" w:hAnsiTheme="majorHAnsi"/>
        </w:rPr>
        <w:t xml:space="preserve"> de</w:t>
      </w:r>
      <w:r w:rsidR="007D0BC7" w:rsidRPr="009B5584">
        <w:rPr>
          <w:rFonts w:asciiTheme="majorHAnsi" w:hAnsiTheme="majorHAnsi"/>
        </w:rPr>
        <w:t xml:space="preserve"> 0,44</w:t>
      </w:r>
      <w:r w:rsidR="009B5584" w:rsidRPr="009B5584">
        <w:rPr>
          <w:rFonts w:asciiTheme="majorHAnsi" w:hAnsiTheme="majorHAnsi"/>
        </w:rPr>
        <w:t>%,</w:t>
      </w:r>
      <w:r w:rsidR="007D0BC7" w:rsidRPr="009B5584">
        <w:rPr>
          <w:rFonts w:asciiTheme="majorHAnsi" w:hAnsiTheme="majorHAnsi"/>
        </w:rPr>
        <w:t xml:space="preserve"> por lo que la pérdida acumulada a lo largo del año es cercana al 1% de valor promedio de la cartera.</w:t>
      </w:r>
    </w:p>
    <w:bookmarkEnd w:id="7"/>
    <w:bookmarkEnd w:id="8"/>
    <w:p w14:paraId="21AA80D3" w14:textId="77777777" w:rsidR="009B5584" w:rsidRDefault="009B5584" w:rsidP="007D0BC7">
      <w:pPr>
        <w:pStyle w:val="Ttulo"/>
      </w:pPr>
    </w:p>
    <w:p w14:paraId="17F920BE" w14:textId="4C7AE4DB" w:rsidR="007D0BC7" w:rsidRPr="00613B2C" w:rsidRDefault="007D0BC7" w:rsidP="007D0BC7">
      <w:pPr>
        <w:pStyle w:val="Ttulo"/>
      </w:pPr>
      <w:r w:rsidRPr="00613B2C">
        <w:t>Pensiones y demás prestaciones</w:t>
      </w:r>
    </w:p>
    <w:p w14:paraId="4B69D7AA" w14:textId="77777777" w:rsidR="007D0BC7" w:rsidRPr="00613B2C" w:rsidRDefault="007D0BC7" w:rsidP="007D0BC7">
      <w:pPr>
        <w:rPr>
          <w:rFonts w:asciiTheme="majorHAnsi" w:hAnsiTheme="majorHAnsi"/>
        </w:rPr>
      </w:pPr>
    </w:p>
    <w:p w14:paraId="368368E7" w14:textId="54F7BC13" w:rsidR="007D0BC7" w:rsidRPr="00613B2C" w:rsidRDefault="007D0BC7" w:rsidP="007D0BC7">
      <w:pPr>
        <w:jc w:val="both"/>
        <w:rPr>
          <w:rFonts w:asciiTheme="majorHAnsi" w:hAnsiTheme="majorHAnsi"/>
        </w:rPr>
      </w:pPr>
      <w:r w:rsidRPr="00613B2C">
        <w:rPr>
          <w:rFonts w:asciiTheme="majorHAnsi" w:hAnsiTheme="majorHAnsi"/>
        </w:rPr>
        <w:t xml:space="preserve">Este capítulo </w:t>
      </w:r>
      <w:r w:rsidR="009B5584">
        <w:rPr>
          <w:rFonts w:asciiTheme="majorHAnsi" w:hAnsiTheme="majorHAnsi"/>
        </w:rPr>
        <w:t>presenta</w:t>
      </w:r>
      <w:r w:rsidRPr="00613B2C">
        <w:rPr>
          <w:rFonts w:asciiTheme="majorHAnsi" w:hAnsiTheme="majorHAnsi"/>
        </w:rPr>
        <w:t xml:space="preserve"> la situación de los regímenes de pensiones en Costa Rica desde la perspectiva de la desacumulación. Más allá de un análisis de sostenibilidad</w:t>
      </w:r>
      <w:r w:rsidR="00F66D93">
        <w:rPr>
          <w:rFonts w:asciiTheme="majorHAnsi" w:hAnsiTheme="majorHAnsi"/>
        </w:rPr>
        <w:t>,</w:t>
      </w:r>
      <w:r w:rsidRPr="00613B2C">
        <w:rPr>
          <w:rFonts w:asciiTheme="majorHAnsi" w:hAnsiTheme="majorHAnsi"/>
        </w:rPr>
        <w:t xml:space="preserve"> aquí se pretende describir los montos de pensión y las características de los afiliados que las disfrutan en los distintos regímenes existentes. La descripción del fenómeno se hace tomando como base la información histórica disponible en las bases de datos de</w:t>
      </w:r>
      <w:r w:rsidR="0087548A">
        <w:rPr>
          <w:rFonts w:asciiTheme="majorHAnsi" w:hAnsiTheme="majorHAnsi"/>
        </w:rPr>
        <w:t>l</w:t>
      </w:r>
      <w:r w:rsidRPr="00613B2C">
        <w:rPr>
          <w:rFonts w:asciiTheme="majorHAnsi" w:hAnsiTheme="majorHAnsi"/>
        </w:rPr>
        <w:t xml:space="preserve"> supervisor.</w:t>
      </w:r>
    </w:p>
    <w:p w14:paraId="6A5C3F15" w14:textId="77777777" w:rsidR="007D0BC7" w:rsidRPr="00613B2C" w:rsidRDefault="007D0BC7" w:rsidP="007D0BC7">
      <w:pPr>
        <w:jc w:val="both"/>
        <w:rPr>
          <w:rFonts w:asciiTheme="majorHAnsi" w:hAnsiTheme="majorHAnsi"/>
        </w:rPr>
      </w:pPr>
      <w:r w:rsidRPr="00613B2C">
        <w:rPr>
          <w:rFonts w:asciiTheme="majorHAnsi" w:hAnsiTheme="majorHAnsi"/>
        </w:rPr>
        <w:t>El sistema costarricense de pensiones es multipilar lo que hace que su análisis parta de una separación en al menos cuatro tipos diferentes de prestaciones que, en conjunto, consolidan los recursos para hacer frente a la vejez. Además de los cuatro pilares está también el fenómeno de las pensiones por invalidez y por sobrevivencia, las cuales completan las aristas del análisis de este capítulo.</w:t>
      </w:r>
    </w:p>
    <w:p w14:paraId="6FECE84F" w14:textId="77777777" w:rsidR="007D0BC7" w:rsidRPr="00613B2C" w:rsidRDefault="007D0BC7" w:rsidP="007D0BC7">
      <w:pPr>
        <w:jc w:val="both"/>
        <w:rPr>
          <w:rFonts w:asciiTheme="majorHAnsi" w:hAnsiTheme="majorHAnsi"/>
        </w:rPr>
      </w:pPr>
      <w:r w:rsidRPr="00613B2C">
        <w:rPr>
          <w:rFonts w:asciiTheme="majorHAnsi" w:hAnsiTheme="majorHAnsi"/>
          <w:noProof/>
        </w:rPr>
        <w:drawing>
          <wp:anchor distT="0" distB="0" distL="114300" distR="114300" simplePos="0" relativeHeight="251658242" behindDoc="0" locked="0" layoutInCell="1" allowOverlap="1" wp14:anchorId="2D2E16E8" wp14:editId="5C3182DE">
            <wp:simplePos x="0" y="0"/>
            <wp:positionH relativeFrom="margin">
              <wp:posOffset>3269615</wp:posOffset>
            </wp:positionH>
            <wp:positionV relativeFrom="margin">
              <wp:posOffset>4359275</wp:posOffset>
            </wp:positionV>
            <wp:extent cx="2784475" cy="20859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84475" cy="2085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4133685B">
        <w:rPr>
          <w:rFonts w:asciiTheme="majorHAnsi" w:hAnsiTheme="majorHAnsi"/>
        </w:rPr>
        <w:t>La coyuntura que enfrenta nuestro país a finales de la segunda década de este siglo lleva consigo el inicio de la madurez del sistema complementario obligatorio, esto es, que los saldos acumulados a lo largo de casi 18 años empiezan a ser suficientes (dado el aporte del 4,25% del salario) para financiar pensiones que representen al menos un 10% de la pensión del régimen básico, esto hace que el año 2018 sea un punto de inflexión en el análisis de las pensiones complementarias. Con esto, inicia el proceso de entender el sistema y abre el reto de darlo a conocer a los trabajadores, quienes a la fecha aún esperan llevarse en un solo tracto los montos acumulados, contrario al objetivo de una pensión, cual es proteger el capital para hacer frente a los gastos de los años de retiro.</w:t>
      </w:r>
      <w:r w:rsidRPr="4133685B">
        <w:rPr>
          <w:rFonts w:asciiTheme="majorHAnsi" w:hAnsiTheme="majorHAnsi"/>
          <w:noProof/>
        </w:rPr>
        <w:t xml:space="preserve"> </w:t>
      </w:r>
    </w:p>
    <w:p w14:paraId="74445BFB" w14:textId="1133ECBC" w:rsidR="007E758F" w:rsidRPr="00E80FC9" w:rsidRDefault="007D0BC7" w:rsidP="00E80FC9">
      <w:pPr>
        <w:jc w:val="both"/>
        <w:rPr>
          <w:rFonts w:asciiTheme="majorHAnsi" w:hAnsiTheme="majorHAnsi"/>
        </w:rPr>
      </w:pPr>
      <w:r w:rsidRPr="00613B2C">
        <w:rPr>
          <w:rFonts w:asciiTheme="majorHAnsi" w:hAnsiTheme="majorHAnsi"/>
        </w:rPr>
        <w:lastRenderedPageBreak/>
        <w:t>El segundo elemento presente en el análisis es el envejecimiento paulatino de nuestra fuerza laboral, si bien es cierto, el punto donde la masa de trabajadores entrará en edad de retiro iniciará a mitad de siglo, desde ya puede apreciarse la evolución del proceso. Hoy en día el grueso de la población asalariada está alrededor de los 30 años, tanto en hombres como en mujeres.</w:t>
      </w:r>
    </w:p>
    <w:p w14:paraId="1FDBF953" w14:textId="16EDB45C" w:rsidR="007D0BC7" w:rsidRPr="00613B2C" w:rsidRDefault="007D0BC7" w:rsidP="00E80FC9">
      <w:pPr>
        <w:pStyle w:val="Ttulo2"/>
      </w:pPr>
      <w:r w:rsidRPr="00613B2C">
        <w:t>Pensiones por Régimen y tipo de protección</w:t>
      </w:r>
    </w:p>
    <w:p w14:paraId="54F8A1B2" w14:textId="77777777" w:rsidR="00812D4C" w:rsidRPr="00812D4C" w:rsidRDefault="007D0BC7" w:rsidP="00812D4C">
      <w:pPr>
        <w:jc w:val="both"/>
        <w:rPr>
          <w:rFonts w:asciiTheme="majorHAnsi" w:hAnsiTheme="majorHAnsi"/>
        </w:rPr>
      </w:pPr>
      <w:r w:rsidRPr="00613B2C">
        <w:rPr>
          <w:rFonts w:asciiTheme="majorHAnsi" w:hAnsiTheme="majorHAnsi"/>
        </w:rPr>
        <w:t xml:space="preserve">El sistema nacional de pensiones descansa sobre un pilar básico de protección a cargo de cinco gestores: i) el Régimen de Invalidez, Vejez y Muerte (IVM) administrado por la CCSS, </w:t>
      </w:r>
      <w:proofErr w:type="spellStart"/>
      <w:r w:rsidRPr="00613B2C">
        <w:rPr>
          <w:rFonts w:asciiTheme="majorHAnsi" w:hAnsiTheme="majorHAnsi"/>
        </w:rPr>
        <w:t>ii</w:t>
      </w:r>
      <w:proofErr w:type="spellEnd"/>
      <w:r w:rsidRPr="00613B2C">
        <w:rPr>
          <w:rFonts w:asciiTheme="majorHAnsi" w:hAnsiTheme="majorHAnsi"/>
        </w:rPr>
        <w:t xml:space="preserve">) el Régimen del Poder Judicial próximo a ser administrado por una junta administrativa en formación, según la última reforma aprobada en mayo recién pasado, </w:t>
      </w:r>
      <w:proofErr w:type="spellStart"/>
      <w:r w:rsidRPr="00613B2C">
        <w:rPr>
          <w:rFonts w:asciiTheme="majorHAnsi" w:hAnsiTheme="majorHAnsi"/>
        </w:rPr>
        <w:t>iii</w:t>
      </w:r>
      <w:proofErr w:type="spellEnd"/>
      <w:r w:rsidRPr="00613B2C">
        <w:rPr>
          <w:rFonts w:asciiTheme="majorHAnsi" w:hAnsiTheme="majorHAnsi"/>
        </w:rPr>
        <w:t>) El régimen de Magisterio Nacional, administrado por la Junta de Pensiones, este régimen tiene la particularidad de que en la década de los noventas se dividió en dos, uno con cargo al presupuesto nacional, conocido como Transitorio de Reparto y uno para los nuevos trabajadores, conocido como régimen de Capitalización Colectiva, el cual por su poco tiempo de conformación aún no reporta prestaciones. Un cuarto Régimen para el cuerpo de bomberos, el cual fue cerrado (1992 mediante Ley 7302) para los nuevos trabajadores, quienes actualmente cotizan en el Régimen de Invalidez, Vejez y Muerte de la CCSS y finalmente v) un quinto régimen, que en realidad es un conjunto de regímenes especiales creados por leyes particulares, cuyo común denominador es que son gestionadas por la Dirección Nacional de Pensiones del Ministerio de Trabajo y que son todos con cargo al presupuesto nacional.</w:t>
      </w:r>
    </w:p>
    <w:p w14:paraId="6DC995D5" w14:textId="38316D17" w:rsidR="00BD22B3" w:rsidRPr="00613B2C" w:rsidRDefault="00BD22B3" w:rsidP="00BD22B3">
      <w:pPr>
        <w:jc w:val="center"/>
        <w:rPr>
          <w:rFonts w:asciiTheme="majorHAnsi" w:hAnsiTheme="majorHAnsi"/>
        </w:rPr>
      </w:pPr>
      <w:r>
        <w:rPr>
          <w:rFonts w:asciiTheme="majorHAnsi" w:hAnsiTheme="majorHAnsi"/>
        </w:rPr>
        <w:t>Cuadro 9</w:t>
      </w:r>
    </w:p>
    <w:p w14:paraId="615FFA83" w14:textId="4EF9C527" w:rsidR="007D0BC7" w:rsidRPr="00613B2C" w:rsidRDefault="00EA5206" w:rsidP="007D0BC7">
      <w:pPr>
        <w:jc w:val="center"/>
        <w:rPr>
          <w:rFonts w:asciiTheme="majorHAnsi" w:hAnsiTheme="majorHAnsi"/>
        </w:rPr>
      </w:pPr>
      <w:r w:rsidRPr="00EA5206">
        <w:rPr>
          <w:rFonts w:asciiTheme="majorHAnsi" w:hAnsiTheme="majorHAnsi"/>
          <w:lang w:val="es-CR"/>
        </w:rPr>
        <w:object w:dxaOrig="12080" w:dyaOrig="5263" w14:anchorId="16506CB8">
          <v:shape id="_x0000_i1030" type="#_x0000_t75" style="width:503.25pt;height:219pt" o:ole="">
            <v:imagedata r:id="rId28" o:title=""/>
          </v:shape>
          <o:OLEObject Type="Embed" ProgID="Excel.Sheet.12" ShapeID="_x0000_i1030" DrawAspect="Content" ObjectID="_1610970911" r:id="rId29"/>
        </w:object>
      </w:r>
    </w:p>
    <w:p w14:paraId="3A1A4D0E" w14:textId="77777777" w:rsidR="007D0BC7" w:rsidRPr="00613B2C" w:rsidRDefault="007D0BC7" w:rsidP="007D0BC7">
      <w:pPr>
        <w:jc w:val="both"/>
        <w:rPr>
          <w:rFonts w:asciiTheme="majorHAnsi" w:hAnsiTheme="majorHAnsi"/>
        </w:rPr>
      </w:pPr>
    </w:p>
    <w:p w14:paraId="1E0AE748" w14:textId="6A1A6A17" w:rsidR="007D0BC7" w:rsidRPr="00613B2C" w:rsidRDefault="007E758F" w:rsidP="007D0BC7">
      <w:pPr>
        <w:jc w:val="both"/>
        <w:rPr>
          <w:rFonts w:asciiTheme="majorHAnsi" w:hAnsiTheme="majorHAnsi"/>
        </w:rPr>
      </w:pPr>
      <w:r>
        <w:rPr>
          <w:rFonts w:asciiTheme="majorHAnsi" w:hAnsiTheme="majorHAnsi"/>
        </w:rPr>
        <w:t>En concordancia con nuestro diseño, e</w:t>
      </w:r>
      <w:r w:rsidR="007D0BC7" w:rsidRPr="00613B2C">
        <w:rPr>
          <w:rFonts w:asciiTheme="majorHAnsi" w:hAnsiTheme="majorHAnsi"/>
        </w:rPr>
        <w:t>l régimen que tiene una mayor cobertura es el de Invalidez Vejez y Muerte. Actualmente otorga más de 280 mil prestaciones cada mes, donde 153 mil corresponden a la condición de Vejez, 77 mil a sobrevivencia, es decir a beneficiarios</w:t>
      </w:r>
      <w:r>
        <w:rPr>
          <w:rFonts w:asciiTheme="majorHAnsi" w:hAnsiTheme="majorHAnsi"/>
        </w:rPr>
        <w:t>,</w:t>
      </w:r>
      <w:r w:rsidR="007D0BC7" w:rsidRPr="00613B2C">
        <w:rPr>
          <w:rFonts w:asciiTheme="majorHAnsi" w:hAnsiTheme="majorHAnsi"/>
        </w:rPr>
        <w:t xml:space="preserve"> y 56 mil a pensionados por invalidez. De los c</w:t>
      </w:r>
      <w:r>
        <w:rPr>
          <w:rFonts w:asciiTheme="majorHAnsi" w:hAnsiTheme="majorHAnsi"/>
        </w:rPr>
        <w:t>uatro gestores en análisis es la CCSS</w:t>
      </w:r>
      <w:r w:rsidR="007D0BC7" w:rsidRPr="00613B2C">
        <w:rPr>
          <w:rFonts w:asciiTheme="majorHAnsi" w:hAnsiTheme="majorHAnsi"/>
        </w:rPr>
        <w:t xml:space="preserve"> </w:t>
      </w:r>
      <w:r>
        <w:rPr>
          <w:rFonts w:asciiTheme="majorHAnsi" w:hAnsiTheme="majorHAnsi"/>
        </w:rPr>
        <w:t>(</w:t>
      </w:r>
      <w:r w:rsidR="007D0BC7" w:rsidRPr="00613B2C">
        <w:rPr>
          <w:rFonts w:asciiTheme="majorHAnsi" w:hAnsiTheme="majorHAnsi"/>
        </w:rPr>
        <w:t>IVM</w:t>
      </w:r>
      <w:r>
        <w:rPr>
          <w:rFonts w:asciiTheme="majorHAnsi" w:hAnsiTheme="majorHAnsi"/>
        </w:rPr>
        <w:t>) la</w:t>
      </w:r>
      <w:r w:rsidR="007D0BC7" w:rsidRPr="00613B2C">
        <w:rPr>
          <w:rFonts w:asciiTheme="majorHAnsi" w:hAnsiTheme="majorHAnsi"/>
        </w:rPr>
        <w:t xml:space="preserve"> que reporta un mayor porcentaje de las prestaciones por invalidez (un 20%), seguido del Régimen Transitorio del Magisterio (un 11%). Sin embargo, a nivel total de</w:t>
      </w:r>
      <w:r>
        <w:rPr>
          <w:rFonts w:asciiTheme="majorHAnsi" w:hAnsiTheme="majorHAnsi"/>
        </w:rPr>
        <w:t>l</w:t>
      </w:r>
      <w:r w:rsidR="007D0BC7" w:rsidRPr="00613B2C">
        <w:rPr>
          <w:rFonts w:asciiTheme="majorHAnsi" w:hAnsiTheme="majorHAnsi"/>
        </w:rPr>
        <w:t xml:space="preserve"> sistema de pensiones, es el fondo ocupacional complementario de empleados de la CCSS, el FRE, el que tiene el mayor porcentaje relativo de pensiones por invalidez alcanzando un 23% del total de sus prestaciones.</w:t>
      </w:r>
    </w:p>
    <w:p w14:paraId="6E5B1DBB" w14:textId="77777777" w:rsidR="007D0BC7" w:rsidRPr="00613B2C" w:rsidRDefault="007D0BC7" w:rsidP="007D0BC7">
      <w:pPr>
        <w:jc w:val="both"/>
        <w:rPr>
          <w:rFonts w:asciiTheme="majorHAnsi" w:hAnsiTheme="majorHAnsi"/>
        </w:rPr>
      </w:pPr>
      <w:r w:rsidRPr="00613B2C">
        <w:rPr>
          <w:rFonts w:asciiTheme="majorHAnsi" w:hAnsiTheme="majorHAnsi"/>
        </w:rPr>
        <w:lastRenderedPageBreak/>
        <w:t>El segundo régimen en importancia, tomando como criterio la cantidad de pensiones que otorga es el Régimen No Contributivo también administrado por la CCSS, el cual otorga prestaciones mínimas de 78 mil colones en caso de condición de vejez. Actualmente 112 mil personas están cubiertas por este régimen, 61% en condición de vejez, 36% en condición de invalidez, y 4% en condición de sobrevivencia. Los montos superiores al monto mínimo corresponden a prestaciones que se otorgan por parálisis cerebral profunda, indigencia, entre otros. Este régimen en su mayoría asiste a mujeres (58%) de las cuales 21 mil obtienen el beneficio por condición de invalidez y 41 mil por vejez.</w:t>
      </w:r>
    </w:p>
    <w:p w14:paraId="389092A9" w14:textId="77777777" w:rsidR="007D0BC7" w:rsidRPr="00613B2C" w:rsidRDefault="007D0BC7" w:rsidP="007D0BC7">
      <w:pPr>
        <w:jc w:val="both"/>
        <w:rPr>
          <w:rFonts w:asciiTheme="majorHAnsi" w:hAnsiTheme="majorHAnsi"/>
        </w:rPr>
      </w:pPr>
      <w:r w:rsidRPr="00613B2C">
        <w:rPr>
          <w:rFonts w:asciiTheme="majorHAnsi" w:hAnsiTheme="majorHAnsi"/>
        </w:rPr>
        <w:t>El Régimen no contributivo tiene además una protección especial para los extranjeros en extrema pobreza, sin embargo, tiene muy poca presencia, según los registros a junio del 2018, 122 extranjeros disfrutan de los beneficios de este régimen.</w:t>
      </w:r>
    </w:p>
    <w:tbl>
      <w:tblPr>
        <w:tblStyle w:val="Tablaconcuadrcula"/>
        <w:tblW w:w="99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6"/>
        <w:gridCol w:w="5078"/>
      </w:tblGrid>
      <w:tr w:rsidR="007D0BC7" w:rsidRPr="00613B2C" w14:paraId="692023BF" w14:textId="77777777" w:rsidTr="4133685B">
        <w:trPr>
          <w:jc w:val="center"/>
        </w:trPr>
        <w:tc>
          <w:tcPr>
            <w:tcW w:w="9924" w:type="dxa"/>
            <w:gridSpan w:val="2"/>
            <w:vAlign w:val="center"/>
          </w:tcPr>
          <w:p w14:paraId="3211F6F5" w14:textId="796B9B71" w:rsidR="007D0BC7" w:rsidRPr="00613B2C" w:rsidRDefault="00BD22B3" w:rsidP="00850B12">
            <w:pPr>
              <w:rPr>
                <w:rFonts w:asciiTheme="majorHAnsi" w:hAnsiTheme="majorHAnsi"/>
                <w:noProof/>
              </w:rPr>
            </w:pPr>
            <w:r>
              <w:rPr>
                <w:rFonts w:asciiTheme="majorHAnsi" w:hAnsiTheme="majorHAnsi"/>
                <w:noProof/>
              </w:rPr>
              <w:t>Cuadro 10</w:t>
            </w:r>
          </w:p>
          <w:p w14:paraId="763BEC98" w14:textId="77777777" w:rsidR="007D0BC7" w:rsidRPr="00613B2C" w:rsidRDefault="007D0BC7" w:rsidP="00850B12">
            <w:pPr>
              <w:rPr>
                <w:rFonts w:asciiTheme="majorHAnsi" w:hAnsiTheme="majorHAnsi"/>
                <w:b/>
                <w:noProof/>
              </w:rPr>
            </w:pPr>
            <w:r w:rsidRPr="00613B2C">
              <w:rPr>
                <w:rFonts w:asciiTheme="majorHAnsi" w:hAnsiTheme="majorHAnsi"/>
                <w:b/>
                <w:noProof/>
              </w:rPr>
              <w:t>Pensiones del Régimen no Contributivo</w:t>
            </w:r>
          </w:p>
          <w:p w14:paraId="73F06A04" w14:textId="77777777" w:rsidR="007D0BC7" w:rsidRPr="00613B2C" w:rsidRDefault="007D0BC7" w:rsidP="00850B12">
            <w:pPr>
              <w:rPr>
                <w:rFonts w:asciiTheme="majorHAnsi" w:hAnsiTheme="majorHAnsi"/>
                <w:noProof/>
              </w:rPr>
            </w:pPr>
            <w:r w:rsidRPr="00613B2C">
              <w:rPr>
                <w:rFonts w:asciiTheme="majorHAnsi" w:hAnsiTheme="majorHAnsi"/>
                <w:b/>
                <w:noProof/>
              </w:rPr>
              <w:t>Junio 2018</w:t>
            </w:r>
          </w:p>
        </w:tc>
      </w:tr>
      <w:tr w:rsidR="007D0BC7" w:rsidRPr="00613B2C" w14:paraId="775945AB" w14:textId="77777777" w:rsidTr="4133685B">
        <w:trPr>
          <w:jc w:val="center"/>
        </w:trPr>
        <w:tc>
          <w:tcPr>
            <w:tcW w:w="4846" w:type="dxa"/>
            <w:vAlign w:val="center"/>
          </w:tcPr>
          <w:p w14:paraId="11083FD0" w14:textId="77777777" w:rsidR="007D0BC7" w:rsidRPr="00613B2C" w:rsidRDefault="007D0BC7" w:rsidP="00850B12">
            <w:pPr>
              <w:rPr>
                <w:rFonts w:asciiTheme="majorHAnsi" w:hAnsiTheme="majorHAnsi"/>
                <w:noProof/>
              </w:rPr>
            </w:pPr>
            <w:r>
              <w:rPr>
                <w:noProof/>
              </w:rPr>
              <w:drawing>
                <wp:inline distT="0" distB="0" distL="0" distR="0" wp14:anchorId="72766E83" wp14:editId="2E6802D1">
                  <wp:extent cx="2940492" cy="1409217"/>
                  <wp:effectExtent l="0" t="0" r="0" b="635"/>
                  <wp:docPr id="382051249" name="Imagen 38205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2940492" cy="1409217"/>
                          </a:xfrm>
                          <a:prstGeom prst="rect">
                            <a:avLst/>
                          </a:prstGeom>
                        </pic:spPr>
                      </pic:pic>
                    </a:graphicData>
                  </a:graphic>
                </wp:inline>
              </w:drawing>
            </w:r>
          </w:p>
        </w:tc>
        <w:bookmarkStart w:id="9" w:name="_MON_1600586880"/>
        <w:bookmarkEnd w:id="9"/>
        <w:tc>
          <w:tcPr>
            <w:tcW w:w="5078" w:type="dxa"/>
            <w:vAlign w:val="center"/>
          </w:tcPr>
          <w:p w14:paraId="0484D7D9" w14:textId="77777777" w:rsidR="007D0BC7" w:rsidRPr="00613B2C" w:rsidRDefault="007D0BC7" w:rsidP="00850B12">
            <w:pPr>
              <w:rPr>
                <w:rFonts w:asciiTheme="majorHAnsi" w:hAnsiTheme="majorHAnsi"/>
                <w:noProof/>
              </w:rPr>
            </w:pPr>
            <w:r w:rsidRPr="00613B2C">
              <w:rPr>
                <w:rFonts w:asciiTheme="majorHAnsi" w:hAnsiTheme="majorHAnsi"/>
                <w:noProof/>
              </w:rPr>
              <w:object w:dxaOrig="8455" w:dyaOrig="3177" w14:anchorId="5138B17D">
                <v:shape id="_x0000_i1031" type="#_x0000_t75" style="width:221.25pt;height:83.25pt" o:ole="">
                  <v:imagedata r:id="rId31" o:title=""/>
                </v:shape>
                <o:OLEObject Type="Embed" ProgID="Excel.Sheet.12" ShapeID="_x0000_i1031" DrawAspect="Content" ObjectID="_1610970912" r:id="rId32"/>
              </w:object>
            </w:r>
          </w:p>
        </w:tc>
      </w:tr>
    </w:tbl>
    <w:p w14:paraId="36D2A6E9" w14:textId="77777777" w:rsidR="007D0BC7" w:rsidRPr="00613B2C" w:rsidRDefault="007D0BC7" w:rsidP="007D0BC7">
      <w:pPr>
        <w:rPr>
          <w:rFonts w:asciiTheme="majorHAnsi" w:hAnsiTheme="majorHAnsi"/>
          <w:noProof/>
        </w:rPr>
      </w:pPr>
    </w:p>
    <w:p w14:paraId="4A5A00CD" w14:textId="223936E8" w:rsidR="007D0BC7" w:rsidRPr="00613B2C" w:rsidRDefault="007D0BC7" w:rsidP="007D0BC7">
      <w:pPr>
        <w:jc w:val="both"/>
        <w:rPr>
          <w:rFonts w:asciiTheme="majorHAnsi" w:hAnsiTheme="majorHAnsi"/>
        </w:rPr>
      </w:pPr>
      <w:r w:rsidRPr="00613B2C">
        <w:rPr>
          <w:rFonts w:asciiTheme="majorHAnsi" w:hAnsiTheme="majorHAnsi"/>
        </w:rPr>
        <w:t>En lo que respecta al resto de prestaciones de los regímenes de beneficio definido, las más elevadas en este momento se están gen</w:t>
      </w:r>
      <w:r w:rsidR="00A63282">
        <w:rPr>
          <w:rFonts w:asciiTheme="majorHAnsi" w:hAnsiTheme="majorHAnsi"/>
        </w:rPr>
        <w:t>erando en el Régimen del Poder Judicial con monto</w:t>
      </w:r>
      <w:r w:rsidRPr="00613B2C">
        <w:rPr>
          <w:rFonts w:asciiTheme="majorHAnsi" w:hAnsiTheme="majorHAnsi"/>
        </w:rPr>
        <w:t xml:space="preserve"> promedio de 1,6 millones de colones y en el Régimen Transitorio del Magisterio 1,1 millones al mes. </w:t>
      </w:r>
    </w:p>
    <w:p w14:paraId="79DD8F3D" w14:textId="77777777" w:rsidR="007D0BC7" w:rsidRPr="00613B2C" w:rsidRDefault="007D0BC7" w:rsidP="007D0BC7">
      <w:pPr>
        <w:jc w:val="both"/>
        <w:rPr>
          <w:rFonts w:asciiTheme="majorHAnsi" w:hAnsiTheme="majorHAnsi"/>
        </w:rPr>
      </w:pPr>
      <w:r w:rsidRPr="00613B2C">
        <w:rPr>
          <w:rFonts w:asciiTheme="majorHAnsi" w:hAnsiTheme="majorHAnsi"/>
        </w:rPr>
        <w:t>Para los fondos complementarios ocupacionales de beneficio definido, las prestaciones otorgadas más elevadas se están presentando en el Fondo de Empleados del Banco Nacional de Costa Rica con montos superiores a los 800 mil colones al mes, le sigue en importancia el fondo de Empleados del Instituto Costarricense de Electricidad, con montos cercanos a los 300 mil colones y finalmente el Fondos de Empleados de la CCSS con prestaciones cercanas a los 150 mil colones al mes.</w:t>
      </w:r>
    </w:p>
    <w:p w14:paraId="43CCFE09" w14:textId="75A2B2E3" w:rsidR="007D0BC7" w:rsidRPr="00613B2C" w:rsidRDefault="007D0BC7" w:rsidP="007D0BC7">
      <w:pPr>
        <w:jc w:val="both"/>
        <w:rPr>
          <w:rFonts w:asciiTheme="majorHAnsi" w:hAnsiTheme="majorHAnsi"/>
        </w:rPr>
      </w:pPr>
      <w:r w:rsidRPr="00613B2C">
        <w:rPr>
          <w:rFonts w:asciiTheme="majorHAnsi" w:hAnsiTheme="majorHAnsi"/>
        </w:rPr>
        <w:t>Existen ot</w:t>
      </w:r>
      <w:r w:rsidR="00AD4F63">
        <w:rPr>
          <w:rFonts w:asciiTheme="majorHAnsi" w:hAnsiTheme="majorHAnsi"/>
        </w:rPr>
        <w:t>ros fondos ocupacionales en el sistema de p</w:t>
      </w:r>
      <w:r w:rsidRPr="00613B2C">
        <w:rPr>
          <w:rFonts w:asciiTheme="majorHAnsi" w:hAnsiTheme="majorHAnsi"/>
        </w:rPr>
        <w:t xml:space="preserve">ensiones, por ejemplo, el fondo de empleados del Instituto Costarricense de Turismo, el fondo de empleados del Banco de Costa Rica y </w:t>
      </w:r>
      <w:r w:rsidR="00A63282">
        <w:rPr>
          <w:rFonts w:asciiTheme="majorHAnsi" w:hAnsiTheme="majorHAnsi"/>
        </w:rPr>
        <w:t>el</w:t>
      </w:r>
      <w:r w:rsidRPr="00613B2C">
        <w:rPr>
          <w:rFonts w:asciiTheme="majorHAnsi" w:hAnsiTheme="majorHAnsi"/>
        </w:rPr>
        <w:t xml:space="preserve"> Fondo de Empleados del Banco Crédito Agrícola de Cartago, sin embargo, estos no son de beneficio definido. Al pensionarse de estos regímenes los afiliados disponen de la posibilidad de utilizar sus recursos para adquirir un plan de beneficios o retirar los recursos en un solo tracto. Por lo general optan por el retiro total. Es importante además aclarar que estos regímenes también disponen de una cuenta en el </w:t>
      </w:r>
      <w:r w:rsidR="00A63282">
        <w:rPr>
          <w:rFonts w:asciiTheme="majorHAnsi" w:hAnsiTheme="majorHAnsi"/>
        </w:rPr>
        <w:t>ROP</w:t>
      </w:r>
      <w:r w:rsidRPr="00613B2C">
        <w:rPr>
          <w:rFonts w:asciiTheme="majorHAnsi" w:hAnsiTheme="majorHAnsi"/>
        </w:rPr>
        <w:t>.</w:t>
      </w:r>
    </w:p>
    <w:p w14:paraId="2A3A883F" w14:textId="24566F73" w:rsidR="007D0BC7" w:rsidRPr="00613B2C" w:rsidRDefault="007D0BC7" w:rsidP="007D0BC7">
      <w:pPr>
        <w:jc w:val="both"/>
        <w:rPr>
          <w:rFonts w:asciiTheme="majorHAnsi" w:hAnsiTheme="majorHAnsi"/>
        </w:rPr>
      </w:pPr>
      <w:r w:rsidRPr="00613B2C">
        <w:rPr>
          <w:rFonts w:asciiTheme="majorHAnsi" w:hAnsiTheme="majorHAnsi"/>
        </w:rPr>
        <w:t xml:space="preserve">Luego de los regímenes de primer pilar, el segundo régimen en importancia, tomando como base la cobertura, es decir, afiliados que tienen acceso </w:t>
      </w:r>
      <w:r w:rsidR="00A63282">
        <w:rPr>
          <w:rFonts w:asciiTheme="majorHAnsi" w:hAnsiTheme="majorHAnsi"/>
        </w:rPr>
        <w:t>a su protección</w:t>
      </w:r>
      <w:r w:rsidRPr="00613B2C">
        <w:rPr>
          <w:rFonts w:asciiTheme="majorHAnsi" w:hAnsiTheme="majorHAnsi"/>
        </w:rPr>
        <w:t xml:space="preserve"> es el ROP. Este fondo se creó en el año 2000 con la Ley de Protección al Trabajador, pero no fue sino hasta el 2001 cuando empezó a recibir sus primeras cotizaciones. Las reglas para que este régimen otorgue prestaciones están definidas en el</w:t>
      </w:r>
      <w:r w:rsidR="00A63282">
        <w:rPr>
          <w:rFonts w:asciiTheme="majorHAnsi" w:hAnsiTheme="majorHAnsi"/>
        </w:rPr>
        <w:t xml:space="preserve"> Reglamento de Beneficios, vigente desde</w:t>
      </w:r>
      <w:r w:rsidRPr="00613B2C">
        <w:rPr>
          <w:rFonts w:asciiTheme="majorHAnsi" w:hAnsiTheme="majorHAnsi"/>
        </w:rPr>
        <w:t xml:space="preserve"> el 2009, allí se decidió que, a efecto de que las pensiones de este régimen </w:t>
      </w:r>
      <w:r w:rsidR="00AD4F63">
        <w:rPr>
          <w:rFonts w:asciiTheme="majorHAnsi" w:hAnsiTheme="majorHAnsi"/>
        </w:rPr>
        <w:t xml:space="preserve">cumplieran con el principio de </w:t>
      </w:r>
      <w:r w:rsidRPr="00613B2C">
        <w:rPr>
          <w:rFonts w:asciiTheme="majorHAnsi" w:hAnsiTheme="majorHAnsi"/>
        </w:rPr>
        <w:t>seguridad ec</w:t>
      </w:r>
      <w:r w:rsidR="00AD4F63">
        <w:rPr>
          <w:rFonts w:asciiTheme="majorHAnsi" w:hAnsiTheme="majorHAnsi"/>
        </w:rPr>
        <w:t>onómica</w:t>
      </w:r>
      <w:r w:rsidRPr="00613B2C">
        <w:rPr>
          <w:rFonts w:asciiTheme="majorHAnsi" w:hAnsiTheme="majorHAnsi"/>
        </w:rPr>
        <w:t xml:space="preserve"> debían ser las prestaciones (calculadas como un retiro programado) superiores a un 10% de le pensión del Régimen Básico.</w:t>
      </w:r>
    </w:p>
    <w:p w14:paraId="22899EB9" w14:textId="2872E59E" w:rsidR="007D0BC7" w:rsidRPr="00613B2C" w:rsidRDefault="007D0BC7" w:rsidP="007D0BC7">
      <w:pPr>
        <w:jc w:val="both"/>
        <w:rPr>
          <w:rFonts w:asciiTheme="majorHAnsi" w:hAnsiTheme="majorHAnsi"/>
        </w:rPr>
      </w:pPr>
      <w:r w:rsidRPr="00613B2C">
        <w:rPr>
          <w:rFonts w:asciiTheme="majorHAnsi" w:hAnsiTheme="majorHAnsi"/>
        </w:rPr>
        <w:lastRenderedPageBreak/>
        <w:t xml:space="preserve">Antes del año 2010 los trabajadores tenían derecho a retirar en un único monto los recursos ahorrados en el ROP, posterior al año 2010 se creó la regla referida del 10%. Con </w:t>
      </w:r>
      <w:r w:rsidR="00AD4F63">
        <w:rPr>
          <w:rFonts w:asciiTheme="majorHAnsi" w:hAnsiTheme="majorHAnsi"/>
        </w:rPr>
        <w:t xml:space="preserve">esto continuamos observando, por </w:t>
      </w:r>
      <w:r w:rsidRPr="00613B2C">
        <w:rPr>
          <w:rFonts w:asciiTheme="majorHAnsi" w:hAnsiTheme="majorHAnsi"/>
        </w:rPr>
        <w:t>la vía de excepción</w:t>
      </w:r>
      <w:r w:rsidR="00AD4F63">
        <w:rPr>
          <w:rFonts w:asciiTheme="majorHAnsi" w:hAnsiTheme="majorHAnsi"/>
        </w:rPr>
        <w:t>,</w:t>
      </w:r>
      <w:r w:rsidRPr="00613B2C">
        <w:rPr>
          <w:rFonts w:asciiTheme="majorHAnsi" w:hAnsiTheme="majorHAnsi"/>
        </w:rPr>
        <w:t xml:space="preserve"> los retiros totales. </w:t>
      </w:r>
      <w:r w:rsidR="00AD4F63">
        <w:rPr>
          <w:rFonts w:asciiTheme="majorHAnsi" w:hAnsiTheme="majorHAnsi"/>
        </w:rPr>
        <w:t>S</w:t>
      </w:r>
      <w:r w:rsidRPr="00613B2C">
        <w:rPr>
          <w:rFonts w:asciiTheme="majorHAnsi" w:hAnsiTheme="majorHAnsi"/>
        </w:rPr>
        <w:t xml:space="preserve">in embargo, </w:t>
      </w:r>
      <w:r w:rsidR="00AD4F63">
        <w:rPr>
          <w:rFonts w:asciiTheme="majorHAnsi" w:hAnsiTheme="majorHAnsi"/>
        </w:rPr>
        <w:t>principalmente por el plazo de acumulación los retiros totales llegarán a ser mínimos</w:t>
      </w:r>
      <w:r w:rsidRPr="00613B2C">
        <w:rPr>
          <w:rFonts w:asciiTheme="majorHAnsi" w:hAnsiTheme="majorHAnsi"/>
        </w:rPr>
        <w:t xml:space="preserve">, porque los recursos acumulados empezarán a sobrepasar fácilmente pensiones del 10% de la pensión del régimen básico. A nivel de diseño el aporte en el ROP, con 40 años de cotización y suponiendo rendimientos cercanos al 3% real, sin períodos prolongados de desempleo podrían fácilmente financiar pensiones que superen el 20% de la pensión del Régimen Básico. </w:t>
      </w:r>
    </w:p>
    <w:p w14:paraId="149ADDC6" w14:textId="4BA9115D" w:rsidR="007D0BC7" w:rsidRPr="00613B2C" w:rsidRDefault="00007438" w:rsidP="007D0BC7">
      <w:pPr>
        <w:jc w:val="both"/>
        <w:rPr>
          <w:rFonts w:asciiTheme="majorHAnsi" w:hAnsiTheme="majorHAnsi"/>
        </w:rPr>
      </w:pPr>
      <w:r>
        <w:rPr>
          <w:rFonts w:asciiTheme="majorHAnsi" w:hAnsiTheme="majorHAnsi"/>
          <w:noProof/>
        </w:rPr>
        <w:pict w14:anchorId="0A0A7E83">
          <v:shape id="_x0000_s1039" type="#_x0000_t75" style="position:absolute;left:0;text-align:left;margin-left:335.4pt;margin-top:1.15pt;width:165.85pt;height:170.05pt;z-index:251658243">
            <v:imagedata r:id="rId33" o:title=""/>
            <w10:wrap type="square"/>
          </v:shape>
        </w:pict>
      </w:r>
      <w:r w:rsidR="007D0BC7" w:rsidRPr="4133685B">
        <w:rPr>
          <w:rFonts w:asciiTheme="majorHAnsi" w:hAnsiTheme="majorHAnsi"/>
        </w:rPr>
        <w:t>Dadas las cond</w:t>
      </w:r>
      <w:r w:rsidR="00A63282" w:rsidRPr="4133685B">
        <w:rPr>
          <w:rFonts w:asciiTheme="majorHAnsi" w:hAnsiTheme="majorHAnsi"/>
        </w:rPr>
        <w:t xml:space="preserve">iciones antes descritas, el </w:t>
      </w:r>
      <w:r w:rsidR="007D0BC7" w:rsidRPr="4133685B">
        <w:rPr>
          <w:rFonts w:asciiTheme="majorHAnsi" w:hAnsiTheme="majorHAnsi"/>
        </w:rPr>
        <w:t xml:space="preserve">2018 es cuando, en promedio, los trabajadores que iniciaron con el régimen en el año 2001, sus retiros programados empiezan a superar el 10% de la pensión básica, si ha existido continuidad laboral y estabilidad en los ingresos. Para los que no cumplan estas condiciones este umbral se irá superando poco durante los próximos años. </w:t>
      </w:r>
    </w:p>
    <w:p w14:paraId="143AC21C" w14:textId="77777777" w:rsidR="007D0BC7" w:rsidRPr="00613B2C" w:rsidRDefault="007D0BC7" w:rsidP="00772349">
      <w:pPr>
        <w:pStyle w:val="Ttulo2"/>
      </w:pPr>
      <w:r w:rsidRPr="00613B2C">
        <w:t>Retiro Total</w:t>
      </w:r>
    </w:p>
    <w:p w14:paraId="2D356319" w14:textId="0DB90326" w:rsidR="007D0BC7" w:rsidRPr="00613B2C" w:rsidRDefault="00AD4F63" w:rsidP="007D0BC7">
      <w:pPr>
        <w:jc w:val="both"/>
        <w:rPr>
          <w:rFonts w:asciiTheme="majorHAnsi" w:hAnsiTheme="majorHAnsi"/>
        </w:rPr>
      </w:pPr>
      <w:r>
        <w:rPr>
          <w:rFonts w:asciiTheme="majorHAnsi" w:hAnsiTheme="majorHAnsi"/>
        </w:rPr>
        <w:t xml:space="preserve">Durante el </w:t>
      </w:r>
      <w:r w:rsidR="007D0BC7" w:rsidRPr="00613B2C">
        <w:rPr>
          <w:rFonts w:asciiTheme="majorHAnsi" w:hAnsiTheme="majorHAnsi"/>
        </w:rPr>
        <w:t>2010</w:t>
      </w:r>
      <w:r>
        <w:rPr>
          <w:rFonts w:asciiTheme="majorHAnsi" w:hAnsiTheme="majorHAnsi"/>
        </w:rPr>
        <w:t xml:space="preserve"> cerca de</w:t>
      </w:r>
      <w:r w:rsidR="007D0BC7" w:rsidRPr="00613B2C">
        <w:rPr>
          <w:rFonts w:asciiTheme="majorHAnsi" w:hAnsiTheme="majorHAnsi"/>
        </w:rPr>
        <w:t xml:space="preserve"> 8 mil personas </w:t>
      </w:r>
      <w:r>
        <w:rPr>
          <w:rFonts w:asciiTheme="majorHAnsi" w:hAnsiTheme="majorHAnsi"/>
        </w:rPr>
        <w:t>optaron por</w:t>
      </w:r>
      <w:r w:rsidR="007D0BC7" w:rsidRPr="00613B2C">
        <w:rPr>
          <w:rFonts w:asciiTheme="majorHAnsi" w:hAnsiTheme="majorHAnsi"/>
        </w:rPr>
        <w:t xml:space="preserve"> un retiro total, por inercia del envejecimiento de la población, se llegó en el año 2017 un total </w:t>
      </w:r>
      <w:r w:rsidR="00B46B1B">
        <w:rPr>
          <w:rFonts w:asciiTheme="majorHAnsi" w:hAnsiTheme="majorHAnsi"/>
        </w:rPr>
        <w:t>de retiros de este tipo de 13 44</w:t>
      </w:r>
      <w:r w:rsidR="007D0BC7" w:rsidRPr="00613B2C">
        <w:rPr>
          <w:rFonts w:asciiTheme="majorHAnsi" w:hAnsiTheme="majorHAnsi"/>
        </w:rPr>
        <w:t>0 personas. Los montos que en promedio retiran van en aumento como producto de la capitalización</w:t>
      </w:r>
      <w:r>
        <w:rPr>
          <w:rFonts w:asciiTheme="majorHAnsi" w:hAnsiTheme="majorHAnsi"/>
        </w:rPr>
        <w:t xml:space="preserve"> e incrementos en las aportaciones por mayores salarios</w:t>
      </w:r>
      <w:r w:rsidR="007D0BC7" w:rsidRPr="00613B2C">
        <w:rPr>
          <w:rFonts w:asciiTheme="majorHAnsi" w:hAnsiTheme="majorHAnsi"/>
        </w:rPr>
        <w:t>. A septiembre de 2018 lo</w:t>
      </w:r>
      <w:r>
        <w:rPr>
          <w:rFonts w:asciiTheme="majorHAnsi" w:hAnsiTheme="majorHAnsi"/>
        </w:rPr>
        <w:t>s</w:t>
      </w:r>
      <w:r w:rsidR="007D0BC7" w:rsidRPr="00613B2C">
        <w:rPr>
          <w:rFonts w:asciiTheme="majorHAnsi" w:hAnsiTheme="majorHAnsi"/>
        </w:rPr>
        <w:t xml:space="preserve"> montos que en promedio son retirados del ROP </w:t>
      </w:r>
      <w:r w:rsidR="00B46B1B">
        <w:rPr>
          <w:rStyle w:val="Refdenotaalpie"/>
          <w:rFonts w:asciiTheme="majorHAnsi" w:hAnsiTheme="majorHAnsi"/>
        </w:rPr>
        <w:footnoteReference w:id="6"/>
      </w:r>
      <w:r w:rsidR="00B46B1B">
        <w:rPr>
          <w:rFonts w:asciiTheme="majorHAnsi" w:hAnsiTheme="majorHAnsi"/>
        </w:rPr>
        <w:t>superan ligueramente los</w:t>
      </w:r>
      <w:r w:rsidR="007D0BC7" w:rsidRPr="00613B2C">
        <w:rPr>
          <w:rFonts w:asciiTheme="majorHAnsi" w:hAnsiTheme="majorHAnsi"/>
        </w:rPr>
        <w:t xml:space="preserve"> 6,8 millones de colones, monto que no sería suficiente para financiar pensiones de 10% de la pensión básica. </w:t>
      </w:r>
    </w:p>
    <w:p w14:paraId="74276F06" w14:textId="77777777" w:rsidR="007D0BC7" w:rsidRPr="00613B2C" w:rsidRDefault="007D0BC7" w:rsidP="007D0BC7">
      <w:pPr>
        <w:jc w:val="both"/>
        <w:rPr>
          <w:rFonts w:asciiTheme="majorHAnsi" w:hAnsiTheme="majorHAnsi"/>
        </w:rPr>
      </w:pPr>
      <w:r w:rsidRPr="00613B2C">
        <w:rPr>
          <w:rFonts w:asciiTheme="majorHAnsi" w:hAnsiTheme="majorHAnsi"/>
        </w:rPr>
        <w:t>Es de esperarse por lo tanto que la cantidad de pensionados con derecho al retito total disminuya año a año, pero que los montos, de los que apliquen para esta regla de excepción sigan creciendo.</w:t>
      </w:r>
    </w:p>
    <w:p w14:paraId="27DB3B2F" w14:textId="5F3577B6" w:rsidR="007D0BC7" w:rsidRPr="00613B2C" w:rsidRDefault="007D0BC7" w:rsidP="007D0BC7">
      <w:pPr>
        <w:jc w:val="both"/>
        <w:rPr>
          <w:rFonts w:asciiTheme="majorHAnsi" w:hAnsiTheme="majorHAnsi"/>
        </w:rPr>
      </w:pPr>
      <w:r w:rsidRPr="00613B2C">
        <w:rPr>
          <w:rFonts w:asciiTheme="majorHAnsi" w:hAnsiTheme="majorHAnsi"/>
        </w:rPr>
        <w:t>A nivel de consultas o quejas ante el supervisor, el no tener acceso a los recursos del ROP en un solo tracto, se está convirtiendo en uno de los hechos recurrentes.</w:t>
      </w:r>
    </w:p>
    <w:p w14:paraId="207A333F" w14:textId="77777777" w:rsidR="007D0BC7" w:rsidRPr="00613B2C" w:rsidRDefault="007D0BC7" w:rsidP="00772349">
      <w:pPr>
        <w:pStyle w:val="Ttulo2"/>
      </w:pPr>
      <w:r w:rsidRPr="00613B2C">
        <w:t>Pensiones Complementarias</w:t>
      </w:r>
    </w:p>
    <w:p w14:paraId="0B0CC212" w14:textId="3ACD62CF" w:rsidR="007D0BC7" w:rsidRPr="00613B2C" w:rsidRDefault="00007438" w:rsidP="007D0BC7">
      <w:pPr>
        <w:jc w:val="both"/>
        <w:rPr>
          <w:rFonts w:asciiTheme="majorHAnsi" w:hAnsiTheme="majorHAnsi"/>
        </w:rPr>
      </w:pPr>
      <w:r>
        <w:rPr>
          <w:rFonts w:asciiTheme="majorHAnsi" w:hAnsiTheme="majorHAnsi"/>
          <w:noProof/>
        </w:rPr>
        <w:object w:dxaOrig="1440" w:dyaOrig="1440" w14:anchorId="4FA41CF0">
          <v:shape id="_x0000_s1040" type="#_x0000_t75" style="position:absolute;left:0;text-align:left;margin-left:0;margin-top:4.6pt;width:262.1pt;height:141.85pt;z-index:251658244">
            <v:imagedata r:id="rId34" o:title=""/>
            <w10:wrap type="square"/>
          </v:shape>
          <o:OLEObject Type="Embed" ProgID="Excel.Sheet.12" ShapeID="_x0000_s1040" DrawAspect="Content" ObjectID="_1610970917" r:id="rId35"/>
        </w:object>
      </w:r>
      <w:r w:rsidR="007D0BC7" w:rsidRPr="00613B2C">
        <w:rPr>
          <w:rFonts w:asciiTheme="majorHAnsi" w:hAnsiTheme="majorHAnsi"/>
        </w:rPr>
        <w:t xml:space="preserve">Año con año la cifra de nuevos pensionados </w:t>
      </w:r>
      <w:r w:rsidR="00A264F8">
        <w:rPr>
          <w:rFonts w:asciiTheme="majorHAnsi" w:hAnsiTheme="majorHAnsi"/>
        </w:rPr>
        <w:t>del ROP va en aumento. En el</w:t>
      </w:r>
      <w:r w:rsidR="007D0BC7" w:rsidRPr="00613B2C">
        <w:rPr>
          <w:rFonts w:asciiTheme="majorHAnsi" w:hAnsiTheme="majorHAnsi"/>
        </w:rPr>
        <w:t xml:space="preserve"> 2010 el régimen </w:t>
      </w:r>
      <w:r w:rsidR="00A264F8">
        <w:rPr>
          <w:rFonts w:asciiTheme="majorHAnsi" w:hAnsiTheme="majorHAnsi"/>
        </w:rPr>
        <w:t>se registraron</w:t>
      </w:r>
      <w:r w:rsidR="007D0BC7" w:rsidRPr="00613B2C">
        <w:rPr>
          <w:rFonts w:asciiTheme="majorHAnsi" w:hAnsiTheme="majorHAnsi"/>
        </w:rPr>
        <w:t xml:space="preserve"> 4 nuevos pensionados</w:t>
      </w:r>
      <w:r w:rsidR="00B46B1B">
        <w:rPr>
          <w:rFonts w:asciiTheme="majorHAnsi" w:hAnsiTheme="majorHAnsi"/>
        </w:rPr>
        <w:t>. Tan solo 8 años después, a se</w:t>
      </w:r>
      <w:r w:rsidR="007D0BC7" w:rsidRPr="00613B2C">
        <w:rPr>
          <w:rFonts w:asciiTheme="majorHAnsi" w:hAnsiTheme="majorHAnsi"/>
        </w:rPr>
        <w:t>tiembre tenemos 1 772 nuevos pensionados, esto es un crecimiento exponencial que seguirá por los próximo</w:t>
      </w:r>
      <w:r w:rsidR="00B46B1B">
        <w:rPr>
          <w:rFonts w:asciiTheme="majorHAnsi" w:hAnsiTheme="majorHAnsi"/>
        </w:rPr>
        <w:t>s años. Contando los pensionados por sobrevivencia,</w:t>
      </w:r>
      <w:r w:rsidR="007D0BC7" w:rsidRPr="00613B2C">
        <w:rPr>
          <w:rFonts w:asciiTheme="majorHAnsi" w:hAnsiTheme="majorHAnsi"/>
        </w:rPr>
        <w:t xml:space="preserve"> el total de pensionados supe</w:t>
      </w:r>
      <w:r w:rsidR="00A264F8">
        <w:rPr>
          <w:rFonts w:asciiTheme="majorHAnsi" w:hAnsiTheme="majorHAnsi"/>
        </w:rPr>
        <w:t>ra los 4500. Desde el 2010 las operadoras de p</w:t>
      </w:r>
      <w:r w:rsidR="007D0BC7" w:rsidRPr="00613B2C">
        <w:rPr>
          <w:rFonts w:asciiTheme="majorHAnsi" w:hAnsiTheme="majorHAnsi"/>
        </w:rPr>
        <w:t>ensiones han ofreci</w:t>
      </w:r>
      <w:r w:rsidR="00A264F8">
        <w:rPr>
          <w:rFonts w:asciiTheme="majorHAnsi" w:hAnsiTheme="majorHAnsi"/>
        </w:rPr>
        <w:t>do dos posibles modalidades de p</w:t>
      </w:r>
      <w:r w:rsidR="007D0BC7" w:rsidRPr="00613B2C">
        <w:rPr>
          <w:rFonts w:asciiTheme="majorHAnsi" w:hAnsiTheme="majorHAnsi"/>
        </w:rPr>
        <w:t xml:space="preserve">ensión, los Retiros Programados y las Rentas Permanentes. Los Retiros Programados son calculados como anualidad prepagable ajustada por esperanza de vida cada año. Las Rentas Permanentes corresponden a la división de los intereses del año previo entre doce, resultando así un pago mensual que mantiene el capital original. La elección por parte de los afiliados, según diversas pruebas hechas por la Superintendencia, ha estado influenciada </w:t>
      </w:r>
      <w:r w:rsidR="006643B9">
        <w:rPr>
          <w:rFonts w:asciiTheme="majorHAnsi" w:hAnsiTheme="majorHAnsi"/>
        </w:rPr>
        <w:t xml:space="preserve">sobre todo </w:t>
      </w:r>
      <w:r w:rsidR="007D0BC7" w:rsidRPr="00613B2C">
        <w:rPr>
          <w:rFonts w:asciiTheme="majorHAnsi" w:hAnsiTheme="majorHAnsi"/>
        </w:rPr>
        <w:t xml:space="preserve">por la </w:t>
      </w:r>
      <w:r w:rsidR="007D0BC7" w:rsidRPr="00613B2C">
        <w:rPr>
          <w:rFonts w:asciiTheme="majorHAnsi" w:hAnsiTheme="majorHAnsi"/>
        </w:rPr>
        <w:lastRenderedPageBreak/>
        <w:t xml:space="preserve">renta que </w:t>
      </w:r>
      <w:r w:rsidR="006643B9">
        <w:rPr>
          <w:rFonts w:asciiTheme="majorHAnsi" w:hAnsiTheme="majorHAnsi"/>
        </w:rPr>
        <w:t>produzca</w:t>
      </w:r>
      <w:r w:rsidR="007D0BC7" w:rsidRPr="00613B2C">
        <w:rPr>
          <w:rFonts w:asciiTheme="majorHAnsi" w:hAnsiTheme="majorHAnsi"/>
        </w:rPr>
        <w:t xml:space="preserve"> una mayor prestación en el corto plazo, es decir, al momento de decidir el afiliado ha inclinado su decisión hacia cuál modalidad le paga mayor pensión en el plazo inmediato. </w:t>
      </w:r>
      <w:r w:rsidR="006643B9">
        <w:rPr>
          <w:rFonts w:asciiTheme="majorHAnsi" w:hAnsiTheme="majorHAnsi"/>
        </w:rPr>
        <w:t xml:space="preserve"> </w:t>
      </w:r>
    </w:p>
    <w:p w14:paraId="037DD946" w14:textId="4C4AECE8" w:rsidR="007D0BC7" w:rsidRPr="00613B2C" w:rsidRDefault="007D0BC7" w:rsidP="007D0BC7">
      <w:pPr>
        <w:jc w:val="both"/>
        <w:rPr>
          <w:rFonts w:asciiTheme="majorHAnsi" w:hAnsiTheme="majorHAnsi"/>
        </w:rPr>
      </w:pPr>
      <w:r w:rsidRPr="00613B2C">
        <w:rPr>
          <w:rFonts w:asciiTheme="majorHAnsi" w:hAnsiTheme="majorHAnsi"/>
        </w:rPr>
        <w:t>Los datos muestran una oscilación en la preferencia por la modalidad de pensión a lo largo de los años. Al inicio de la década los rendimientos eran altos, superiores al 10% anual real, eso hacía que muchos afiliados optaran por la renta permanente. En los años en que los rendimientos no son tan elevados, los afiliados han optado por los retiros programados. Por ejemplo, cuando los rendimientos anuales reales del año 2016 (los que se utilizarían para el pago del 2017) fueron superiores al 5%, los montos de pensión en ambas modalidades tendieron a parecerse, es decir, los afiliados se decantan por ambos productos en prácticamente igual pr</w:t>
      </w:r>
      <w:r w:rsidR="00A264F8">
        <w:rPr>
          <w:rFonts w:asciiTheme="majorHAnsi" w:hAnsiTheme="majorHAnsi"/>
        </w:rPr>
        <w:t>oporción. Ya en lo que va del</w:t>
      </w:r>
      <w:r w:rsidRPr="00613B2C">
        <w:rPr>
          <w:rFonts w:asciiTheme="majorHAnsi" w:hAnsiTheme="majorHAnsi"/>
        </w:rPr>
        <w:t xml:space="preserve"> 20</w:t>
      </w:r>
      <w:r w:rsidR="006643B9">
        <w:rPr>
          <w:rFonts w:asciiTheme="majorHAnsi" w:hAnsiTheme="majorHAnsi"/>
        </w:rPr>
        <w:t>18 hay una preferencia por los r</w:t>
      </w:r>
      <w:r w:rsidRPr="00613B2C">
        <w:rPr>
          <w:rFonts w:asciiTheme="majorHAnsi" w:hAnsiTheme="majorHAnsi"/>
        </w:rPr>
        <w:t>etir</w:t>
      </w:r>
      <w:r w:rsidR="006643B9">
        <w:rPr>
          <w:rFonts w:asciiTheme="majorHAnsi" w:hAnsiTheme="majorHAnsi"/>
        </w:rPr>
        <w:t>os p</w:t>
      </w:r>
      <w:r w:rsidRPr="00613B2C">
        <w:rPr>
          <w:rFonts w:asciiTheme="majorHAnsi" w:hAnsiTheme="majorHAnsi"/>
        </w:rPr>
        <w:t>rogramados.</w:t>
      </w:r>
    </w:p>
    <w:p w14:paraId="0E0516C5" w14:textId="77777777" w:rsidR="007D0BC7" w:rsidRPr="00613B2C" w:rsidRDefault="007D0BC7" w:rsidP="00772349">
      <w:pPr>
        <w:pStyle w:val="Ttulo2"/>
      </w:pPr>
      <w:r w:rsidRPr="00613B2C">
        <w:t>Cambios de Modalidad</w:t>
      </w:r>
    </w:p>
    <w:p w14:paraId="744729DA" w14:textId="3E9D251D" w:rsidR="00812D4C" w:rsidRPr="00812D4C" w:rsidRDefault="007D0BC7" w:rsidP="00812D4C">
      <w:pPr>
        <w:jc w:val="both"/>
        <w:rPr>
          <w:rFonts w:asciiTheme="majorHAnsi" w:hAnsiTheme="majorHAnsi"/>
        </w:rPr>
      </w:pPr>
      <w:r w:rsidRPr="00613B2C">
        <w:rPr>
          <w:rFonts w:asciiTheme="majorHAnsi" w:hAnsiTheme="majorHAnsi"/>
        </w:rPr>
        <w:t>Los cambios de entidad, conocidos como libre transferencia, en el caso de beneficios pueden tener dos formas, cambio de gestor con el mismo producto, o cambio de gestor con distinto producto. Las libres transferencias entre entidades son poco comunes</w:t>
      </w:r>
      <w:r w:rsidR="00374049">
        <w:rPr>
          <w:rFonts w:asciiTheme="majorHAnsi" w:hAnsiTheme="majorHAnsi"/>
        </w:rPr>
        <w:t xml:space="preserve"> dentro de los planes de beneficio</w:t>
      </w:r>
      <w:r w:rsidRPr="00613B2C">
        <w:rPr>
          <w:rFonts w:asciiTheme="majorHAnsi" w:hAnsiTheme="majorHAnsi"/>
        </w:rPr>
        <w:t>. En los casi nueve años de existencia de las pensiones complementarias ha habido 3</w:t>
      </w:r>
      <w:r w:rsidR="00A264F8">
        <w:rPr>
          <w:rFonts w:asciiTheme="majorHAnsi" w:hAnsiTheme="majorHAnsi"/>
        </w:rPr>
        <w:t xml:space="preserve">7 cambios de entidad, 30 manteniendo la </w:t>
      </w:r>
      <w:r w:rsidRPr="00613B2C">
        <w:rPr>
          <w:rFonts w:asciiTheme="majorHAnsi" w:hAnsiTheme="majorHAnsi"/>
        </w:rPr>
        <w:t>misma modalidad y 7 con cambio</w:t>
      </w:r>
      <w:r w:rsidR="00A264F8">
        <w:rPr>
          <w:rFonts w:asciiTheme="majorHAnsi" w:hAnsiTheme="majorHAnsi"/>
        </w:rPr>
        <w:t xml:space="preserve"> de esta</w:t>
      </w:r>
      <w:r w:rsidRPr="00613B2C">
        <w:rPr>
          <w:rFonts w:asciiTheme="majorHAnsi" w:hAnsiTheme="majorHAnsi"/>
        </w:rPr>
        <w:t xml:space="preserve">. </w:t>
      </w:r>
      <w:r w:rsidR="00A264F8">
        <w:rPr>
          <w:rFonts w:asciiTheme="majorHAnsi" w:hAnsiTheme="majorHAnsi"/>
        </w:rPr>
        <w:t>Por otra parte, se ha observado mayores cambios de</w:t>
      </w:r>
      <w:r w:rsidRPr="00613B2C">
        <w:rPr>
          <w:rFonts w:asciiTheme="majorHAnsi" w:hAnsiTheme="majorHAnsi"/>
        </w:rPr>
        <w:t xml:space="preserve"> modalidad a lo interno del mismo gestor. En este caso se han dado a lo largo de la historia 201 cambios de modalidad. Sobresale BCR Pensión como la entidad quien maneja el 70% de los cambios de modalidad, 75% si sólo se considera el 2018.</w:t>
      </w:r>
    </w:p>
    <w:p w14:paraId="525EF528" w14:textId="282EDF94" w:rsidR="00BD22B3" w:rsidRPr="00613B2C" w:rsidRDefault="00BD22B3" w:rsidP="00BD22B3">
      <w:pPr>
        <w:jc w:val="center"/>
        <w:rPr>
          <w:rFonts w:asciiTheme="majorHAnsi" w:hAnsiTheme="majorHAnsi"/>
        </w:rPr>
      </w:pPr>
      <w:r>
        <w:rPr>
          <w:rFonts w:asciiTheme="majorHAnsi" w:hAnsiTheme="majorHAnsi"/>
        </w:rPr>
        <w:t>Cuadro 11</w:t>
      </w:r>
    </w:p>
    <w:bookmarkStart w:id="10" w:name="_MON_1600754045"/>
    <w:bookmarkEnd w:id="10"/>
    <w:p w14:paraId="2E96B75F" w14:textId="4159BB65" w:rsidR="007D0BC7" w:rsidRPr="00374049" w:rsidRDefault="00400410" w:rsidP="00374049">
      <w:pPr>
        <w:jc w:val="center"/>
        <w:rPr>
          <w:rFonts w:asciiTheme="majorHAnsi" w:hAnsiTheme="majorHAnsi"/>
        </w:rPr>
      </w:pPr>
      <w:r w:rsidRPr="00613B2C">
        <w:rPr>
          <w:rFonts w:asciiTheme="majorHAnsi" w:hAnsiTheme="majorHAnsi"/>
          <w:sz w:val="28"/>
        </w:rPr>
        <w:object w:dxaOrig="9145" w:dyaOrig="3587" w14:anchorId="06FDE001">
          <v:shape id="_x0000_i1033" type="#_x0000_t75" style="width:266.25pt;height:105pt" o:ole="">
            <v:imagedata r:id="rId36" o:title=""/>
          </v:shape>
          <o:OLEObject Type="Embed" ProgID="Excel.Sheet.12" ShapeID="_x0000_i1033" DrawAspect="Content" ObjectID="_1610970913" r:id="rId37"/>
        </w:object>
      </w:r>
    </w:p>
    <w:p w14:paraId="758BC1A5" w14:textId="176C3E17" w:rsidR="007D0BC7" w:rsidRPr="00613B2C" w:rsidRDefault="007D0BC7" w:rsidP="007D0BC7">
      <w:pPr>
        <w:pStyle w:val="Ttulo"/>
      </w:pPr>
      <w:r w:rsidRPr="00613B2C">
        <w:t>Libre transferencia</w:t>
      </w:r>
    </w:p>
    <w:p w14:paraId="0D90C517" w14:textId="77777777" w:rsidR="007D0BC7" w:rsidRPr="00613B2C" w:rsidRDefault="007D0BC7" w:rsidP="007D0BC7">
      <w:pPr>
        <w:spacing w:after="0" w:line="240" w:lineRule="auto"/>
        <w:jc w:val="both"/>
        <w:rPr>
          <w:rFonts w:asciiTheme="majorHAnsi" w:hAnsiTheme="majorHAnsi"/>
        </w:rPr>
      </w:pPr>
    </w:p>
    <w:p w14:paraId="05E5B76F" w14:textId="306E546A" w:rsidR="007D0BC7" w:rsidRPr="00613B2C" w:rsidRDefault="007D0BC7" w:rsidP="007D0BC7">
      <w:pPr>
        <w:spacing w:after="0" w:line="240" w:lineRule="auto"/>
        <w:jc w:val="both"/>
        <w:rPr>
          <w:rFonts w:asciiTheme="majorHAnsi" w:hAnsiTheme="majorHAnsi"/>
        </w:rPr>
      </w:pPr>
      <w:r w:rsidRPr="00613B2C">
        <w:rPr>
          <w:rFonts w:asciiTheme="majorHAnsi" w:hAnsiTheme="majorHAnsi"/>
        </w:rPr>
        <w:t xml:space="preserve">La aplicación de libre transferencia entre entidades ha tenido diferentes reglas a lo largo del tiempo. El principal cambio se da a partir del 2013 cuando se pasa a un procedimiento de solicitud de transferencia en que el afiliado debe presentarse en la entidad origen (quien administra sus recursos) y solicitar en cambio de entidad y no en la entidad destino (con la que quiere que administre sus recursos). De igual forma, el cambio puede </w:t>
      </w:r>
      <w:r w:rsidR="008A5C96">
        <w:rPr>
          <w:rFonts w:asciiTheme="majorHAnsi" w:hAnsiTheme="majorHAnsi"/>
        </w:rPr>
        <w:t>solicitarse</w:t>
      </w:r>
      <w:r w:rsidRPr="00613B2C">
        <w:rPr>
          <w:rFonts w:asciiTheme="majorHAnsi" w:hAnsiTheme="majorHAnsi"/>
        </w:rPr>
        <w:t xml:space="preserve"> por medio de SICERE de manera electrónica. Con este cambio se dio una disminución considerable en la cantidad de traslados entre entidades. Esta medida ha pretendido dar la posibilidad a la entidad origen de asesorar al afiliado y pedirle que reflexione su decisión. En la práctica este cambio hizo que la cantidad de libres transferencias se redujeran. La cantidad de afiliados que han ejercido su derecho a la libre transferencia disminuyó a partir del 2012 de 197.340 movimientos anuales a 17.924 un año después.</w:t>
      </w:r>
    </w:p>
    <w:p w14:paraId="58BADA04" w14:textId="77777777" w:rsidR="007D0BC7" w:rsidRPr="00613B2C" w:rsidRDefault="007D0BC7" w:rsidP="007D0BC7">
      <w:pPr>
        <w:spacing w:after="0" w:line="240" w:lineRule="auto"/>
        <w:jc w:val="both"/>
        <w:rPr>
          <w:rFonts w:asciiTheme="majorHAnsi" w:hAnsiTheme="majorHAnsi"/>
        </w:rPr>
      </w:pPr>
    </w:p>
    <w:p w14:paraId="134AAA3E" w14:textId="39AB5A04" w:rsidR="00374049" w:rsidRDefault="007D0BC7" w:rsidP="007D0BC7">
      <w:pPr>
        <w:spacing w:after="0" w:line="240" w:lineRule="auto"/>
        <w:jc w:val="both"/>
        <w:rPr>
          <w:rFonts w:asciiTheme="majorHAnsi" w:hAnsiTheme="majorHAnsi"/>
        </w:rPr>
      </w:pPr>
      <w:r w:rsidRPr="00613B2C">
        <w:rPr>
          <w:rFonts w:asciiTheme="majorHAnsi" w:hAnsiTheme="majorHAnsi"/>
        </w:rPr>
        <w:t xml:space="preserve">Si se analiza los movimientos según el sexo, del total de personas que han </w:t>
      </w:r>
      <w:r w:rsidR="00B23ABA">
        <w:rPr>
          <w:rFonts w:asciiTheme="majorHAnsi" w:hAnsiTheme="majorHAnsi"/>
        </w:rPr>
        <w:t>hecho libre transferencia el 38,</w:t>
      </w:r>
      <w:r w:rsidRPr="00613B2C">
        <w:rPr>
          <w:rFonts w:asciiTheme="majorHAnsi" w:hAnsiTheme="majorHAnsi"/>
        </w:rPr>
        <w:t>63% son muje</w:t>
      </w:r>
      <w:r w:rsidR="00374049">
        <w:rPr>
          <w:rFonts w:asciiTheme="majorHAnsi" w:hAnsiTheme="majorHAnsi"/>
        </w:rPr>
        <w:t>res, porcentaje muy similar a la proporción de cuentas de mujeres en el ROP</w:t>
      </w:r>
      <w:r w:rsidRPr="00613B2C">
        <w:rPr>
          <w:rFonts w:asciiTheme="majorHAnsi" w:hAnsiTheme="majorHAnsi"/>
        </w:rPr>
        <w:t xml:space="preserve"> 36,74%. </w:t>
      </w:r>
      <w:r w:rsidR="00374049">
        <w:rPr>
          <w:rFonts w:asciiTheme="majorHAnsi" w:hAnsiTheme="majorHAnsi"/>
        </w:rPr>
        <w:t>En relación con el monto trasladado, los recursos de mujeres representan</w:t>
      </w:r>
      <w:r w:rsidRPr="00613B2C">
        <w:rPr>
          <w:rFonts w:asciiTheme="majorHAnsi" w:hAnsiTheme="majorHAnsi"/>
        </w:rPr>
        <w:t xml:space="preserve"> el 34,16% del monto total </w:t>
      </w:r>
      <w:r w:rsidR="00374049">
        <w:rPr>
          <w:rFonts w:asciiTheme="majorHAnsi" w:hAnsiTheme="majorHAnsi"/>
        </w:rPr>
        <w:t>por libre transferencia.</w:t>
      </w:r>
    </w:p>
    <w:p w14:paraId="7AE7D966" w14:textId="77777777" w:rsidR="00812D4C" w:rsidRDefault="00812D4C" w:rsidP="00812D4C">
      <w:pPr>
        <w:spacing w:after="0" w:line="240" w:lineRule="auto"/>
        <w:jc w:val="both"/>
        <w:rPr>
          <w:rFonts w:asciiTheme="majorHAnsi" w:hAnsiTheme="majorHAnsi"/>
        </w:rPr>
      </w:pPr>
    </w:p>
    <w:p w14:paraId="2CBE2E88" w14:textId="77777777" w:rsidR="00400410" w:rsidRDefault="00400410" w:rsidP="00812D4C">
      <w:pPr>
        <w:spacing w:after="0" w:line="240" w:lineRule="auto"/>
        <w:jc w:val="both"/>
        <w:rPr>
          <w:rFonts w:asciiTheme="majorHAnsi" w:hAnsiTheme="majorHAnsi"/>
        </w:rPr>
      </w:pPr>
    </w:p>
    <w:p w14:paraId="3E0528A6" w14:textId="77777777" w:rsidR="00400410" w:rsidRPr="00812D4C" w:rsidRDefault="00400410" w:rsidP="00812D4C">
      <w:pPr>
        <w:spacing w:after="0" w:line="240" w:lineRule="auto"/>
        <w:jc w:val="both"/>
        <w:rPr>
          <w:rFonts w:asciiTheme="majorHAnsi" w:hAnsiTheme="majorHAnsi"/>
        </w:rPr>
      </w:pPr>
    </w:p>
    <w:p w14:paraId="31CADFD2" w14:textId="75A63729" w:rsidR="009D2E2C" w:rsidRPr="009D2E2C" w:rsidRDefault="00BD22B3" w:rsidP="009D2E2C">
      <w:pPr>
        <w:spacing w:after="0" w:line="240" w:lineRule="auto"/>
        <w:jc w:val="center"/>
        <w:rPr>
          <w:rFonts w:asciiTheme="majorHAnsi" w:hAnsiTheme="majorHAnsi"/>
        </w:rPr>
      </w:pPr>
      <w:r>
        <w:rPr>
          <w:rFonts w:asciiTheme="majorHAnsi" w:hAnsiTheme="majorHAnsi"/>
        </w:rPr>
        <w:lastRenderedPageBreak/>
        <w:t>Cuadro 12</w:t>
      </w:r>
    </w:p>
    <w:p w14:paraId="7D81705A" w14:textId="5FF7C0C4" w:rsidR="00E66A40" w:rsidRDefault="00E66A40" w:rsidP="00BD22B3">
      <w:pPr>
        <w:spacing w:after="0" w:line="240" w:lineRule="auto"/>
        <w:jc w:val="center"/>
        <w:rPr>
          <w:rFonts w:asciiTheme="majorHAnsi" w:hAnsiTheme="majorHAnsi"/>
        </w:rPr>
      </w:pPr>
      <w:r>
        <w:rPr>
          <w:rFonts w:asciiTheme="majorHAnsi" w:hAnsiTheme="majorHAnsi"/>
        </w:rPr>
        <w:t>Libre Transferencia por Edad</w:t>
      </w:r>
    </w:p>
    <w:p w14:paraId="3EAAF9A4" w14:textId="02049268" w:rsidR="00374049" w:rsidRPr="00613B2C" w:rsidRDefault="00AC478D" w:rsidP="00BD22B3">
      <w:pPr>
        <w:spacing w:after="0" w:line="240" w:lineRule="auto"/>
        <w:jc w:val="center"/>
        <w:rPr>
          <w:rFonts w:asciiTheme="majorHAnsi" w:hAnsiTheme="majorHAnsi"/>
        </w:rPr>
      </w:pPr>
      <w:r>
        <w:rPr>
          <w:rFonts w:asciiTheme="majorHAnsi" w:hAnsiTheme="majorHAnsi"/>
        </w:rPr>
        <w:t>Ene-</w:t>
      </w:r>
      <w:r w:rsidR="00374049">
        <w:rPr>
          <w:rFonts w:asciiTheme="majorHAnsi" w:hAnsiTheme="majorHAnsi"/>
        </w:rPr>
        <w:t>Set 2018</w:t>
      </w:r>
    </w:p>
    <w:tbl>
      <w:tblPr>
        <w:tblW w:w="7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0"/>
        <w:gridCol w:w="1560"/>
        <w:gridCol w:w="900"/>
        <w:gridCol w:w="980"/>
        <w:gridCol w:w="1120"/>
      </w:tblGrid>
      <w:tr w:rsidR="000A417E" w:rsidRPr="00613B2C" w14:paraId="7A9C767B" w14:textId="77777777" w:rsidTr="4133685B">
        <w:trPr>
          <w:trHeight w:val="315"/>
          <w:jc w:val="center"/>
        </w:trPr>
        <w:tc>
          <w:tcPr>
            <w:tcW w:w="3100" w:type="dxa"/>
            <w:shd w:val="clear" w:color="auto" w:fill="auto"/>
            <w:noWrap/>
            <w:vAlign w:val="bottom"/>
            <w:hideMark/>
          </w:tcPr>
          <w:p w14:paraId="3271B762" w14:textId="77777777" w:rsidR="000A417E" w:rsidRPr="00613B2C" w:rsidRDefault="000A417E" w:rsidP="00850B12">
            <w:pPr>
              <w:spacing w:after="0" w:line="240" w:lineRule="auto"/>
              <w:rPr>
                <w:rFonts w:asciiTheme="majorHAnsi" w:eastAsia="Times New Roman" w:hAnsiTheme="majorHAnsi" w:cs="Times New Roman"/>
                <w:sz w:val="24"/>
                <w:szCs w:val="24"/>
                <w:lang w:val="es-CR" w:eastAsia="es-CR"/>
              </w:rPr>
            </w:pPr>
          </w:p>
        </w:tc>
        <w:tc>
          <w:tcPr>
            <w:tcW w:w="1560" w:type="dxa"/>
            <w:shd w:val="clear" w:color="auto" w:fill="FFFFFF" w:themeFill="background1"/>
            <w:noWrap/>
            <w:vAlign w:val="bottom"/>
            <w:hideMark/>
          </w:tcPr>
          <w:p w14:paraId="4F95008B" w14:textId="77777777" w:rsidR="000A417E" w:rsidRPr="00613B2C" w:rsidRDefault="000A417E" w:rsidP="00850B12">
            <w:pPr>
              <w:spacing w:after="0" w:line="240" w:lineRule="auto"/>
              <w:jc w:val="center"/>
              <w:rPr>
                <w:rFonts w:asciiTheme="majorHAnsi" w:eastAsia="Times New Roman" w:hAnsiTheme="majorHAnsi" w:cs="Calibri"/>
                <w:b/>
                <w:bCs/>
                <w:color w:val="000000"/>
                <w:lang w:val="es-CR" w:eastAsia="es-CR"/>
              </w:rPr>
            </w:pPr>
            <w:r w:rsidRPr="00613B2C">
              <w:rPr>
                <w:rFonts w:asciiTheme="majorHAnsi" w:eastAsia="Times New Roman" w:hAnsiTheme="majorHAnsi" w:cs="Calibri"/>
                <w:b/>
                <w:bCs/>
                <w:color w:val="000000"/>
                <w:lang w:val="es-CR" w:eastAsia="es-CR"/>
              </w:rPr>
              <w:t>&lt;30</w:t>
            </w:r>
          </w:p>
        </w:tc>
        <w:tc>
          <w:tcPr>
            <w:tcW w:w="900" w:type="dxa"/>
            <w:shd w:val="clear" w:color="auto" w:fill="FFFFFF" w:themeFill="background1"/>
            <w:noWrap/>
            <w:vAlign w:val="bottom"/>
            <w:hideMark/>
          </w:tcPr>
          <w:p w14:paraId="2242BB73" w14:textId="77777777" w:rsidR="000A417E" w:rsidRPr="00613B2C" w:rsidRDefault="000A417E" w:rsidP="00850B12">
            <w:pPr>
              <w:spacing w:after="0" w:line="240" w:lineRule="auto"/>
              <w:jc w:val="center"/>
              <w:rPr>
                <w:rFonts w:asciiTheme="majorHAnsi" w:eastAsia="Times New Roman" w:hAnsiTheme="majorHAnsi" w:cs="Calibri"/>
                <w:b/>
                <w:bCs/>
                <w:color w:val="000000"/>
                <w:lang w:val="es-CR" w:eastAsia="es-CR"/>
              </w:rPr>
            </w:pPr>
            <w:r w:rsidRPr="00613B2C">
              <w:rPr>
                <w:rFonts w:asciiTheme="majorHAnsi" w:eastAsia="Times New Roman" w:hAnsiTheme="majorHAnsi" w:cs="Calibri"/>
                <w:b/>
                <w:bCs/>
                <w:color w:val="000000"/>
                <w:lang w:val="es-CR" w:eastAsia="es-CR"/>
              </w:rPr>
              <w:t>30-44</w:t>
            </w:r>
          </w:p>
        </w:tc>
        <w:tc>
          <w:tcPr>
            <w:tcW w:w="980" w:type="dxa"/>
            <w:shd w:val="clear" w:color="auto" w:fill="FFFFFF" w:themeFill="background1"/>
            <w:noWrap/>
            <w:vAlign w:val="bottom"/>
            <w:hideMark/>
          </w:tcPr>
          <w:p w14:paraId="751DF447" w14:textId="77777777" w:rsidR="000A417E" w:rsidRPr="00613B2C" w:rsidRDefault="000A417E" w:rsidP="00850B12">
            <w:pPr>
              <w:spacing w:after="0" w:line="240" w:lineRule="auto"/>
              <w:jc w:val="center"/>
              <w:rPr>
                <w:rFonts w:asciiTheme="majorHAnsi" w:eastAsia="Times New Roman" w:hAnsiTheme="majorHAnsi" w:cs="Calibri"/>
                <w:b/>
                <w:bCs/>
                <w:color w:val="000000"/>
                <w:lang w:val="es-CR" w:eastAsia="es-CR"/>
              </w:rPr>
            </w:pPr>
            <w:r w:rsidRPr="00613B2C">
              <w:rPr>
                <w:rFonts w:asciiTheme="majorHAnsi" w:eastAsia="Times New Roman" w:hAnsiTheme="majorHAnsi" w:cs="Calibri"/>
                <w:b/>
                <w:bCs/>
                <w:color w:val="000000"/>
                <w:lang w:val="es-CR" w:eastAsia="es-CR"/>
              </w:rPr>
              <w:t>45-59</w:t>
            </w:r>
          </w:p>
        </w:tc>
        <w:tc>
          <w:tcPr>
            <w:tcW w:w="1120" w:type="dxa"/>
            <w:shd w:val="clear" w:color="auto" w:fill="FFFFFF" w:themeFill="background1"/>
            <w:noWrap/>
            <w:vAlign w:val="bottom"/>
            <w:hideMark/>
          </w:tcPr>
          <w:p w14:paraId="19314F44" w14:textId="77777777" w:rsidR="000A417E" w:rsidRPr="00613B2C" w:rsidRDefault="000A417E" w:rsidP="00850B12">
            <w:pPr>
              <w:spacing w:after="0" w:line="240" w:lineRule="auto"/>
              <w:jc w:val="center"/>
              <w:rPr>
                <w:rFonts w:asciiTheme="majorHAnsi" w:eastAsia="Times New Roman" w:hAnsiTheme="majorHAnsi" w:cs="Calibri"/>
                <w:b/>
                <w:bCs/>
                <w:color w:val="000000"/>
                <w:lang w:val="es-CR" w:eastAsia="es-CR"/>
              </w:rPr>
            </w:pPr>
            <w:r w:rsidRPr="00613B2C">
              <w:rPr>
                <w:rFonts w:asciiTheme="majorHAnsi" w:eastAsia="Times New Roman" w:hAnsiTheme="majorHAnsi" w:cs="Calibri"/>
                <w:b/>
                <w:bCs/>
                <w:color w:val="000000"/>
                <w:lang w:val="es-CR" w:eastAsia="es-CR"/>
              </w:rPr>
              <w:t>&gt;=60</w:t>
            </w:r>
          </w:p>
        </w:tc>
      </w:tr>
      <w:tr w:rsidR="000A417E" w:rsidRPr="00613B2C" w14:paraId="69180B3F" w14:textId="77777777" w:rsidTr="4133685B">
        <w:trPr>
          <w:trHeight w:val="300"/>
          <w:jc w:val="center"/>
        </w:trPr>
        <w:tc>
          <w:tcPr>
            <w:tcW w:w="3100" w:type="dxa"/>
            <w:shd w:val="clear" w:color="auto" w:fill="auto"/>
            <w:noWrap/>
            <w:vAlign w:val="bottom"/>
            <w:hideMark/>
          </w:tcPr>
          <w:p w14:paraId="5F7A3F3F" w14:textId="1FB82AC7" w:rsidR="000A417E" w:rsidRPr="00613B2C" w:rsidRDefault="000A417E" w:rsidP="00850B12">
            <w:pPr>
              <w:spacing w:after="0" w:line="240" w:lineRule="auto"/>
              <w:rPr>
                <w:rFonts w:asciiTheme="majorHAnsi" w:eastAsia="Times New Roman" w:hAnsiTheme="majorHAnsi" w:cs="Calibri"/>
                <w:color w:val="000000"/>
                <w:lang w:val="es-CR" w:eastAsia="es-CR"/>
              </w:rPr>
            </w:pPr>
            <w:r>
              <w:rPr>
                <w:rFonts w:asciiTheme="majorHAnsi" w:eastAsia="Times New Roman" w:hAnsiTheme="majorHAnsi" w:cs="Calibri"/>
                <w:color w:val="000000"/>
                <w:lang w:val="es-CR" w:eastAsia="es-CR"/>
              </w:rPr>
              <w:t>Distribución por edad</w:t>
            </w:r>
          </w:p>
        </w:tc>
        <w:tc>
          <w:tcPr>
            <w:tcW w:w="1560" w:type="dxa"/>
            <w:shd w:val="clear" w:color="auto" w:fill="auto"/>
            <w:noWrap/>
            <w:vAlign w:val="bottom"/>
            <w:hideMark/>
          </w:tcPr>
          <w:p w14:paraId="6FD949BF" w14:textId="77777777" w:rsidR="000A417E" w:rsidRPr="00613B2C" w:rsidRDefault="000A417E" w:rsidP="00850B12">
            <w:pPr>
              <w:spacing w:after="0" w:line="240" w:lineRule="auto"/>
              <w:jc w:val="right"/>
              <w:rPr>
                <w:rFonts w:asciiTheme="majorHAnsi" w:eastAsia="Times New Roman" w:hAnsiTheme="majorHAnsi" w:cs="Calibri"/>
                <w:color w:val="000000"/>
                <w:lang w:val="es-CR" w:eastAsia="es-CR"/>
              </w:rPr>
            </w:pPr>
            <w:r w:rsidRPr="00613B2C">
              <w:rPr>
                <w:rFonts w:asciiTheme="majorHAnsi" w:eastAsia="Times New Roman" w:hAnsiTheme="majorHAnsi" w:cs="Calibri"/>
                <w:color w:val="000000"/>
                <w:lang w:val="es-CR" w:eastAsia="es-CR"/>
              </w:rPr>
              <w:t>33,68%</w:t>
            </w:r>
          </w:p>
        </w:tc>
        <w:tc>
          <w:tcPr>
            <w:tcW w:w="900" w:type="dxa"/>
            <w:shd w:val="clear" w:color="auto" w:fill="auto"/>
            <w:noWrap/>
            <w:vAlign w:val="bottom"/>
            <w:hideMark/>
          </w:tcPr>
          <w:p w14:paraId="7DEF19DF" w14:textId="77777777" w:rsidR="000A417E" w:rsidRPr="00613B2C" w:rsidRDefault="000A417E" w:rsidP="00850B12">
            <w:pPr>
              <w:spacing w:after="0" w:line="240" w:lineRule="auto"/>
              <w:jc w:val="right"/>
              <w:rPr>
                <w:rFonts w:asciiTheme="majorHAnsi" w:eastAsia="Times New Roman" w:hAnsiTheme="majorHAnsi" w:cs="Calibri"/>
                <w:color w:val="000000"/>
                <w:lang w:val="es-CR" w:eastAsia="es-CR"/>
              </w:rPr>
            </w:pPr>
            <w:r w:rsidRPr="00613B2C">
              <w:rPr>
                <w:rFonts w:asciiTheme="majorHAnsi" w:eastAsia="Times New Roman" w:hAnsiTheme="majorHAnsi" w:cs="Calibri"/>
                <w:color w:val="000000"/>
                <w:lang w:val="es-CR" w:eastAsia="es-CR"/>
              </w:rPr>
              <w:t>39,65%</w:t>
            </w:r>
          </w:p>
        </w:tc>
        <w:tc>
          <w:tcPr>
            <w:tcW w:w="980" w:type="dxa"/>
            <w:shd w:val="clear" w:color="auto" w:fill="auto"/>
            <w:noWrap/>
            <w:vAlign w:val="bottom"/>
            <w:hideMark/>
          </w:tcPr>
          <w:p w14:paraId="58C07905" w14:textId="77777777" w:rsidR="000A417E" w:rsidRPr="00613B2C" w:rsidRDefault="000A417E" w:rsidP="00850B12">
            <w:pPr>
              <w:spacing w:after="0" w:line="240" w:lineRule="auto"/>
              <w:jc w:val="right"/>
              <w:rPr>
                <w:rFonts w:asciiTheme="majorHAnsi" w:eastAsia="Times New Roman" w:hAnsiTheme="majorHAnsi" w:cs="Calibri"/>
                <w:color w:val="000000"/>
                <w:lang w:val="es-CR" w:eastAsia="es-CR"/>
              </w:rPr>
            </w:pPr>
            <w:r w:rsidRPr="00613B2C">
              <w:rPr>
                <w:rFonts w:asciiTheme="majorHAnsi" w:eastAsia="Times New Roman" w:hAnsiTheme="majorHAnsi" w:cs="Calibri"/>
                <w:color w:val="000000"/>
                <w:lang w:val="es-CR" w:eastAsia="es-CR"/>
              </w:rPr>
              <w:t>23,14%</w:t>
            </w:r>
          </w:p>
        </w:tc>
        <w:tc>
          <w:tcPr>
            <w:tcW w:w="1120" w:type="dxa"/>
            <w:shd w:val="clear" w:color="auto" w:fill="auto"/>
            <w:noWrap/>
            <w:vAlign w:val="bottom"/>
            <w:hideMark/>
          </w:tcPr>
          <w:p w14:paraId="6AEF9C24" w14:textId="77777777" w:rsidR="000A417E" w:rsidRPr="00613B2C" w:rsidRDefault="000A417E" w:rsidP="00850B12">
            <w:pPr>
              <w:spacing w:after="0" w:line="240" w:lineRule="auto"/>
              <w:jc w:val="right"/>
              <w:rPr>
                <w:rFonts w:asciiTheme="majorHAnsi" w:eastAsia="Times New Roman" w:hAnsiTheme="majorHAnsi" w:cs="Calibri"/>
                <w:color w:val="000000"/>
                <w:lang w:val="es-CR" w:eastAsia="es-CR"/>
              </w:rPr>
            </w:pPr>
            <w:r w:rsidRPr="00613B2C">
              <w:rPr>
                <w:rFonts w:asciiTheme="majorHAnsi" w:eastAsia="Times New Roman" w:hAnsiTheme="majorHAnsi" w:cs="Calibri"/>
                <w:color w:val="000000"/>
                <w:lang w:val="es-CR" w:eastAsia="es-CR"/>
              </w:rPr>
              <w:t>3,53%</w:t>
            </w:r>
          </w:p>
        </w:tc>
      </w:tr>
      <w:tr w:rsidR="000A417E" w:rsidRPr="00613B2C" w14:paraId="75ADDC20" w14:textId="77777777" w:rsidTr="4133685B">
        <w:trPr>
          <w:trHeight w:val="300"/>
          <w:jc w:val="center"/>
        </w:trPr>
        <w:tc>
          <w:tcPr>
            <w:tcW w:w="3100" w:type="dxa"/>
            <w:shd w:val="clear" w:color="auto" w:fill="auto"/>
            <w:noWrap/>
            <w:vAlign w:val="bottom"/>
            <w:hideMark/>
          </w:tcPr>
          <w:p w14:paraId="5A74691F" w14:textId="77777777" w:rsidR="000A417E" w:rsidRPr="00613B2C" w:rsidRDefault="000A417E" w:rsidP="00850B12">
            <w:pPr>
              <w:spacing w:after="0" w:line="240" w:lineRule="auto"/>
              <w:rPr>
                <w:rFonts w:asciiTheme="majorHAnsi" w:eastAsia="Times New Roman" w:hAnsiTheme="majorHAnsi" w:cs="Calibri"/>
                <w:color w:val="000000"/>
                <w:lang w:val="es-CR" w:eastAsia="es-CR"/>
              </w:rPr>
            </w:pPr>
            <w:r w:rsidRPr="00613B2C">
              <w:rPr>
                <w:rFonts w:asciiTheme="majorHAnsi" w:eastAsia="Times New Roman" w:hAnsiTheme="majorHAnsi" w:cs="Calibri"/>
                <w:color w:val="000000"/>
                <w:lang w:val="es-CR" w:eastAsia="es-CR"/>
              </w:rPr>
              <w:t>Cantidad de movimientos</w:t>
            </w:r>
          </w:p>
        </w:tc>
        <w:tc>
          <w:tcPr>
            <w:tcW w:w="1560" w:type="dxa"/>
            <w:shd w:val="clear" w:color="auto" w:fill="auto"/>
            <w:noWrap/>
            <w:vAlign w:val="bottom"/>
            <w:hideMark/>
          </w:tcPr>
          <w:p w14:paraId="3EF1A00E" w14:textId="77777777" w:rsidR="000A417E" w:rsidRPr="00613B2C" w:rsidRDefault="000A417E" w:rsidP="00850B12">
            <w:pPr>
              <w:spacing w:after="0" w:line="240" w:lineRule="auto"/>
              <w:jc w:val="right"/>
              <w:rPr>
                <w:rFonts w:asciiTheme="majorHAnsi" w:eastAsia="Times New Roman" w:hAnsiTheme="majorHAnsi" w:cs="Calibri"/>
                <w:color w:val="000000"/>
                <w:lang w:val="es-CR" w:eastAsia="es-CR"/>
              </w:rPr>
            </w:pPr>
            <w:r w:rsidRPr="00613B2C">
              <w:rPr>
                <w:rFonts w:asciiTheme="majorHAnsi" w:eastAsia="Times New Roman" w:hAnsiTheme="majorHAnsi" w:cs="Calibri"/>
                <w:color w:val="000000"/>
                <w:lang w:val="es-CR" w:eastAsia="es-CR"/>
              </w:rPr>
              <w:t>26,05%</w:t>
            </w:r>
          </w:p>
        </w:tc>
        <w:tc>
          <w:tcPr>
            <w:tcW w:w="900" w:type="dxa"/>
            <w:shd w:val="clear" w:color="auto" w:fill="auto"/>
            <w:noWrap/>
            <w:vAlign w:val="bottom"/>
            <w:hideMark/>
          </w:tcPr>
          <w:p w14:paraId="5696121A" w14:textId="77777777" w:rsidR="000A417E" w:rsidRPr="00613B2C" w:rsidRDefault="000A417E" w:rsidP="00850B12">
            <w:pPr>
              <w:spacing w:after="0" w:line="240" w:lineRule="auto"/>
              <w:jc w:val="right"/>
              <w:rPr>
                <w:rFonts w:asciiTheme="majorHAnsi" w:eastAsia="Times New Roman" w:hAnsiTheme="majorHAnsi" w:cs="Calibri"/>
                <w:color w:val="000000"/>
                <w:lang w:val="es-CR" w:eastAsia="es-CR"/>
              </w:rPr>
            </w:pPr>
            <w:r w:rsidRPr="00613B2C">
              <w:rPr>
                <w:rFonts w:asciiTheme="majorHAnsi" w:eastAsia="Times New Roman" w:hAnsiTheme="majorHAnsi" w:cs="Calibri"/>
                <w:color w:val="000000"/>
                <w:lang w:val="es-CR" w:eastAsia="es-CR"/>
              </w:rPr>
              <w:t>44,52%</w:t>
            </w:r>
          </w:p>
        </w:tc>
        <w:tc>
          <w:tcPr>
            <w:tcW w:w="980" w:type="dxa"/>
            <w:shd w:val="clear" w:color="auto" w:fill="auto"/>
            <w:noWrap/>
            <w:vAlign w:val="bottom"/>
            <w:hideMark/>
          </w:tcPr>
          <w:p w14:paraId="56414131" w14:textId="77777777" w:rsidR="000A417E" w:rsidRPr="00613B2C" w:rsidRDefault="000A417E" w:rsidP="00850B12">
            <w:pPr>
              <w:spacing w:after="0" w:line="240" w:lineRule="auto"/>
              <w:jc w:val="right"/>
              <w:rPr>
                <w:rFonts w:asciiTheme="majorHAnsi" w:eastAsia="Times New Roman" w:hAnsiTheme="majorHAnsi" w:cs="Calibri"/>
                <w:color w:val="000000"/>
                <w:lang w:val="es-CR" w:eastAsia="es-CR"/>
              </w:rPr>
            </w:pPr>
            <w:r w:rsidRPr="00613B2C">
              <w:rPr>
                <w:rFonts w:asciiTheme="majorHAnsi" w:eastAsia="Times New Roman" w:hAnsiTheme="majorHAnsi" w:cs="Calibri"/>
                <w:color w:val="000000"/>
                <w:lang w:val="es-CR" w:eastAsia="es-CR"/>
              </w:rPr>
              <w:t>25,95%</w:t>
            </w:r>
          </w:p>
        </w:tc>
        <w:tc>
          <w:tcPr>
            <w:tcW w:w="1120" w:type="dxa"/>
            <w:shd w:val="clear" w:color="auto" w:fill="auto"/>
            <w:noWrap/>
            <w:vAlign w:val="bottom"/>
            <w:hideMark/>
          </w:tcPr>
          <w:p w14:paraId="206ED529" w14:textId="77777777" w:rsidR="000A417E" w:rsidRPr="00613B2C" w:rsidRDefault="000A417E" w:rsidP="00850B12">
            <w:pPr>
              <w:spacing w:after="0" w:line="240" w:lineRule="auto"/>
              <w:jc w:val="right"/>
              <w:rPr>
                <w:rFonts w:asciiTheme="majorHAnsi" w:eastAsia="Times New Roman" w:hAnsiTheme="majorHAnsi" w:cs="Calibri"/>
                <w:color w:val="000000"/>
                <w:lang w:val="es-CR" w:eastAsia="es-CR"/>
              </w:rPr>
            </w:pPr>
            <w:r w:rsidRPr="00613B2C">
              <w:rPr>
                <w:rFonts w:asciiTheme="majorHAnsi" w:eastAsia="Times New Roman" w:hAnsiTheme="majorHAnsi" w:cs="Calibri"/>
                <w:color w:val="000000"/>
                <w:lang w:val="es-CR" w:eastAsia="es-CR"/>
              </w:rPr>
              <w:t>3,47%</w:t>
            </w:r>
          </w:p>
        </w:tc>
      </w:tr>
      <w:tr w:rsidR="000A417E" w:rsidRPr="00613B2C" w14:paraId="1BEE6552" w14:textId="77777777" w:rsidTr="4133685B">
        <w:trPr>
          <w:trHeight w:val="300"/>
          <w:jc w:val="center"/>
        </w:trPr>
        <w:tc>
          <w:tcPr>
            <w:tcW w:w="3100" w:type="dxa"/>
            <w:shd w:val="clear" w:color="auto" w:fill="auto"/>
            <w:noWrap/>
            <w:vAlign w:val="bottom"/>
            <w:hideMark/>
          </w:tcPr>
          <w:p w14:paraId="29E2A672" w14:textId="77777777" w:rsidR="000A417E" w:rsidRPr="00613B2C" w:rsidRDefault="000A417E" w:rsidP="00850B12">
            <w:pPr>
              <w:spacing w:after="0" w:line="240" w:lineRule="auto"/>
              <w:rPr>
                <w:rFonts w:asciiTheme="majorHAnsi" w:eastAsia="Times New Roman" w:hAnsiTheme="majorHAnsi" w:cs="Calibri"/>
                <w:color w:val="000000"/>
                <w:lang w:val="es-CR" w:eastAsia="es-CR"/>
              </w:rPr>
            </w:pPr>
            <w:r w:rsidRPr="00613B2C">
              <w:rPr>
                <w:rFonts w:asciiTheme="majorHAnsi" w:eastAsia="Times New Roman" w:hAnsiTheme="majorHAnsi" w:cs="Calibri"/>
                <w:color w:val="000000"/>
                <w:lang w:val="es-CR" w:eastAsia="es-CR"/>
              </w:rPr>
              <w:t>Monto de los movimientos</w:t>
            </w:r>
          </w:p>
        </w:tc>
        <w:tc>
          <w:tcPr>
            <w:tcW w:w="1560" w:type="dxa"/>
            <w:shd w:val="clear" w:color="auto" w:fill="auto"/>
            <w:noWrap/>
            <w:vAlign w:val="bottom"/>
            <w:hideMark/>
          </w:tcPr>
          <w:p w14:paraId="77182FC3" w14:textId="77777777" w:rsidR="000A417E" w:rsidRPr="00613B2C" w:rsidRDefault="000A417E" w:rsidP="00850B12">
            <w:pPr>
              <w:spacing w:after="0" w:line="240" w:lineRule="auto"/>
              <w:jc w:val="right"/>
              <w:rPr>
                <w:rFonts w:asciiTheme="majorHAnsi" w:eastAsia="Times New Roman" w:hAnsiTheme="majorHAnsi" w:cs="Calibri"/>
                <w:color w:val="000000"/>
                <w:lang w:val="es-CR" w:eastAsia="es-CR"/>
              </w:rPr>
            </w:pPr>
            <w:r w:rsidRPr="00613B2C">
              <w:rPr>
                <w:rFonts w:asciiTheme="majorHAnsi" w:eastAsia="Times New Roman" w:hAnsiTheme="majorHAnsi" w:cs="Calibri"/>
                <w:color w:val="000000"/>
                <w:lang w:val="es-CR" w:eastAsia="es-CR"/>
              </w:rPr>
              <w:t>4,91%</w:t>
            </w:r>
          </w:p>
        </w:tc>
        <w:tc>
          <w:tcPr>
            <w:tcW w:w="900" w:type="dxa"/>
            <w:shd w:val="clear" w:color="auto" w:fill="auto"/>
            <w:noWrap/>
            <w:vAlign w:val="bottom"/>
            <w:hideMark/>
          </w:tcPr>
          <w:p w14:paraId="75ED4F90" w14:textId="77777777" w:rsidR="000A417E" w:rsidRPr="00613B2C" w:rsidRDefault="000A417E" w:rsidP="00850B12">
            <w:pPr>
              <w:spacing w:after="0" w:line="240" w:lineRule="auto"/>
              <w:jc w:val="right"/>
              <w:rPr>
                <w:rFonts w:asciiTheme="majorHAnsi" w:eastAsia="Times New Roman" w:hAnsiTheme="majorHAnsi" w:cs="Calibri"/>
                <w:color w:val="000000"/>
                <w:lang w:val="es-CR" w:eastAsia="es-CR"/>
              </w:rPr>
            </w:pPr>
            <w:r w:rsidRPr="00613B2C">
              <w:rPr>
                <w:rFonts w:asciiTheme="majorHAnsi" w:eastAsia="Times New Roman" w:hAnsiTheme="majorHAnsi" w:cs="Calibri"/>
                <w:color w:val="000000"/>
                <w:lang w:val="es-CR" w:eastAsia="es-CR"/>
              </w:rPr>
              <w:t>41,35%</w:t>
            </w:r>
          </w:p>
        </w:tc>
        <w:tc>
          <w:tcPr>
            <w:tcW w:w="980" w:type="dxa"/>
            <w:shd w:val="clear" w:color="auto" w:fill="auto"/>
            <w:noWrap/>
            <w:vAlign w:val="bottom"/>
            <w:hideMark/>
          </w:tcPr>
          <w:p w14:paraId="2C122DBE" w14:textId="77777777" w:rsidR="000A417E" w:rsidRPr="00613B2C" w:rsidRDefault="000A417E" w:rsidP="00850B12">
            <w:pPr>
              <w:spacing w:after="0" w:line="240" w:lineRule="auto"/>
              <w:jc w:val="right"/>
              <w:rPr>
                <w:rFonts w:asciiTheme="majorHAnsi" w:eastAsia="Times New Roman" w:hAnsiTheme="majorHAnsi" w:cs="Calibri"/>
                <w:color w:val="000000"/>
                <w:lang w:val="es-CR" w:eastAsia="es-CR"/>
              </w:rPr>
            </w:pPr>
            <w:r w:rsidRPr="00613B2C">
              <w:rPr>
                <w:rFonts w:asciiTheme="majorHAnsi" w:eastAsia="Times New Roman" w:hAnsiTheme="majorHAnsi" w:cs="Calibri"/>
                <w:color w:val="000000"/>
                <w:lang w:val="es-CR" w:eastAsia="es-CR"/>
              </w:rPr>
              <w:t>45,99%</w:t>
            </w:r>
          </w:p>
        </w:tc>
        <w:tc>
          <w:tcPr>
            <w:tcW w:w="1120" w:type="dxa"/>
            <w:shd w:val="clear" w:color="auto" w:fill="auto"/>
            <w:noWrap/>
            <w:vAlign w:val="bottom"/>
            <w:hideMark/>
          </w:tcPr>
          <w:p w14:paraId="50719130" w14:textId="77777777" w:rsidR="000A417E" w:rsidRPr="00613B2C" w:rsidRDefault="000A417E" w:rsidP="00850B12">
            <w:pPr>
              <w:spacing w:after="0" w:line="240" w:lineRule="auto"/>
              <w:jc w:val="right"/>
              <w:rPr>
                <w:rFonts w:asciiTheme="majorHAnsi" w:eastAsia="Times New Roman" w:hAnsiTheme="majorHAnsi" w:cs="Calibri"/>
                <w:color w:val="000000"/>
                <w:lang w:val="es-CR" w:eastAsia="es-CR"/>
              </w:rPr>
            </w:pPr>
            <w:r w:rsidRPr="00613B2C">
              <w:rPr>
                <w:rFonts w:asciiTheme="majorHAnsi" w:eastAsia="Times New Roman" w:hAnsiTheme="majorHAnsi" w:cs="Calibri"/>
                <w:color w:val="000000"/>
                <w:lang w:val="es-CR" w:eastAsia="es-CR"/>
              </w:rPr>
              <w:t>7,75%</w:t>
            </w:r>
          </w:p>
        </w:tc>
      </w:tr>
    </w:tbl>
    <w:p w14:paraId="23B1B6BC" w14:textId="77777777" w:rsidR="007D0BC7" w:rsidRPr="00613B2C" w:rsidRDefault="007D0BC7" w:rsidP="007D0BC7">
      <w:pPr>
        <w:spacing w:after="0" w:line="240" w:lineRule="auto"/>
        <w:jc w:val="both"/>
        <w:rPr>
          <w:rFonts w:asciiTheme="majorHAnsi" w:hAnsiTheme="majorHAnsi"/>
        </w:rPr>
      </w:pPr>
    </w:p>
    <w:p w14:paraId="371E966B" w14:textId="77777777" w:rsidR="00772349" w:rsidRPr="00613B2C" w:rsidRDefault="00772349" w:rsidP="007D0BC7">
      <w:pPr>
        <w:spacing w:after="0" w:line="240" w:lineRule="auto"/>
        <w:jc w:val="both"/>
        <w:rPr>
          <w:rFonts w:asciiTheme="majorHAnsi" w:hAnsiTheme="majorHAnsi"/>
        </w:rPr>
      </w:pPr>
    </w:p>
    <w:p w14:paraId="73BC09C2" w14:textId="21D3CA7C" w:rsidR="007D0BC7" w:rsidRPr="00613B2C" w:rsidRDefault="00374049" w:rsidP="007D0BC7">
      <w:pPr>
        <w:spacing w:after="0" w:line="240" w:lineRule="auto"/>
        <w:jc w:val="both"/>
        <w:rPr>
          <w:rFonts w:asciiTheme="majorHAnsi" w:hAnsiTheme="majorHAnsi"/>
        </w:rPr>
      </w:pPr>
      <w:r>
        <w:rPr>
          <w:rFonts w:asciiTheme="majorHAnsi" w:hAnsiTheme="majorHAnsi"/>
        </w:rPr>
        <w:t xml:space="preserve">Analizando la libre transferencia </w:t>
      </w:r>
      <w:r w:rsidR="007D0BC7" w:rsidRPr="00613B2C">
        <w:rPr>
          <w:rFonts w:asciiTheme="majorHAnsi" w:hAnsiTheme="majorHAnsi"/>
        </w:rPr>
        <w:t>del ROP</w:t>
      </w:r>
      <w:r>
        <w:rPr>
          <w:rFonts w:asciiTheme="majorHAnsi" w:hAnsiTheme="majorHAnsi"/>
        </w:rPr>
        <w:t xml:space="preserve"> por grupo etario</w:t>
      </w:r>
      <w:r w:rsidR="007D0BC7" w:rsidRPr="00613B2C">
        <w:rPr>
          <w:rFonts w:asciiTheme="majorHAnsi" w:hAnsiTheme="majorHAnsi"/>
        </w:rPr>
        <w:t xml:space="preserve">, el grupo </w:t>
      </w:r>
      <w:r w:rsidR="003629D2">
        <w:rPr>
          <w:rFonts w:asciiTheme="majorHAnsi" w:hAnsiTheme="majorHAnsi"/>
        </w:rPr>
        <w:t xml:space="preserve">que más ejerce el derecho es el que abarca afiliados con edades </w:t>
      </w:r>
      <w:r w:rsidR="000A417E">
        <w:rPr>
          <w:rFonts w:asciiTheme="majorHAnsi" w:hAnsiTheme="majorHAnsi"/>
        </w:rPr>
        <w:t xml:space="preserve">entre </w:t>
      </w:r>
      <w:r w:rsidR="007D0BC7" w:rsidRPr="00613B2C">
        <w:rPr>
          <w:rFonts w:asciiTheme="majorHAnsi" w:hAnsiTheme="majorHAnsi"/>
        </w:rPr>
        <w:t xml:space="preserve">30 </w:t>
      </w:r>
      <w:r w:rsidR="003629D2">
        <w:rPr>
          <w:rFonts w:asciiTheme="majorHAnsi" w:hAnsiTheme="majorHAnsi"/>
        </w:rPr>
        <w:t>y 44</w:t>
      </w:r>
      <w:r w:rsidR="007D0BC7" w:rsidRPr="00613B2C">
        <w:rPr>
          <w:rFonts w:asciiTheme="majorHAnsi" w:hAnsiTheme="majorHAnsi"/>
        </w:rPr>
        <w:t xml:space="preserve"> años con el 44,52% de los movimientos</w:t>
      </w:r>
      <w:r w:rsidR="003629D2">
        <w:rPr>
          <w:rFonts w:asciiTheme="majorHAnsi" w:hAnsiTheme="majorHAnsi"/>
        </w:rPr>
        <w:t xml:space="preserve">, pero </w:t>
      </w:r>
      <w:r w:rsidR="000A417E">
        <w:rPr>
          <w:rFonts w:asciiTheme="majorHAnsi" w:hAnsiTheme="majorHAnsi"/>
        </w:rPr>
        <w:t xml:space="preserve">representa el </w:t>
      </w:r>
      <w:r w:rsidR="007D0BC7" w:rsidRPr="00613B2C">
        <w:rPr>
          <w:rFonts w:asciiTheme="majorHAnsi" w:hAnsiTheme="majorHAnsi"/>
        </w:rPr>
        <w:t>41,35% del total</w:t>
      </w:r>
      <w:r w:rsidR="00AC478D">
        <w:rPr>
          <w:rFonts w:asciiTheme="majorHAnsi" w:hAnsiTheme="majorHAnsi"/>
        </w:rPr>
        <w:t xml:space="preserve"> de recursos transferidos. Mientras que el grupo de afiliados entre 45 y 59 años representa el 25,95 de los movimientos con el 45,99% de los recursos movilizados por libre transferencia, todo lo anterior durante los primeros nueve meses del 2018.</w:t>
      </w:r>
      <w:r w:rsidR="007D0BC7" w:rsidRPr="00613B2C">
        <w:rPr>
          <w:rFonts w:asciiTheme="majorHAnsi" w:hAnsiTheme="majorHAnsi"/>
        </w:rPr>
        <w:t xml:space="preserve"> </w:t>
      </w:r>
    </w:p>
    <w:p w14:paraId="753E58FF" w14:textId="77777777" w:rsidR="00E2503F" w:rsidRDefault="00E2503F" w:rsidP="007D0BC7">
      <w:pPr>
        <w:pStyle w:val="Ttulo"/>
      </w:pPr>
    </w:p>
    <w:p w14:paraId="1F8629FE" w14:textId="4749CCB0" w:rsidR="007D0BC7" w:rsidRPr="00613B2C" w:rsidRDefault="007D0BC7" w:rsidP="007D0BC7">
      <w:pPr>
        <w:pStyle w:val="Ttulo"/>
      </w:pPr>
      <w:r w:rsidRPr="00613B2C">
        <w:t>Gestores del Régimen Complementario</w:t>
      </w:r>
    </w:p>
    <w:p w14:paraId="7905C0A6" w14:textId="77777777" w:rsidR="007D0BC7" w:rsidRPr="00613B2C" w:rsidRDefault="007D0BC7" w:rsidP="007D0BC7">
      <w:pPr>
        <w:spacing w:after="0" w:line="240" w:lineRule="auto"/>
        <w:jc w:val="both"/>
        <w:rPr>
          <w:rFonts w:asciiTheme="majorHAnsi" w:hAnsiTheme="majorHAnsi"/>
        </w:rPr>
      </w:pPr>
    </w:p>
    <w:p w14:paraId="6CBC962A" w14:textId="1B99DC02" w:rsidR="007D0BC7" w:rsidRPr="00613B2C" w:rsidRDefault="007D0BC7" w:rsidP="007D0BC7">
      <w:pPr>
        <w:spacing w:after="0" w:line="240" w:lineRule="auto"/>
        <w:jc w:val="both"/>
        <w:rPr>
          <w:rFonts w:asciiTheme="majorHAnsi" w:hAnsiTheme="majorHAnsi"/>
        </w:rPr>
      </w:pPr>
      <w:r w:rsidRPr="00613B2C">
        <w:rPr>
          <w:rFonts w:asciiTheme="majorHAnsi" w:hAnsiTheme="majorHAnsi"/>
        </w:rPr>
        <w:t xml:space="preserve">Al ser el ROP un fondo de </w:t>
      </w:r>
      <w:r w:rsidR="00E2503F">
        <w:rPr>
          <w:rFonts w:asciiTheme="majorHAnsi" w:hAnsiTheme="majorHAnsi"/>
        </w:rPr>
        <w:t>pensiones</w:t>
      </w:r>
      <w:r w:rsidRPr="00613B2C">
        <w:rPr>
          <w:rFonts w:asciiTheme="majorHAnsi" w:hAnsiTheme="majorHAnsi"/>
        </w:rPr>
        <w:t xml:space="preserve"> obligatorio, la regulación ha establecido mecanismos de protección al afiliado, específica</w:t>
      </w:r>
      <w:r w:rsidR="00E2503F">
        <w:rPr>
          <w:rFonts w:asciiTheme="majorHAnsi" w:hAnsiTheme="majorHAnsi"/>
        </w:rPr>
        <w:t>mente la posibilidad de que el s</w:t>
      </w:r>
      <w:r w:rsidRPr="00613B2C">
        <w:rPr>
          <w:rFonts w:asciiTheme="majorHAnsi" w:hAnsiTheme="majorHAnsi"/>
        </w:rPr>
        <w:t xml:space="preserve">upervisor mediante regulación disponga topes a los precios que estas cobran. Según lo establece el Reglamento de Apertura y Funcionamiento de las Entidades Autorizadas (RAF), las comisiones de administración de este producto son sobre saldo y deben ajustarse, actualmente </w:t>
      </w:r>
      <w:r w:rsidR="00E2503F">
        <w:rPr>
          <w:rFonts w:asciiTheme="majorHAnsi" w:hAnsiTheme="majorHAnsi"/>
        </w:rPr>
        <w:t xml:space="preserve">el tope máximo es de </w:t>
      </w:r>
      <w:r w:rsidRPr="00613B2C">
        <w:rPr>
          <w:rFonts w:asciiTheme="majorHAnsi" w:hAnsiTheme="majorHAnsi"/>
        </w:rPr>
        <w:t>0</w:t>
      </w:r>
      <w:r w:rsidR="00E2503F">
        <w:rPr>
          <w:rFonts w:asciiTheme="majorHAnsi" w:hAnsiTheme="majorHAnsi"/>
        </w:rPr>
        <w:t>,</w:t>
      </w:r>
      <w:r w:rsidRPr="00613B2C">
        <w:rPr>
          <w:rFonts w:asciiTheme="majorHAnsi" w:hAnsiTheme="majorHAnsi"/>
        </w:rPr>
        <w:t>5</w:t>
      </w:r>
      <w:r w:rsidR="00E2503F">
        <w:rPr>
          <w:rFonts w:asciiTheme="majorHAnsi" w:hAnsiTheme="majorHAnsi"/>
        </w:rPr>
        <w:t>0</w:t>
      </w:r>
      <w:r w:rsidRPr="00613B2C">
        <w:rPr>
          <w:rFonts w:asciiTheme="majorHAnsi" w:hAnsiTheme="majorHAnsi"/>
        </w:rPr>
        <w:t xml:space="preserve">% anual sobre saldo y </w:t>
      </w:r>
      <w:r w:rsidR="00E2503F">
        <w:rPr>
          <w:rFonts w:asciiTheme="majorHAnsi" w:hAnsiTheme="majorHAnsi"/>
        </w:rPr>
        <w:t xml:space="preserve">se tiene establecido que </w:t>
      </w:r>
      <w:r w:rsidRPr="00613B2C">
        <w:rPr>
          <w:rFonts w:asciiTheme="majorHAnsi" w:hAnsiTheme="majorHAnsi"/>
        </w:rPr>
        <w:t xml:space="preserve">en el 2020 </w:t>
      </w:r>
      <w:r w:rsidR="00E2503F">
        <w:rPr>
          <w:rFonts w:asciiTheme="majorHAnsi" w:hAnsiTheme="majorHAnsi"/>
        </w:rPr>
        <w:t>se disminuya a 0,35% sobre saldo. Sin embargo, durante el 2019 se tiene previsto realizar una validación de modelo utilizado y los costos contemplados para la fijación de la comisión máxima.</w:t>
      </w:r>
    </w:p>
    <w:p w14:paraId="19D9BED3" w14:textId="77777777" w:rsidR="007D0BC7" w:rsidRPr="00613B2C" w:rsidRDefault="007D0BC7" w:rsidP="007D0BC7">
      <w:pPr>
        <w:spacing w:after="0" w:line="240" w:lineRule="auto"/>
        <w:jc w:val="both"/>
        <w:rPr>
          <w:rFonts w:asciiTheme="majorHAnsi" w:hAnsiTheme="majorHAnsi"/>
        </w:rPr>
      </w:pPr>
    </w:p>
    <w:p w14:paraId="517A57FA" w14:textId="0BA0E15C" w:rsidR="007D0BC7" w:rsidRPr="00613B2C" w:rsidRDefault="007D0BC7" w:rsidP="007D0BC7">
      <w:pPr>
        <w:spacing w:after="0" w:line="240" w:lineRule="auto"/>
        <w:jc w:val="both"/>
        <w:rPr>
          <w:rFonts w:asciiTheme="majorHAnsi" w:hAnsiTheme="majorHAnsi"/>
        </w:rPr>
      </w:pPr>
      <w:r w:rsidRPr="00613B2C">
        <w:rPr>
          <w:rFonts w:asciiTheme="majorHAnsi" w:hAnsiTheme="majorHAnsi"/>
        </w:rPr>
        <w:t>En 2016 el ingreso operativo del ROP fue de 42</w:t>
      </w:r>
      <w:r w:rsidR="00E2503F">
        <w:rPr>
          <w:rFonts w:asciiTheme="majorHAnsi" w:hAnsiTheme="majorHAnsi"/>
        </w:rPr>
        <w:t xml:space="preserve"> </w:t>
      </w:r>
      <w:r w:rsidRPr="00613B2C">
        <w:rPr>
          <w:rFonts w:asciiTheme="majorHAnsi" w:hAnsiTheme="majorHAnsi"/>
        </w:rPr>
        <w:t>523 millones de colo</w:t>
      </w:r>
      <w:r w:rsidR="00E2503F">
        <w:rPr>
          <w:rFonts w:asciiTheme="majorHAnsi" w:hAnsiTheme="majorHAnsi"/>
        </w:rPr>
        <w:t xml:space="preserve">nes y en el 2017 descendió a 38 </w:t>
      </w:r>
      <w:r w:rsidRPr="00613B2C">
        <w:rPr>
          <w:rFonts w:asciiTheme="majorHAnsi" w:hAnsiTheme="majorHAnsi"/>
        </w:rPr>
        <w:t>842 millones, producto de pasa</w:t>
      </w:r>
      <w:r w:rsidR="0072123E">
        <w:rPr>
          <w:rFonts w:asciiTheme="majorHAnsi" w:hAnsiTheme="majorHAnsi"/>
        </w:rPr>
        <w:t>r</w:t>
      </w:r>
      <w:r w:rsidRPr="00613B2C">
        <w:rPr>
          <w:rFonts w:asciiTheme="majorHAnsi" w:hAnsiTheme="majorHAnsi"/>
        </w:rPr>
        <w:t xml:space="preserve"> la comisión de 0,7% sobre saldo a 0,5%. El ingreso operativo paulatinamente se recupera conforme los activos administrados aumentan. Para setiembre del 2018 (últimos 12 mese</w:t>
      </w:r>
      <w:r w:rsidR="00E2503F">
        <w:rPr>
          <w:rFonts w:asciiTheme="majorHAnsi" w:hAnsiTheme="majorHAnsi"/>
        </w:rPr>
        <w:t xml:space="preserve">s) el ingreso ya alcanza los 41 </w:t>
      </w:r>
      <w:r w:rsidRPr="00613B2C">
        <w:rPr>
          <w:rFonts w:asciiTheme="majorHAnsi" w:hAnsiTheme="majorHAnsi"/>
        </w:rPr>
        <w:t>284 millones y seguirá en aumento hasta el 2020. En términos generales las 6 operadoras anualmen</w:t>
      </w:r>
      <w:r w:rsidR="00E2503F">
        <w:rPr>
          <w:rFonts w:asciiTheme="majorHAnsi" w:hAnsiTheme="majorHAnsi"/>
        </w:rPr>
        <w:t xml:space="preserve">te tienen utilidades antes de impuestos y distribución de utilidades </w:t>
      </w:r>
      <w:r w:rsidR="006062AD">
        <w:rPr>
          <w:rFonts w:asciiTheme="majorHAnsi" w:hAnsiTheme="majorHAnsi"/>
        </w:rPr>
        <w:t>superiores a 13 mil millones de colones por el periodo comprendido entre octubre 2017 y setiembre 2018.</w:t>
      </w:r>
    </w:p>
    <w:p w14:paraId="15FDD3D4" w14:textId="77777777" w:rsidR="00AF1B87" w:rsidRPr="00AF1B87" w:rsidRDefault="00AF1B87" w:rsidP="00BB157A">
      <w:pPr>
        <w:spacing w:after="0" w:line="240" w:lineRule="auto"/>
        <w:jc w:val="center"/>
        <w:rPr>
          <w:rFonts w:asciiTheme="majorHAnsi" w:hAnsiTheme="majorHAnsi"/>
        </w:rPr>
      </w:pPr>
    </w:p>
    <w:p w14:paraId="39A1047B" w14:textId="461A1FCA" w:rsidR="00BB157A" w:rsidRPr="00613B2C" w:rsidRDefault="00BB157A" w:rsidP="00BB157A">
      <w:pPr>
        <w:spacing w:after="0" w:line="240" w:lineRule="auto"/>
        <w:jc w:val="center"/>
        <w:rPr>
          <w:rFonts w:asciiTheme="majorHAnsi" w:hAnsiTheme="majorHAnsi"/>
        </w:rPr>
      </w:pPr>
      <w:r>
        <w:rPr>
          <w:rFonts w:asciiTheme="majorHAnsi" w:hAnsiTheme="majorHAnsi"/>
        </w:rPr>
        <w:t>Cuadro 13</w:t>
      </w:r>
    </w:p>
    <w:p w14:paraId="5D8DFBEB" w14:textId="77777777" w:rsidR="007D0BC7" w:rsidRPr="00613B2C" w:rsidRDefault="007D0BC7" w:rsidP="007D0BC7">
      <w:pPr>
        <w:spacing w:after="0" w:line="240" w:lineRule="auto"/>
        <w:jc w:val="center"/>
        <w:rPr>
          <w:rFonts w:asciiTheme="majorHAnsi" w:hAnsiTheme="majorHAnsi"/>
          <w:b/>
        </w:rPr>
      </w:pPr>
      <w:r w:rsidRPr="00613B2C">
        <w:rPr>
          <w:rFonts w:asciiTheme="majorHAnsi" w:hAnsiTheme="majorHAnsi"/>
          <w:b/>
        </w:rPr>
        <w:t>Indicadores financieros Gestores de Pensiones</w:t>
      </w:r>
    </w:p>
    <w:p w14:paraId="2B064801" w14:textId="4EBBC33C" w:rsidR="007D0BC7" w:rsidRPr="00613B2C" w:rsidRDefault="006062AD" w:rsidP="007D0BC7">
      <w:pPr>
        <w:spacing w:after="0" w:line="240" w:lineRule="auto"/>
        <w:jc w:val="center"/>
        <w:rPr>
          <w:rFonts w:asciiTheme="majorHAnsi" w:hAnsiTheme="majorHAnsi"/>
        </w:rPr>
      </w:pPr>
      <w:r>
        <w:rPr>
          <w:rFonts w:asciiTheme="majorHAnsi" w:hAnsiTheme="majorHAnsi"/>
        </w:rPr>
        <w:t>Se</w:t>
      </w:r>
      <w:r w:rsidR="007D0BC7" w:rsidRPr="00613B2C">
        <w:rPr>
          <w:rFonts w:asciiTheme="majorHAnsi" w:hAnsiTheme="majorHAnsi"/>
        </w:rPr>
        <w:t>tiembre de cada año – millones de colones</w:t>
      </w:r>
    </w:p>
    <w:p w14:paraId="2B051BD7" w14:textId="77777777" w:rsidR="007D0BC7" w:rsidRPr="00613B2C" w:rsidRDefault="007D0BC7" w:rsidP="007D0BC7">
      <w:pPr>
        <w:spacing w:after="0" w:line="240" w:lineRule="auto"/>
        <w:jc w:val="center"/>
        <w:rPr>
          <w:rFonts w:asciiTheme="majorHAnsi" w:hAnsiTheme="majorHAnsi"/>
        </w:rPr>
      </w:pPr>
    </w:p>
    <w:tbl>
      <w:tblPr>
        <w:tblW w:w="7088" w:type="dxa"/>
        <w:jc w:val="center"/>
        <w:tblCellMar>
          <w:left w:w="70" w:type="dxa"/>
          <w:right w:w="70" w:type="dxa"/>
        </w:tblCellMar>
        <w:tblLook w:val="04A0" w:firstRow="1" w:lastRow="0" w:firstColumn="1" w:lastColumn="0" w:noHBand="0" w:noVBand="1"/>
      </w:tblPr>
      <w:tblGrid>
        <w:gridCol w:w="950"/>
        <w:gridCol w:w="1267"/>
        <w:gridCol w:w="1105"/>
        <w:gridCol w:w="1032"/>
        <w:gridCol w:w="1032"/>
        <w:gridCol w:w="1702"/>
      </w:tblGrid>
      <w:tr w:rsidR="00FF5D38" w:rsidRPr="00613B2C" w14:paraId="0357A09B" w14:textId="77777777" w:rsidTr="00FF5D38">
        <w:trPr>
          <w:trHeight w:val="845"/>
          <w:jc w:val="center"/>
        </w:trPr>
        <w:tc>
          <w:tcPr>
            <w:tcW w:w="950" w:type="dxa"/>
            <w:tcBorders>
              <w:top w:val="single" w:sz="4" w:space="0" w:color="auto"/>
              <w:left w:val="nil"/>
              <w:bottom w:val="nil"/>
              <w:right w:val="nil"/>
            </w:tcBorders>
            <w:shd w:val="clear" w:color="auto" w:fill="auto"/>
            <w:noWrap/>
            <w:vAlign w:val="bottom"/>
          </w:tcPr>
          <w:p w14:paraId="6A30B9CE" w14:textId="77777777" w:rsidR="00FF5D38" w:rsidRPr="00613B2C" w:rsidRDefault="00FF5D38" w:rsidP="00FF5D38">
            <w:pPr>
              <w:spacing w:after="0" w:line="240" w:lineRule="auto"/>
              <w:jc w:val="center"/>
              <w:rPr>
                <w:rFonts w:asciiTheme="majorHAnsi" w:hAnsiTheme="majorHAnsi"/>
              </w:rPr>
            </w:pPr>
          </w:p>
        </w:tc>
        <w:tc>
          <w:tcPr>
            <w:tcW w:w="1267" w:type="dxa"/>
            <w:tcBorders>
              <w:top w:val="single" w:sz="4" w:space="0" w:color="auto"/>
              <w:left w:val="nil"/>
              <w:bottom w:val="nil"/>
              <w:right w:val="nil"/>
            </w:tcBorders>
            <w:shd w:val="clear" w:color="auto" w:fill="auto"/>
            <w:noWrap/>
            <w:vAlign w:val="center"/>
          </w:tcPr>
          <w:p w14:paraId="6A55055A" w14:textId="73B0EA4E" w:rsidR="00FF5D38" w:rsidRPr="00613B2C" w:rsidRDefault="00FF5D38" w:rsidP="00FF5D38">
            <w:pPr>
              <w:spacing w:after="0" w:line="240" w:lineRule="auto"/>
              <w:jc w:val="center"/>
              <w:rPr>
                <w:rFonts w:asciiTheme="majorHAnsi" w:hAnsiTheme="majorHAnsi"/>
              </w:rPr>
            </w:pPr>
            <w:r>
              <w:rPr>
                <w:rFonts w:ascii="Calibri" w:hAnsi="Calibri" w:cs="Calibri"/>
                <w:b/>
                <w:bCs/>
                <w:color w:val="000000"/>
              </w:rPr>
              <w:t>Ingreso operativo</w:t>
            </w:r>
          </w:p>
        </w:tc>
        <w:tc>
          <w:tcPr>
            <w:tcW w:w="1105" w:type="dxa"/>
            <w:tcBorders>
              <w:top w:val="single" w:sz="4" w:space="0" w:color="auto"/>
              <w:left w:val="nil"/>
              <w:bottom w:val="nil"/>
              <w:right w:val="nil"/>
            </w:tcBorders>
            <w:shd w:val="clear" w:color="auto" w:fill="auto"/>
            <w:noWrap/>
            <w:vAlign w:val="center"/>
          </w:tcPr>
          <w:p w14:paraId="5ABB2EA7" w14:textId="65199D42" w:rsidR="00FF5D38" w:rsidRPr="00613B2C" w:rsidRDefault="00FF5D38" w:rsidP="00FF5D38">
            <w:pPr>
              <w:spacing w:after="0" w:line="240" w:lineRule="auto"/>
              <w:jc w:val="center"/>
              <w:rPr>
                <w:rFonts w:asciiTheme="majorHAnsi" w:hAnsiTheme="majorHAnsi"/>
              </w:rPr>
            </w:pPr>
            <w:r>
              <w:rPr>
                <w:rFonts w:ascii="Calibri" w:hAnsi="Calibri" w:cs="Calibri"/>
                <w:b/>
                <w:bCs/>
                <w:color w:val="000000"/>
              </w:rPr>
              <w:t xml:space="preserve">Gasto operativo </w:t>
            </w:r>
          </w:p>
        </w:tc>
        <w:tc>
          <w:tcPr>
            <w:tcW w:w="1032" w:type="dxa"/>
            <w:tcBorders>
              <w:top w:val="single" w:sz="4" w:space="0" w:color="auto"/>
              <w:left w:val="nil"/>
              <w:bottom w:val="nil"/>
              <w:right w:val="nil"/>
            </w:tcBorders>
            <w:shd w:val="clear" w:color="auto" w:fill="auto"/>
            <w:noWrap/>
            <w:vAlign w:val="center"/>
          </w:tcPr>
          <w:p w14:paraId="59F99827" w14:textId="22B2CE9C" w:rsidR="00FF5D38" w:rsidRPr="00613B2C" w:rsidRDefault="00FF5D38" w:rsidP="00FF5D38">
            <w:pPr>
              <w:spacing w:after="0" w:line="240" w:lineRule="auto"/>
              <w:jc w:val="center"/>
              <w:rPr>
                <w:rFonts w:asciiTheme="majorHAnsi" w:hAnsiTheme="majorHAnsi"/>
              </w:rPr>
            </w:pPr>
            <w:r>
              <w:rPr>
                <w:rFonts w:ascii="Calibri" w:hAnsi="Calibri" w:cs="Calibri"/>
                <w:b/>
                <w:bCs/>
                <w:color w:val="000000"/>
              </w:rPr>
              <w:t>Resultado operativo</w:t>
            </w:r>
          </w:p>
        </w:tc>
        <w:tc>
          <w:tcPr>
            <w:tcW w:w="1032" w:type="dxa"/>
            <w:tcBorders>
              <w:top w:val="single" w:sz="4" w:space="0" w:color="auto"/>
              <w:left w:val="nil"/>
              <w:bottom w:val="nil"/>
              <w:right w:val="nil"/>
            </w:tcBorders>
            <w:shd w:val="clear" w:color="auto" w:fill="auto"/>
            <w:noWrap/>
            <w:vAlign w:val="center"/>
          </w:tcPr>
          <w:p w14:paraId="574F080D" w14:textId="40AD0426" w:rsidR="00FF5D38" w:rsidRPr="00613B2C" w:rsidRDefault="00FF5D38" w:rsidP="00FF5D38">
            <w:pPr>
              <w:spacing w:after="0" w:line="240" w:lineRule="auto"/>
              <w:jc w:val="center"/>
              <w:rPr>
                <w:rFonts w:asciiTheme="majorHAnsi" w:hAnsiTheme="majorHAnsi"/>
              </w:rPr>
            </w:pPr>
            <w:r>
              <w:rPr>
                <w:rFonts w:ascii="Calibri" w:hAnsi="Calibri" w:cs="Calibri"/>
                <w:b/>
                <w:bCs/>
                <w:color w:val="000000"/>
              </w:rPr>
              <w:t>Resultado neto</w:t>
            </w:r>
          </w:p>
        </w:tc>
        <w:tc>
          <w:tcPr>
            <w:tcW w:w="1702" w:type="dxa"/>
            <w:tcBorders>
              <w:top w:val="single" w:sz="4" w:space="0" w:color="auto"/>
              <w:left w:val="nil"/>
              <w:bottom w:val="nil"/>
              <w:right w:val="nil"/>
            </w:tcBorders>
            <w:shd w:val="clear" w:color="auto" w:fill="auto"/>
            <w:noWrap/>
            <w:vAlign w:val="bottom"/>
          </w:tcPr>
          <w:p w14:paraId="0DF4CC8B" w14:textId="01B7D976" w:rsidR="00FF5D38" w:rsidRPr="00FF5D38" w:rsidRDefault="00FF5D38" w:rsidP="00FF5D38">
            <w:pPr>
              <w:jc w:val="center"/>
              <w:rPr>
                <w:rFonts w:ascii="Calibri" w:hAnsi="Calibri" w:cs="Calibri"/>
                <w:b/>
                <w:bCs/>
                <w:color w:val="000000"/>
                <w:lang w:val="es-CR"/>
              </w:rPr>
            </w:pPr>
            <w:r>
              <w:rPr>
                <w:rFonts w:ascii="Calibri" w:hAnsi="Calibri" w:cs="Calibri"/>
                <w:b/>
                <w:bCs/>
                <w:color w:val="000000"/>
              </w:rPr>
              <w:t>Resultado antes impuesto y utilidades</w:t>
            </w:r>
          </w:p>
        </w:tc>
      </w:tr>
      <w:tr w:rsidR="007D0BC7" w:rsidRPr="00613B2C" w14:paraId="05AA115D" w14:textId="77777777" w:rsidTr="00850B12">
        <w:trPr>
          <w:trHeight w:val="260"/>
          <w:jc w:val="center"/>
        </w:trPr>
        <w:tc>
          <w:tcPr>
            <w:tcW w:w="950" w:type="dxa"/>
            <w:tcBorders>
              <w:top w:val="single" w:sz="4" w:space="0" w:color="auto"/>
              <w:left w:val="nil"/>
              <w:bottom w:val="nil"/>
              <w:right w:val="nil"/>
            </w:tcBorders>
            <w:shd w:val="clear" w:color="auto" w:fill="auto"/>
            <w:noWrap/>
            <w:vAlign w:val="bottom"/>
            <w:hideMark/>
          </w:tcPr>
          <w:p w14:paraId="7E09D9E6" w14:textId="77777777" w:rsidR="007D0BC7" w:rsidRPr="00613B2C" w:rsidRDefault="007D0BC7" w:rsidP="00850B12">
            <w:pPr>
              <w:spacing w:after="0" w:line="240" w:lineRule="auto"/>
              <w:jc w:val="center"/>
              <w:rPr>
                <w:rFonts w:asciiTheme="majorHAnsi" w:hAnsiTheme="majorHAnsi"/>
              </w:rPr>
            </w:pPr>
            <w:r w:rsidRPr="00613B2C">
              <w:rPr>
                <w:rFonts w:asciiTheme="majorHAnsi" w:hAnsiTheme="majorHAnsi"/>
              </w:rPr>
              <w:t>2014</w:t>
            </w:r>
          </w:p>
        </w:tc>
        <w:tc>
          <w:tcPr>
            <w:tcW w:w="1267" w:type="dxa"/>
            <w:tcBorders>
              <w:top w:val="single" w:sz="4" w:space="0" w:color="auto"/>
              <w:left w:val="nil"/>
              <w:bottom w:val="nil"/>
              <w:right w:val="nil"/>
            </w:tcBorders>
            <w:shd w:val="clear" w:color="auto" w:fill="auto"/>
            <w:noWrap/>
            <w:vAlign w:val="bottom"/>
            <w:hideMark/>
          </w:tcPr>
          <w:p w14:paraId="5AF941BE" w14:textId="77777777" w:rsidR="007D0BC7" w:rsidRPr="00613B2C" w:rsidRDefault="007D0BC7" w:rsidP="00850B12">
            <w:pPr>
              <w:spacing w:after="0" w:line="240" w:lineRule="auto"/>
              <w:jc w:val="center"/>
              <w:rPr>
                <w:rFonts w:asciiTheme="majorHAnsi" w:hAnsiTheme="majorHAnsi"/>
              </w:rPr>
            </w:pPr>
            <w:r w:rsidRPr="00613B2C">
              <w:rPr>
                <w:rFonts w:asciiTheme="majorHAnsi" w:hAnsiTheme="majorHAnsi"/>
              </w:rPr>
              <w:t>35.453,0</w:t>
            </w:r>
          </w:p>
        </w:tc>
        <w:tc>
          <w:tcPr>
            <w:tcW w:w="1105" w:type="dxa"/>
            <w:tcBorders>
              <w:top w:val="single" w:sz="4" w:space="0" w:color="auto"/>
              <w:left w:val="nil"/>
              <w:bottom w:val="nil"/>
              <w:right w:val="nil"/>
            </w:tcBorders>
            <w:shd w:val="clear" w:color="auto" w:fill="auto"/>
            <w:noWrap/>
            <w:vAlign w:val="bottom"/>
            <w:hideMark/>
          </w:tcPr>
          <w:p w14:paraId="275BF329" w14:textId="77777777" w:rsidR="007D0BC7" w:rsidRPr="00613B2C" w:rsidRDefault="007D0BC7" w:rsidP="00850B12">
            <w:pPr>
              <w:spacing w:after="0" w:line="240" w:lineRule="auto"/>
              <w:jc w:val="center"/>
              <w:rPr>
                <w:rFonts w:asciiTheme="majorHAnsi" w:hAnsiTheme="majorHAnsi"/>
              </w:rPr>
            </w:pPr>
            <w:r w:rsidRPr="00613B2C">
              <w:rPr>
                <w:rFonts w:asciiTheme="majorHAnsi" w:hAnsiTheme="majorHAnsi"/>
              </w:rPr>
              <w:t>27.130,3</w:t>
            </w:r>
          </w:p>
        </w:tc>
        <w:tc>
          <w:tcPr>
            <w:tcW w:w="1032" w:type="dxa"/>
            <w:tcBorders>
              <w:top w:val="single" w:sz="4" w:space="0" w:color="auto"/>
              <w:left w:val="nil"/>
              <w:bottom w:val="nil"/>
              <w:right w:val="nil"/>
            </w:tcBorders>
            <w:shd w:val="clear" w:color="auto" w:fill="auto"/>
            <w:noWrap/>
            <w:vAlign w:val="bottom"/>
            <w:hideMark/>
          </w:tcPr>
          <w:p w14:paraId="0D8C3D45" w14:textId="77777777" w:rsidR="007D0BC7" w:rsidRPr="00613B2C" w:rsidRDefault="007D0BC7" w:rsidP="00850B12">
            <w:pPr>
              <w:spacing w:after="0" w:line="240" w:lineRule="auto"/>
              <w:jc w:val="center"/>
              <w:rPr>
                <w:rFonts w:asciiTheme="majorHAnsi" w:hAnsiTheme="majorHAnsi"/>
              </w:rPr>
            </w:pPr>
            <w:r w:rsidRPr="00613B2C">
              <w:rPr>
                <w:rFonts w:asciiTheme="majorHAnsi" w:hAnsiTheme="majorHAnsi"/>
              </w:rPr>
              <w:t>8.322,7</w:t>
            </w:r>
          </w:p>
        </w:tc>
        <w:tc>
          <w:tcPr>
            <w:tcW w:w="1032" w:type="dxa"/>
            <w:tcBorders>
              <w:top w:val="single" w:sz="4" w:space="0" w:color="auto"/>
              <w:left w:val="nil"/>
              <w:bottom w:val="nil"/>
              <w:right w:val="nil"/>
            </w:tcBorders>
            <w:shd w:val="clear" w:color="auto" w:fill="auto"/>
            <w:noWrap/>
            <w:vAlign w:val="bottom"/>
            <w:hideMark/>
          </w:tcPr>
          <w:p w14:paraId="58173D95" w14:textId="77777777" w:rsidR="007D0BC7" w:rsidRPr="00613B2C" w:rsidRDefault="007D0BC7" w:rsidP="00850B12">
            <w:pPr>
              <w:spacing w:after="0" w:line="240" w:lineRule="auto"/>
              <w:jc w:val="center"/>
              <w:rPr>
                <w:rFonts w:asciiTheme="majorHAnsi" w:hAnsiTheme="majorHAnsi"/>
              </w:rPr>
            </w:pPr>
            <w:r w:rsidRPr="00613B2C">
              <w:rPr>
                <w:rFonts w:asciiTheme="majorHAnsi" w:hAnsiTheme="majorHAnsi"/>
              </w:rPr>
              <w:t>6.964,8</w:t>
            </w:r>
          </w:p>
        </w:tc>
        <w:tc>
          <w:tcPr>
            <w:tcW w:w="1702" w:type="dxa"/>
            <w:tcBorders>
              <w:top w:val="single" w:sz="4" w:space="0" w:color="auto"/>
              <w:left w:val="nil"/>
              <w:bottom w:val="nil"/>
              <w:right w:val="nil"/>
            </w:tcBorders>
            <w:shd w:val="clear" w:color="auto" w:fill="auto"/>
            <w:noWrap/>
            <w:vAlign w:val="bottom"/>
            <w:hideMark/>
          </w:tcPr>
          <w:p w14:paraId="0EA25BD7" w14:textId="77777777" w:rsidR="007D0BC7" w:rsidRPr="00613B2C" w:rsidRDefault="007D0BC7" w:rsidP="00850B12">
            <w:pPr>
              <w:spacing w:after="0" w:line="240" w:lineRule="auto"/>
              <w:jc w:val="center"/>
              <w:rPr>
                <w:rFonts w:asciiTheme="majorHAnsi" w:hAnsiTheme="majorHAnsi"/>
              </w:rPr>
            </w:pPr>
            <w:r w:rsidRPr="00613B2C">
              <w:rPr>
                <w:rFonts w:asciiTheme="majorHAnsi" w:hAnsiTheme="majorHAnsi"/>
              </w:rPr>
              <w:t>11.520,6</w:t>
            </w:r>
          </w:p>
        </w:tc>
      </w:tr>
      <w:tr w:rsidR="007D0BC7" w:rsidRPr="00613B2C" w14:paraId="0F530F41" w14:textId="77777777" w:rsidTr="00850B12">
        <w:trPr>
          <w:trHeight w:val="260"/>
          <w:jc w:val="center"/>
        </w:trPr>
        <w:tc>
          <w:tcPr>
            <w:tcW w:w="950" w:type="dxa"/>
            <w:tcBorders>
              <w:top w:val="nil"/>
              <w:left w:val="nil"/>
              <w:bottom w:val="nil"/>
              <w:right w:val="nil"/>
            </w:tcBorders>
            <w:shd w:val="clear" w:color="auto" w:fill="auto"/>
            <w:noWrap/>
            <w:vAlign w:val="bottom"/>
            <w:hideMark/>
          </w:tcPr>
          <w:p w14:paraId="6868D07C" w14:textId="77777777" w:rsidR="007D0BC7" w:rsidRPr="00613B2C" w:rsidRDefault="007D0BC7" w:rsidP="00850B12">
            <w:pPr>
              <w:spacing w:after="0" w:line="240" w:lineRule="auto"/>
              <w:jc w:val="center"/>
              <w:rPr>
                <w:rFonts w:asciiTheme="majorHAnsi" w:hAnsiTheme="majorHAnsi"/>
              </w:rPr>
            </w:pPr>
            <w:r w:rsidRPr="00613B2C">
              <w:rPr>
                <w:rFonts w:asciiTheme="majorHAnsi" w:hAnsiTheme="majorHAnsi"/>
              </w:rPr>
              <w:t>2015</w:t>
            </w:r>
          </w:p>
        </w:tc>
        <w:tc>
          <w:tcPr>
            <w:tcW w:w="1267" w:type="dxa"/>
            <w:tcBorders>
              <w:top w:val="nil"/>
              <w:left w:val="nil"/>
              <w:bottom w:val="nil"/>
              <w:right w:val="nil"/>
            </w:tcBorders>
            <w:shd w:val="clear" w:color="auto" w:fill="auto"/>
            <w:noWrap/>
            <w:vAlign w:val="bottom"/>
            <w:hideMark/>
          </w:tcPr>
          <w:p w14:paraId="18130BA0" w14:textId="77777777" w:rsidR="007D0BC7" w:rsidRPr="00613B2C" w:rsidRDefault="007D0BC7" w:rsidP="00850B12">
            <w:pPr>
              <w:spacing w:after="0" w:line="240" w:lineRule="auto"/>
              <w:jc w:val="center"/>
              <w:rPr>
                <w:rFonts w:asciiTheme="majorHAnsi" w:hAnsiTheme="majorHAnsi"/>
              </w:rPr>
            </w:pPr>
            <w:r w:rsidRPr="00613B2C">
              <w:rPr>
                <w:rFonts w:asciiTheme="majorHAnsi" w:hAnsiTheme="majorHAnsi"/>
              </w:rPr>
              <w:t>37.798,2</w:t>
            </w:r>
          </w:p>
        </w:tc>
        <w:tc>
          <w:tcPr>
            <w:tcW w:w="1105" w:type="dxa"/>
            <w:tcBorders>
              <w:top w:val="nil"/>
              <w:left w:val="nil"/>
              <w:bottom w:val="nil"/>
              <w:right w:val="nil"/>
            </w:tcBorders>
            <w:shd w:val="clear" w:color="auto" w:fill="auto"/>
            <w:noWrap/>
            <w:vAlign w:val="bottom"/>
            <w:hideMark/>
          </w:tcPr>
          <w:p w14:paraId="2DB1C627" w14:textId="77777777" w:rsidR="007D0BC7" w:rsidRPr="00613B2C" w:rsidRDefault="007D0BC7" w:rsidP="00850B12">
            <w:pPr>
              <w:spacing w:after="0" w:line="240" w:lineRule="auto"/>
              <w:jc w:val="center"/>
              <w:rPr>
                <w:rFonts w:asciiTheme="majorHAnsi" w:hAnsiTheme="majorHAnsi"/>
              </w:rPr>
            </w:pPr>
            <w:r w:rsidRPr="00613B2C">
              <w:rPr>
                <w:rFonts w:asciiTheme="majorHAnsi" w:hAnsiTheme="majorHAnsi"/>
              </w:rPr>
              <w:t>30.064,4</w:t>
            </w:r>
          </w:p>
        </w:tc>
        <w:tc>
          <w:tcPr>
            <w:tcW w:w="1032" w:type="dxa"/>
            <w:tcBorders>
              <w:top w:val="nil"/>
              <w:left w:val="nil"/>
              <w:bottom w:val="nil"/>
              <w:right w:val="nil"/>
            </w:tcBorders>
            <w:shd w:val="clear" w:color="auto" w:fill="auto"/>
            <w:noWrap/>
            <w:vAlign w:val="bottom"/>
            <w:hideMark/>
          </w:tcPr>
          <w:p w14:paraId="180B9585" w14:textId="77777777" w:rsidR="007D0BC7" w:rsidRPr="00613B2C" w:rsidRDefault="007D0BC7" w:rsidP="00850B12">
            <w:pPr>
              <w:spacing w:after="0" w:line="240" w:lineRule="auto"/>
              <w:jc w:val="center"/>
              <w:rPr>
                <w:rFonts w:asciiTheme="majorHAnsi" w:hAnsiTheme="majorHAnsi"/>
              </w:rPr>
            </w:pPr>
            <w:r w:rsidRPr="00613B2C">
              <w:rPr>
                <w:rFonts w:asciiTheme="majorHAnsi" w:hAnsiTheme="majorHAnsi"/>
              </w:rPr>
              <w:t>7.733,8</w:t>
            </w:r>
          </w:p>
        </w:tc>
        <w:tc>
          <w:tcPr>
            <w:tcW w:w="1032" w:type="dxa"/>
            <w:tcBorders>
              <w:top w:val="nil"/>
              <w:left w:val="nil"/>
              <w:bottom w:val="nil"/>
              <w:right w:val="nil"/>
            </w:tcBorders>
            <w:shd w:val="clear" w:color="auto" w:fill="auto"/>
            <w:noWrap/>
            <w:vAlign w:val="bottom"/>
            <w:hideMark/>
          </w:tcPr>
          <w:p w14:paraId="0F73D082" w14:textId="77777777" w:rsidR="007D0BC7" w:rsidRPr="00613B2C" w:rsidRDefault="007D0BC7" w:rsidP="00850B12">
            <w:pPr>
              <w:spacing w:after="0" w:line="240" w:lineRule="auto"/>
              <w:jc w:val="center"/>
              <w:rPr>
                <w:rFonts w:asciiTheme="majorHAnsi" w:hAnsiTheme="majorHAnsi"/>
              </w:rPr>
            </w:pPr>
            <w:r w:rsidRPr="00613B2C">
              <w:rPr>
                <w:rFonts w:asciiTheme="majorHAnsi" w:hAnsiTheme="majorHAnsi"/>
              </w:rPr>
              <w:t>4.669,7</w:t>
            </w:r>
          </w:p>
        </w:tc>
        <w:tc>
          <w:tcPr>
            <w:tcW w:w="1702" w:type="dxa"/>
            <w:tcBorders>
              <w:top w:val="nil"/>
              <w:left w:val="nil"/>
              <w:bottom w:val="nil"/>
              <w:right w:val="nil"/>
            </w:tcBorders>
            <w:shd w:val="clear" w:color="auto" w:fill="auto"/>
            <w:noWrap/>
            <w:vAlign w:val="bottom"/>
            <w:hideMark/>
          </w:tcPr>
          <w:p w14:paraId="6912BFC0" w14:textId="77777777" w:rsidR="007D0BC7" w:rsidRPr="00613B2C" w:rsidRDefault="007D0BC7" w:rsidP="00850B12">
            <w:pPr>
              <w:spacing w:after="0" w:line="240" w:lineRule="auto"/>
              <w:jc w:val="center"/>
              <w:rPr>
                <w:rFonts w:asciiTheme="majorHAnsi" w:hAnsiTheme="majorHAnsi"/>
              </w:rPr>
            </w:pPr>
            <w:r w:rsidRPr="00613B2C">
              <w:rPr>
                <w:rFonts w:asciiTheme="majorHAnsi" w:hAnsiTheme="majorHAnsi"/>
              </w:rPr>
              <w:t>10.783,4</w:t>
            </w:r>
          </w:p>
        </w:tc>
      </w:tr>
      <w:tr w:rsidR="007D0BC7" w:rsidRPr="00613B2C" w14:paraId="3A0113D2" w14:textId="77777777" w:rsidTr="00850B12">
        <w:trPr>
          <w:trHeight w:val="260"/>
          <w:jc w:val="center"/>
        </w:trPr>
        <w:tc>
          <w:tcPr>
            <w:tcW w:w="950" w:type="dxa"/>
            <w:tcBorders>
              <w:top w:val="nil"/>
              <w:left w:val="nil"/>
              <w:bottom w:val="nil"/>
              <w:right w:val="nil"/>
            </w:tcBorders>
            <w:shd w:val="clear" w:color="auto" w:fill="auto"/>
            <w:noWrap/>
            <w:vAlign w:val="bottom"/>
            <w:hideMark/>
          </w:tcPr>
          <w:p w14:paraId="007CF6AD" w14:textId="77777777" w:rsidR="007D0BC7" w:rsidRPr="00613B2C" w:rsidRDefault="007D0BC7" w:rsidP="00850B12">
            <w:pPr>
              <w:spacing w:after="0" w:line="240" w:lineRule="auto"/>
              <w:jc w:val="center"/>
              <w:rPr>
                <w:rFonts w:asciiTheme="majorHAnsi" w:hAnsiTheme="majorHAnsi"/>
              </w:rPr>
            </w:pPr>
            <w:r w:rsidRPr="00613B2C">
              <w:rPr>
                <w:rFonts w:asciiTheme="majorHAnsi" w:hAnsiTheme="majorHAnsi"/>
              </w:rPr>
              <w:t>2016</w:t>
            </w:r>
          </w:p>
        </w:tc>
        <w:tc>
          <w:tcPr>
            <w:tcW w:w="1267" w:type="dxa"/>
            <w:tcBorders>
              <w:top w:val="nil"/>
              <w:left w:val="nil"/>
              <w:bottom w:val="nil"/>
              <w:right w:val="nil"/>
            </w:tcBorders>
            <w:shd w:val="clear" w:color="auto" w:fill="auto"/>
            <w:noWrap/>
            <w:vAlign w:val="bottom"/>
            <w:hideMark/>
          </w:tcPr>
          <w:p w14:paraId="550FF7F4" w14:textId="77777777" w:rsidR="007D0BC7" w:rsidRPr="00613B2C" w:rsidRDefault="007D0BC7" w:rsidP="00850B12">
            <w:pPr>
              <w:spacing w:after="0" w:line="240" w:lineRule="auto"/>
              <w:jc w:val="center"/>
              <w:rPr>
                <w:rFonts w:asciiTheme="majorHAnsi" w:hAnsiTheme="majorHAnsi"/>
              </w:rPr>
            </w:pPr>
            <w:r w:rsidRPr="00613B2C">
              <w:rPr>
                <w:rFonts w:asciiTheme="majorHAnsi" w:hAnsiTheme="majorHAnsi"/>
              </w:rPr>
              <w:t>42.394,3</w:t>
            </w:r>
          </w:p>
        </w:tc>
        <w:tc>
          <w:tcPr>
            <w:tcW w:w="1105" w:type="dxa"/>
            <w:tcBorders>
              <w:top w:val="nil"/>
              <w:left w:val="nil"/>
              <w:bottom w:val="nil"/>
              <w:right w:val="nil"/>
            </w:tcBorders>
            <w:shd w:val="clear" w:color="auto" w:fill="auto"/>
            <w:noWrap/>
            <w:vAlign w:val="bottom"/>
            <w:hideMark/>
          </w:tcPr>
          <w:p w14:paraId="60A832D1" w14:textId="77777777" w:rsidR="007D0BC7" w:rsidRPr="00613B2C" w:rsidRDefault="007D0BC7" w:rsidP="00850B12">
            <w:pPr>
              <w:spacing w:after="0" w:line="240" w:lineRule="auto"/>
              <w:jc w:val="center"/>
              <w:rPr>
                <w:rFonts w:asciiTheme="majorHAnsi" w:hAnsiTheme="majorHAnsi"/>
              </w:rPr>
            </w:pPr>
            <w:r w:rsidRPr="00613B2C">
              <w:rPr>
                <w:rFonts w:asciiTheme="majorHAnsi" w:hAnsiTheme="majorHAnsi"/>
              </w:rPr>
              <w:t>30.856,2</w:t>
            </w:r>
          </w:p>
        </w:tc>
        <w:tc>
          <w:tcPr>
            <w:tcW w:w="1032" w:type="dxa"/>
            <w:tcBorders>
              <w:top w:val="nil"/>
              <w:left w:val="nil"/>
              <w:bottom w:val="nil"/>
              <w:right w:val="nil"/>
            </w:tcBorders>
            <w:shd w:val="clear" w:color="auto" w:fill="auto"/>
            <w:noWrap/>
            <w:vAlign w:val="bottom"/>
            <w:hideMark/>
          </w:tcPr>
          <w:p w14:paraId="2FB265CD" w14:textId="77777777" w:rsidR="007D0BC7" w:rsidRPr="00613B2C" w:rsidRDefault="007D0BC7" w:rsidP="00850B12">
            <w:pPr>
              <w:spacing w:after="0" w:line="240" w:lineRule="auto"/>
              <w:jc w:val="center"/>
              <w:rPr>
                <w:rFonts w:asciiTheme="majorHAnsi" w:hAnsiTheme="majorHAnsi"/>
              </w:rPr>
            </w:pPr>
            <w:r w:rsidRPr="00613B2C">
              <w:rPr>
                <w:rFonts w:asciiTheme="majorHAnsi" w:hAnsiTheme="majorHAnsi"/>
              </w:rPr>
              <w:t>11.538,1</w:t>
            </w:r>
          </w:p>
        </w:tc>
        <w:tc>
          <w:tcPr>
            <w:tcW w:w="1032" w:type="dxa"/>
            <w:tcBorders>
              <w:top w:val="nil"/>
              <w:left w:val="nil"/>
              <w:bottom w:val="nil"/>
              <w:right w:val="nil"/>
            </w:tcBorders>
            <w:shd w:val="clear" w:color="auto" w:fill="auto"/>
            <w:noWrap/>
            <w:vAlign w:val="bottom"/>
            <w:hideMark/>
          </w:tcPr>
          <w:p w14:paraId="69F83632" w14:textId="77777777" w:rsidR="007D0BC7" w:rsidRPr="00613B2C" w:rsidRDefault="007D0BC7" w:rsidP="00850B12">
            <w:pPr>
              <w:spacing w:after="0" w:line="240" w:lineRule="auto"/>
              <w:jc w:val="center"/>
              <w:rPr>
                <w:rFonts w:asciiTheme="majorHAnsi" w:hAnsiTheme="majorHAnsi"/>
              </w:rPr>
            </w:pPr>
            <w:r w:rsidRPr="00613B2C">
              <w:rPr>
                <w:rFonts w:asciiTheme="majorHAnsi" w:hAnsiTheme="majorHAnsi"/>
              </w:rPr>
              <w:t>6.431,2</w:t>
            </w:r>
          </w:p>
        </w:tc>
        <w:tc>
          <w:tcPr>
            <w:tcW w:w="1702" w:type="dxa"/>
            <w:tcBorders>
              <w:top w:val="nil"/>
              <w:left w:val="nil"/>
              <w:bottom w:val="nil"/>
              <w:right w:val="nil"/>
            </w:tcBorders>
            <w:shd w:val="clear" w:color="auto" w:fill="auto"/>
            <w:noWrap/>
            <w:vAlign w:val="bottom"/>
            <w:hideMark/>
          </w:tcPr>
          <w:p w14:paraId="72441C5D" w14:textId="77777777" w:rsidR="007D0BC7" w:rsidRPr="00613B2C" w:rsidRDefault="007D0BC7" w:rsidP="00850B12">
            <w:pPr>
              <w:spacing w:after="0" w:line="240" w:lineRule="auto"/>
              <w:jc w:val="center"/>
              <w:rPr>
                <w:rFonts w:asciiTheme="majorHAnsi" w:hAnsiTheme="majorHAnsi"/>
              </w:rPr>
            </w:pPr>
            <w:r w:rsidRPr="00613B2C">
              <w:rPr>
                <w:rFonts w:asciiTheme="majorHAnsi" w:hAnsiTheme="majorHAnsi"/>
              </w:rPr>
              <w:t>14.701,4</w:t>
            </w:r>
          </w:p>
        </w:tc>
      </w:tr>
      <w:tr w:rsidR="007D0BC7" w:rsidRPr="00613B2C" w14:paraId="77A76BD9" w14:textId="77777777" w:rsidTr="00850B12">
        <w:trPr>
          <w:trHeight w:val="260"/>
          <w:jc w:val="center"/>
        </w:trPr>
        <w:tc>
          <w:tcPr>
            <w:tcW w:w="950" w:type="dxa"/>
            <w:tcBorders>
              <w:top w:val="nil"/>
              <w:left w:val="nil"/>
              <w:right w:val="nil"/>
            </w:tcBorders>
            <w:shd w:val="clear" w:color="auto" w:fill="auto"/>
            <w:noWrap/>
            <w:vAlign w:val="bottom"/>
            <w:hideMark/>
          </w:tcPr>
          <w:p w14:paraId="566238D4" w14:textId="77777777" w:rsidR="007D0BC7" w:rsidRPr="00613B2C" w:rsidRDefault="007D0BC7" w:rsidP="00850B12">
            <w:pPr>
              <w:spacing w:after="0" w:line="240" w:lineRule="auto"/>
              <w:jc w:val="center"/>
              <w:rPr>
                <w:rFonts w:asciiTheme="majorHAnsi" w:hAnsiTheme="majorHAnsi"/>
              </w:rPr>
            </w:pPr>
            <w:r w:rsidRPr="00613B2C">
              <w:rPr>
                <w:rFonts w:asciiTheme="majorHAnsi" w:hAnsiTheme="majorHAnsi"/>
              </w:rPr>
              <w:t>2017</w:t>
            </w:r>
          </w:p>
        </w:tc>
        <w:tc>
          <w:tcPr>
            <w:tcW w:w="1267" w:type="dxa"/>
            <w:tcBorders>
              <w:top w:val="nil"/>
              <w:left w:val="nil"/>
              <w:right w:val="nil"/>
            </w:tcBorders>
            <w:shd w:val="clear" w:color="auto" w:fill="auto"/>
            <w:noWrap/>
            <w:vAlign w:val="bottom"/>
            <w:hideMark/>
          </w:tcPr>
          <w:p w14:paraId="112AF92E" w14:textId="77777777" w:rsidR="007D0BC7" w:rsidRPr="00613B2C" w:rsidRDefault="007D0BC7" w:rsidP="00850B12">
            <w:pPr>
              <w:spacing w:after="0" w:line="240" w:lineRule="auto"/>
              <w:jc w:val="center"/>
              <w:rPr>
                <w:rFonts w:asciiTheme="majorHAnsi" w:hAnsiTheme="majorHAnsi"/>
              </w:rPr>
            </w:pPr>
            <w:r w:rsidRPr="00613B2C">
              <w:rPr>
                <w:rFonts w:asciiTheme="majorHAnsi" w:hAnsiTheme="majorHAnsi"/>
              </w:rPr>
              <w:t>38.842,0</w:t>
            </w:r>
          </w:p>
        </w:tc>
        <w:tc>
          <w:tcPr>
            <w:tcW w:w="1105" w:type="dxa"/>
            <w:tcBorders>
              <w:top w:val="nil"/>
              <w:left w:val="nil"/>
              <w:right w:val="nil"/>
            </w:tcBorders>
            <w:shd w:val="clear" w:color="auto" w:fill="auto"/>
            <w:noWrap/>
            <w:vAlign w:val="bottom"/>
            <w:hideMark/>
          </w:tcPr>
          <w:p w14:paraId="38A61D39" w14:textId="77777777" w:rsidR="007D0BC7" w:rsidRPr="00613B2C" w:rsidRDefault="007D0BC7" w:rsidP="00850B12">
            <w:pPr>
              <w:spacing w:after="0" w:line="240" w:lineRule="auto"/>
              <w:jc w:val="center"/>
              <w:rPr>
                <w:rFonts w:asciiTheme="majorHAnsi" w:hAnsiTheme="majorHAnsi"/>
              </w:rPr>
            </w:pPr>
            <w:r w:rsidRPr="00613B2C">
              <w:rPr>
                <w:rFonts w:asciiTheme="majorHAnsi" w:hAnsiTheme="majorHAnsi"/>
              </w:rPr>
              <w:t>30.008,3</w:t>
            </w:r>
          </w:p>
        </w:tc>
        <w:tc>
          <w:tcPr>
            <w:tcW w:w="1032" w:type="dxa"/>
            <w:tcBorders>
              <w:top w:val="nil"/>
              <w:left w:val="nil"/>
              <w:right w:val="nil"/>
            </w:tcBorders>
            <w:shd w:val="clear" w:color="auto" w:fill="auto"/>
            <w:noWrap/>
            <w:vAlign w:val="bottom"/>
            <w:hideMark/>
          </w:tcPr>
          <w:p w14:paraId="57BBE06F" w14:textId="77777777" w:rsidR="007D0BC7" w:rsidRPr="00613B2C" w:rsidRDefault="007D0BC7" w:rsidP="00850B12">
            <w:pPr>
              <w:spacing w:after="0" w:line="240" w:lineRule="auto"/>
              <w:jc w:val="center"/>
              <w:rPr>
                <w:rFonts w:asciiTheme="majorHAnsi" w:hAnsiTheme="majorHAnsi"/>
              </w:rPr>
            </w:pPr>
            <w:r w:rsidRPr="00613B2C">
              <w:rPr>
                <w:rFonts w:asciiTheme="majorHAnsi" w:hAnsiTheme="majorHAnsi"/>
              </w:rPr>
              <w:t>8.833,7</w:t>
            </w:r>
          </w:p>
        </w:tc>
        <w:tc>
          <w:tcPr>
            <w:tcW w:w="1032" w:type="dxa"/>
            <w:tcBorders>
              <w:top w:val="nil"/>
              <w:left w:val="nil"/>
              <w:right w:val="nil"/>
            </w:tcBorders>
            <w:shd w:val="clear" w:color="auto" w:fill="auto"/>
            <w:noWrap/>
            <w:vAlign w:val="bottom"/>
            <w:hideMark/>
          </w:tcPr>
          <w:p w14:paraId="5D9DDC29" w14:textId="77777777" w:rsidR="007D0BC7" w:rsidRPr="00613B2C" w:rsidRDefault="007D0BC7" w:rsidP="00850B12">
            <w:pPr>
              <w:spacing w:after="0" w:line="240" w:lineRule="auto"/>
              <w:jc w:val="center"/>
              <w:rPr>
                <w:rFonts w:asciiTheme="majorHAnsi" w:hAnsiTheme="majorHAnsi"/>
              </w:rPr>
            </w:pPr>
            <w:r w:rsidRPr="00613B2C">
              <w:rPr>
                <w:rFonts w:asciiTheme="majorHAnsi" w:hAnsiTheme="majorHAnsi"/>
              </w:rPr>
              <w:t>5.079,2</w:t>
            </w:r>
          </w:p>
        </w:tc>
        <w:tc>
          <w:tcPr>
            <w:tcW w:w="1702" w:type="dxa"/>
            <w:tcBorders>
              <w:top w:val="nil"/>
              <w:left w:val="nil"/>
              <w:right w:val="nil"/>
            </w:tcBorders>
            <w:shd w:val="clear" w:color="auto" w:fill="auto"/>
            <w:noWrap/>
            <w:vAlign w:val="bottom"/>
            <w:hideMark/>
          </w:tcPr>
          <w:p w14:paraId="0C1408EF" w14:textId="77777777" w:rsidR="007D0BC7" w:rsidRPr="00613B2C" w:rsidRDefault="007D0BC7" w:rsidP="00850B12">
            <w:pPr>
              <w:spacing w:after="0" w:line="240" w:lineRule="auto"/>
              <w:jc w:val="center"/>
              <w:rPr>
                <w:rFonts w:asciiTheme="majorHAnsi" w:hAnsiTheme="majorHAnsi"/>
              </w:rPr>
            </w:pPr>
            <w:r w:rsidRPr="00613B2C">
              <w:rPr>
                <w:rFonts w:asciiTheme="majorHAnsi" w:hAnsiTheme="majorHAnsi"/>
              </w:rPr>
              <w:t>11.596,6</w:t>
            </w:r>
          </w:p>
        </w:tc>
      </w:tr>
      <w:tr w:rsidR="007D0BC7" w:rsidRPr="00613B2C" w14:paraId="14DD7C80" w14:textId="77777777" w:rsidTr="00850B12">
        <w:trPr>
          <w:trHeight w:val="260"/>
          <w:jc w:val="center"/>
        </w:trPr>
        <w:tc>
          <w:tcPr>
            <w:tcW w:w="950" w:type="dxa"/>
            <w:tcBorders>
              <w:top w:val="nil"/>
              <w:left w:val="nil"/>
              <w:bottom w:val="single" w:sz="4" w:space="0" w:color="auto"/>
              <w:right w:val="nil"/>
            </w:tcBorders>
            <w:shd w:val="clear" w:color="auto" w:fill="auto"/>
            <w:noWrap/>
            <w:vAlign w:val="bottom"/>
            <w:hideMark/>
          </w:tcPr>
          <w:p w14:paraId="6CE1586B" w14:textId="1E1F2C5B" w:rsidR="007D0BC7" w:rsidRPr="00613B2C" w:rsidRDefault="006062AD" w:rsidP="00850B12">
            <w:pPr>
              <w:spacing w:after="0" w:line="240" w:lineRule="auto"/>
              <w:jc w:val="center"/>
              <w:rPr>
                <w:rFonts w:asciiTheme="majorHAnsi" w:hAnsiTheme="majorHAnsi"/>
              </w:rPr>
            </w:pPr>
            <w:r>
              <w:rPr>
                <w:rFonts w:asciiTheme="majorHAnsi" w:hAnsiTheme="majorHAnsi"/>
              </w:rPr>
              <w:t>2018</w:t>
            </w:r>
          </w:p>
        </w:tc>
        <w:tc>
          <w:tcPr>
            <w:tcW w:w="1267" w:type="dxa"/>
            <w:tcBorders>
              <w:top w:val="nil"/>
              <w:left w:val="nil"/>
              <w:bottom w:val="single" w:sz="4" w:space="0" w:color="auto"/>
              <w:right w:val="nil"/>
            </w:tcBorders>
            <w:shd w:val="clear" w:color="auto" w:fill="auto"/>
            <w:noWrap/>
            <w:vAlign w:val="bottom"/>
            <w:hideMark/>
          </w:tcPr>
          <w:p w14:paraId="1C09F2FD" w14:textId="77777777" w:rsidR="007D0BC7" w:rsidRPr="00613B2C" w:rsidRDefault="007D0BC7" w:rsidP="00850B12">
            <w:pPr>
              <w:spacing w:after="0" w:line="240" w:lineRule="auto"/>
              <w:jc w:val="center"/>
              <w:rPr>
                <w:rFonts w:asciiTheme="majorHAnsi" w:hAnsiTheme="majorHAnsi"/>
              </w:rPr>
            </w:pPr>
            <w:r w:rsidRPr="00613B2C">
              <w:rPr>
                <w:rFonts w:asciiTheme="majorHAnsi" w:hAnsiTheme="majorHAnsi"/>
              </w:rPr>
              <w:t>41.284,0</w:t>
            </w:r>
          </w:p>
        </w:tc>
        <w:tc>
          <w:tcPr>
            <w:tcW w:w="1105" w:type="dxa"/>
            <w:tcBorders>
              <w:top w:val="nil"/>
              <w:left w:val="nil"/>
              <w:bottom w:val="single" w:sz="4" w:space="0" w:color="auto"/>
              <w:right w:val="nil"/>
            </w:tcBorders>
            <w:shd w:val="clear" w:color="auto" w:fill="auto"/>
            <w:noWrap/>
            <w:vAlign w:val="bottom"/>
            <w:hideMark/>
          </w:tcPr>
          <w:p w14:paraId="44BB9FF6" w14:textId="77777777" w:rsidR="007D0BC7" w:rsidRPr="00613B2C" w:rsidRDefault="007D0BC7" w:rsidP="00850B12">
            <w:pPr>
              <w:spacing w:after="0" w:line="240" w:lineRule="auto"/>
              <w:jc w:val="center"/>
              <w:rPr>
                <w:rFonts w:asciiTheme="majorHAnsi" w:hAnsiTheme="majorHAnsi"/>
              </w:rPr>
            </w:pPr>
            <w:r w:rsidRPr="00613B2C">
              <w:rPr>
                <w:rFonts w:asciiTheme="majorHAnsi" w:hAnsiTheme="majorHAnsi"/>
              </w:rPr>
              <w:t>31.381,1</w:t>
            </w:r>
          </w:p>
        </w:tc>
        <w:tc>
          <w:tcPr>
            <w:tcW w:w="1032" w:type="dxa"/>
            <w:tcBorders>
              <w:top w:val="nil"/>
              <w:left w:val="nil"/>
              <w:bottom w:val="single" w:sz="4" w:space="0" w:color="auto"/>
              <w:right w:val="nil"/>
            </w:tcBorders>
            <w:shd w:val="clear" w:color="auto" w:fill="auto"/>
            <w:noWrap/>
            <w:vAlign w:val="bottom"/>
            <w:hideMark/>
          </w:tcPr>
          <w:p w14:paraId="6CF48837" w14:textId="77777777" w:rsidR="007D0BC7" w:rsidRPr="00613B2C" w:rsidRDefault="007D0BC7" w:rsidP="00850B12">
            <w:pPr>
              <w:spacing w:after="0" w:line="240" w:lineRule="auto"/>
              <w:jc w:val="center"/>
              <w:rPr>
                <w:rFonts w:asciiTheme="majorHAnsi" w:hAnsiTheme="majorHAnsi"/>
              </w:rPr>
            </w:pPr>
            <w:r w:rsidRPr="00613B2C">
              <w:rPr>
                <w:rFonts w:asciiTheme="majorHAnsi" w:hAnsiTheme="majorHAnsi"/>
              </w:rPr>
              <w:t>9.902,9</w:t>
            </w:r>
          </w:p>
        </w:tc>
        <w:tc>
          <w:tcPr>
            <w:tcW w:w="1032" w:type="dxa"/>
            <w:tcBorders>
              <w:top w:val="nil"/>
              <w:left w:val="nil"/>
              <w:bottom w:val="single" w:sz="4" w:space="0" w:color="auto"/>
              <w:right w:val="nil"/>
            </w:tcBorders>
            <w:shd w:val="clear" w:color="auto" w:fill="auto"/>
            <w:noWrap/>
            <w:vAlign w:val="bottom"/>
            <w:hideMark/>
          </w:tcPr>
          <w:p w14:paraId="7C1A9CBD" w14:textId="77777777" w:rsidR="007D0BC7" w:rsidRPr="00613B2C" w:rsidRDefault="007D0BC7" w:rsidP="00850B12">
            <w:pPr>
              <w:spacing w:after="0" w:line="240" w:lineRule="auto"/>
              <w:jc w:val="center"/>
              <w:rPr>
                <w:rFonts w:asciiTheme="majorHAnsi" w:hAnsiTheme="majorHAnsi"/>
              </w:rPr>
            </w:pPr>
            <w:r w:rsidRPr="00613B2C">
              <w:rPr>
                <w:rFonts w:asciiTheme="majorHAnsi" w:hAnsiTheme="majorHAnsi"/>
              </w:rPr>
              <w:t>5.774,2</w:t>
            </w:r>
          </w:p>
        </w:tc>
        <w:tc>
          <w:tcPr>
            <w:tcW w:w="1702" w:type="dxa"/>
            <w:tcBorders>
              <w:top w:val="nil"/>
              <w:left w:val="nil"/>
              <w:bottom w:val="single" w:sz="4" w:space="0" w:color="auto"/>
              <w:right w:val="nil"/>
            </w:tcBorders>
            <w:shd w:val="clear" w:color="auto" w:fill="auto"/>
            <w:noWrap/>
            <w:vAlign w:val="bottom"/>
            <w:hideMark/>
          </w:tcPr>
          <w:p w14:paraId="23FBFB1E" w14:textId="77777777" w:rsidR="007D0BC7" w:rsidRPr="00613B2C" w:rsidRDefault="007D0BC7" w:rsidP="00850B12">
            <w:pPr>
              <w:spacing w:after="0" w:line="240" w:lineRule="auto"/>
              <w:jc w:val="center"/>
              <w:rPr>
                <w:rFonts w:asciiTheme="majorHAnsi" w:hAnsiTheme="majorHAnsi"/>
              </w:rPr>
            </w:pPr>
            <w:r w:rsidRPr="00613B2C">
              <w:rPr>
                <w:rFonts w:asciiTheme="majorHAnsi" w:hAnsiTheme="majorHAnsi"/>
              </w:rPr>
              <w:t>13.420,7</w:t>
            </w:r>
          </w:p>
        </w:tc>
      </w:tr>
    </w:tbl>
    <w:p w14:paraId="0FFE02BC" w14:textId="77777777" w:rsidR="007D0BC7" w:rsidRPr="00613B2C" w:rsidRDefault="007D0BC7" w:rsidP="007D0BC7">
      <w:pPr>
        <w:spacing w:after="0" w:line="240" w:lineRule="auto"/>
        <w:jc w:val="both"/>
        <w:rPr>
          <w:rFonts w:asciiTheme="majorHAnsi" w:hAnsiTheme="majorHAnsi"/>
        </w:rPr>
      </w:pPr>
    </w:p>
    <w:p w14:paraId="1EBB9DAC" w14:textId="228EDEE3" w:rsidR="007D0BC7" w:rsidRPr="00613B2C" w:rsidRDefault="007D0BC7" w:rsidP="007D0BC7">
      <w:pPr>
        <w:spacing w:after="0" w:line="240" w:lineRule="auto"/>
        <w:jc w:val="both"/>
        <w:rPr>
          <w:rFonts w:asciiTheme="majorHAnsi" w:hAnsiTheme="majorHAnsi"/>
        </w:rPr>
      </w:pPr>
      <w:r w:rsidRPr="00613B2C">
        <w:rPr>
          <w:rFonts w:asciiTheme="majorHAnsi" w:hAnsiTheme="majorHAnsi"/>
        </w:rPr>
        <w:t xml:space="preserve">Cabe mencionar que debido a la obligación que tienen algunas entidades de repartir utilidades entres sus afiliados la comparación </w:t>
      </w:r>
      <w:r w:rsidR="006062AD">
        <w:rPr>
          <w:rFonts w:asciiTheme="majorHAnsi" w:hAnsiTheme="majorHAnsi"/>
        </w:rPr>
        <w:t>se realiza</w:t>
      </w:r>
      <w:r w:rsidRPr="00613B2C">
        <w:rPr>
          <w:rFonts w:asciiTheme="majorHAnsi" w:hAnsiTheme="majorHAnsi"/>
        </w:rPr>
        <w:t xml:space="preserve"> utilizando el “Resultado antes de participación utilidades e impuestos”, los cuales, además de incluir los resultados operacionales, también incluyen los resultados financieros, es decir los rendimientos de sus inversiones propias</w:t>
      </w:r>
      <w:r w:rsidR="006062AD">
        <w:rPr>
          <w:rFonts w:asciiTheme="majorHAnsi" w:hAnsiTheme="majorHAnsi"/>
        </w:rPr>
        <w:t xml:space="preserve"> y capital mínimo de funcionamiento</w:t>
      </w:r>
      <w:r w:rsidRPr="00613B2C">
        <w:rPr>
          <w:rFonts w:asciiTheme="majorHAnsi" w:hAnsiTheme="majorHAnsi"/>
        </w:rPr>
        <w:t>.</w:t>
      </w:r>
    </w:p>
    <w:p w14:paraId="1E9C8BE1" w14:textId="77777777" w:rsidR="007D0BC7" w:rsidRPr="00613B2C" w:rsidRDefault="007D0BC7" w:rsidP="007D0BC7">
      <w:pPr>
        <w:spacing w:after="0" w:line="240" w:lineRule="auto"/>
        <w:jc w:val="both"/>
        <w:rPr>
          <w:rFonts w:asciiTheme="majorHAnsi" w:hAnsiTheme="majorHAnsi"/>
        </w:rPr>
      </w:pPr>
    </w:p>
    <w:p w14:paraId="76AEF9A5" w14:textId="20BA4A70" w:rsidR="007D0BC7" w:rsidRPr="00613B2C" w:rsidRDefault="007D0BC7" w:rsidP="007D0BC7">
      <w:pPr>
        <w:spacing w:after="0" w:line="240" w:lineRule="auto"/>
        <w:jc w:val="both"/>
        <w:rPr>
          <w:rFonts w:asciiTheme="majorHAnsi" w:hAnsiTheme="majorHAnsi"/>
        </w:rPr>
      </w:pPr>
      <w:r w:rsidRPr="00613B2C">
        <w:rPr>
          <w:rFonts w:asciiTheme="majorHAnsi" w:hAnsiTheme="majorHAnsi"/>
        </w:rPr>
        <w:t>Con esos niveles de utilidades y tomando en consideración el patrimonio de cada entidad se aprecia que tanto en la rentabilidad sobre patrimonio, así como la rentabilidad sobre activo, BN-Vital y BCR Pensión son las que presentan el mejor desempeño a lo largo de los diferentes periodos observados. El BCR tiene ROE entre el 33% y el 27% y ROA entre 26% y 20%</w:t>
      </w:r>
      <w:r w:rsidR="006062AD">
        <w:rPr>
          <w:rFonts w:asciiTheme="majorHAnsi" w:hAnsiTheme="majorHAnsi"/>
        </w:rPr>
        <w:t xml:space="preserve">. Vida Plena presenta ROE menor </w:t>
      </w:r>
      <w:r w:rsidRPr="00613B2C">
        <w:rPr>
          <w:rFonts w:asciiTheme="majorHAnsi" w:hAnsiTheme="majorHAnsi"/>
        </w:rPr>
        <w:t xml:space="preserve">al 10% durante </w:t>
      </w:r>
      <w:r w:rsidR="006062AD">
        <w:rPr>
          <w:rFonts w:asciiTheme="majorHAnsi" w:hAnsiTheme="majorHAnsi"/>
        </w:rPr>
        <w:t>el último año analizado</w:t>
      </w:r>
      <w:r w:rsidRPr="00613B2C">
        <w:rPr>
          <w:rFonts w:asciiTheme="majorHAnsi" w:hAnsiTheme="majorHAnsi"/>
        </w:rPr>
        <w:t>.</w:t>
      </w:r>
    </w:p>
    <w:p w14:paraId="31AC3703" w14:textId="25C6801C" w:rsidR="007D0BC7" w:rsidRPr="00613B2C" w:rsidRDefault="007D0BC7" w:rsidP="007D0BC7">
      <w:pPr>
        <w:spacing w:after="0" w:line="240" w:lineRule="auto"/>
        <w:jc w:val="both"/>
        <w:rPr>
          <w:rFonts w:asciiTheme="majorHAnsi" w:hAnsiTheme="majorHAnsi"/>
        </w:rPr>
      </w:pPr>
    </w:p>
    <w:p w14:paraId="452AF49D" w14:textId="7745CE45" w:rsidR="007D0BC7" w:rsidRPr="00613B2C" w:rsidRDefault="00BB157A" w:rsidP="00BB157A">
      <w:pPr>
        <w:spacing w:after="0" w:line="240" w:lineRule="auto"/>
        <w:jc w:val="center"/>
        <w:rPr>
          <w:rFonts w:asciiTheme="majorHAnsi" w:hAnsiTheme="majorHAnsi"/>
        </w:rPr>
      </w:pPr>
      <w:r>
        <w:rPr>
          <w:rFonts w:asciiTheme="majorHAnsi" w:hAnsiTheme="majorHAnsi"/>
        </w:rPr>
        <w:t>Cuadro 14</w:t>
      </w:r>
    </w:p>
    <w:p w14:paraId="1BF704A7" w14:textId="4C072F24" w:rsidR="007D0BC7" w:rsidRPr="00613B2C" w:rsidRDefault="007D0BC7" w:rsidP="007D0BC7">
      <w:pPr>
        <w:spacing w:after="0" w:line="240" w:lineRule="auto"/>
        <w:jc w:val="center"/>
        <w:rPr>
          <w:rFonts w:asciiTheme="majorHAnsi" w:hAnsiTheme="majorHAnsi"/>
        </w:rPr>
      </w:pPr>
      <w:r w:rsidRPr="00613B2C">
        <w:rPr>
          <w:rFonts w:asciiTheme="majorHAnsi" w:hAnsiTheme="majorHAnsi"/>
        </w:rPr>
        <w:t>Indicadores Financieros</w:t>
      </w:r>
    </w:p>
    <w:p w14:paraId="6E7A376F" w14:textId="383E6051" w:rsidR="007D0BC7" w:rsidRDefault="007D0BC7" w:rsidP="007D0BC7">
      <w:pPr>
        <w:spacing w:after="0" w:line="240" w:lineRule="auto"/>
        <w:jc w:val="center"/>
        <w:rPr>
          <w:rFonts w:asciiTheme="majorHAnsi" w:hAnsiTheme="majorHAnsi"/>
        </w:rPr>
      </w:pPr>
      <w:r w:rsidRPr="00613B2C">
        <w:rPr>
          <w:rFonts w:asciiTheme="majorHAnsi" w:hAnsiTheme="majorHAnsi"/>
        </w:rPr>
        <w:t>Septiembre de cada año</w:t>
      </w:r>
    </w:p>
    <w:p w14:paraId="3F7E5644" w14:textId="7E3C0F40" w:rsidR="005E1180" w:rsidRPr="00613B2C" w:rsidRDefault="005E1180" w:rsidP="007D0BC7">
      <w:pPr>
        <w:spacing w:after="0" w:line="240" w:lineRule="auto"/>
        <w:jc w:val="center"/>
        <w:rPr>
          <w:rFonts w:asciiTheme="majorHAnsi" w:hAnsiTheme="majorHAnsi"/>
        </w:rPr>
      </w:pPr>
      <w:r>
        <w:rPr>
          <w:rFonts w:asciiTheme="majorHAnsi" w:hAnsiTheme="majorHAnsi"/>
        </w:rPr>
        <w:t>(porcentajes)</w:t>
      </w:r>
    </w:p>
    <w:bookmarkStart w:id="11" w:name="_MON_1601877590"/>
    <w:bookmarkEnd w:id="11"/>
    <w:p w14:paraId="61AD8313" w14:textId="46B6B771" w:rsidR="007D0BC7" w:rsidRPr="00613B2C" w:rsidRDefault="007D0BC7" w:rsidP="007D0BC7">
      <w:pPr>
        <w:spacing w:after="0" w:line="240" w:lineRule="auto"/>
        <w:jc w:val="center"/>
        <w:rPr>
          <w:rFonts w:asciiTheme="majorHAnsi" w:hAnsiTheme="majorHAnsi"/>
        </w:rPr>
      </w:pPr>
      <w:r w:rsidRPr="00613B2C">
        <w:rPr>
          <w:rFonts w:asciiTheme="majorHAnsi" w:hAnsiTheme="majorHAnsi"/>
        </w:rPr>
        <w:object w:dxaOrig="7522" w:dyaOrig="2344" w14:anchorId="66BE56AD">
          <v:shape id="_x0000_i1034" type="#_x0000_t75" style="width:375pt;height:117pt" o:ole="">
            <v:imagedata r:id="rId38" o:title=""/>
          </v:shape>
          <o:OLEObject Type="Embed" ProgID="Excel.Sheet.12" ShapeID="_x0000_i1034" DrawAspect="Content" ObjectID="_1610970914" r:id="rId39"/>
        </w:object>
      </w:r>
    </w:p>
    <w:p w14:paraId="588A6384" w14:textId="77777777" w:rsidR="007D0BC7" w:rsidRPr="00613B2C" w:rsidRDefault="007D0BC7" w:rsidP="007D0BC7">
      <w:pPr>
        <w:spacing w:after="0" w:line="240" w:lineRule="auto"/>
        <w:jc w:val="center"/>
        <w:rPr>
          <w:rFonts w:asciiTheme="majorHAnsi" w:hAnsiTheme="majorHAnsi"/>
        </w:rPr>
      </w:pPr>
    </w:p>
    <w:p w14:paraId="5C3A0371" w14:textId="77777777" w:rsidR="007D0BC7" w:rsidRPr="00613B2C" w:rsidRDefault="007D0BC7" w:rsidP="007D0BC7">
      <w:pPr>
        <w:pStyle w:val="Ttulo"/>
      </w:pPr>
      <w:r w:rsidRPr="00613B2C">
        <w:t xml:space="preserve">Fondo de Capitalización Laboral </w:t>
      </w:r>
    </w:p>
    <w:p w14:paraId="38A2E210" w14:textId="77777777" w:rsidR="007D0BC7" w:rsidRPr="00613B2C" w:rsidRDefault="007D0BC7" w:rsidP="007D0BC7">
      <w:pPr>
        <w:rPr>
          <w:rFonts w:asciiTheme="majorHAnsi" w:hAnsiTheme="majorHAnsi"/>
        </w:rPr>
      </w:pPr>
    </w:p>
    <w:p w14:paraId="5BC75BC0" w14:textId="482D67DE" w:rsidR="007D0BC7" w:rsidRPr="00613B2C" w:rsidRDefault="007D0BC7" w:rsidP="008C3D73">
      <w:pPr>
        <w:jc w:val="both"/>
        <w:rPr>
          <w:rFonts w:asciiTheme="majorHAnsi" w:hAnsiTheme="majorHAnsi"/>
        </w:rPr>
      </w:pPr>
      <w:r w:rsidRPr="00613B2C">
        <w:rPr>
          <w:rFonts w:asciiTheme="majorHAnsi" w:hAnsiTheme="majorHAnsi"/>
        </w:rPr>
        <w:t xml:space="preserve">El 18,81% de los retiros del FCL durante el último año corresponden a los originados por extinción de la relación laboral. Más del 50% son salidas </w:t>
      </w:r>
      <w:r w:rsidR="008C3D73">
        <w:rPr>
          <w:rFonts w:asciiTheme="majorHAnsi" w:hAnsiTheme="majorHAnsi"/>
        </w:rPr>
        <w:t xml:space="preserve">como consecuencia del traslado anual </w:t>
      </w:r>
      <w:r w:rsidRPr="00613B2C">
        <w:rPr>
          <w:rFonts w:asciiTheme="majorHAnsi" w:hAnsiTheme="majorHAnsi"/>
        </w:rPr>
        <w:t>del 50% de los aportes acumulados realizado durante marzo.</w:t>
      </w:r>
    </w:p>
    <w:p w14:paraId="57B91708" w14:textId="0E626C0F" w:rsidR="00BB157A" w:rsidRPr="00BB157A" w:rsidRDefault="00BB157A" w:rsidP="007D0BC7">
      <w:pPr>
        <w:spacing w:after="0" w:line="240" w:lineRule="auto"/>
        <w:jc w:val="center"/>
        <w:rPr>
          <w:rFonts w:asciiTheme="majorHAnsi" w:hAnsiTheme="majorHAnsi"/>
          <w:b/>
        </w:rPr>
      </w:pPr>
      <w:r>
        <w:rPr>
          <w:rFonts w:asciiTheme="majorHAnsi" w:hAnsiTheme="majorHAnsi"/>
          <w:b/>
        </w:rPr>
        <w:t>Cuadro 15</w:t>
      </w:r>
    </w:p>
    <w:p w14:paraId="0A17A9B9" w14:textId="77777777" w:rsidR="007D0BC7" w:rsidRPr="00613B2C" w:rsidRDefault="007D0BC7" w:rsidP="007D0BC7">
      <w:pPr>
        <w:spacing w:after="0" w:line="240" w:lineRule="auto"/>
        <w:jc w:val="center"/>
        <w:rPr>
          <w:rFonts w:asciiTheme="majorHAnsi" w:hAnsiTheme="majorHAnsi"/>
          <w:b/>
          <w:i/>
        </w:rPr>
      </w:pPr>
      <w:proofErr w:type="gramStart"/>
      <w:r w:rsidRPr="00613B2C">
        <w:rPr>
          <w:rFonts w:asciiTheme="majorHAnsi" w:hAnsiTheme="majorHAnsi"/>
          <w:b/>
          <w:i/>
        </w:rPr>
        <w:t>FCL :</w:t>
      </w:r>
      <w:proofErr w:type="gramEnd"/>
      <w:r w:rsidRPr="00613B2C">
        <w:rPr>
          <w:rFonts w:asciiTheme="majorHAnsi" w:hAnsiTheme="majorHAnsi"/>
          <w:b/>
          <w:i/>
        </w:rPr>
        <w:t xml:space="preserve"> Retiro de recursos </w:t>
      </w:r>
    </w:p>
    <w:p w14:paraId="48D6D0EF" w14:textId="77777777" w:rsidR="007D0BC7" w:rsidRPr="00613B2C" w:rsidRDefault="007D0BC7" w:rsidP="007D0BC7">
      <w:pPr>
        <w:spacing w:after="0" w:line="240" w:lineRule="auto"/>
        <w:jc w:val="center"/>
        <w:rPr>
          <w:rFonts w:asciiTheme="majorHAnsi" w:hAnsiTheme="majorHAnsi"/>
          <w:b/>
          <w:i/>
        </w:rPr>
      </w:pPr>
      <w:r w:rsidRPr="00613B2C">
        <w:rPr>
          <w:rFonts w:asciiTheme="majorHAnsi" w:hAnsiTheme="majorHAnsi"/>
          <w:b/>
          <w:i/>
        </w:rPr>
        <w:t>(últimos 12 meses)</w:t>
      </w:r>
    </w:p>
    <w:p w14:paraId="741A3989" w14:textId="77777777" w:rsidR="007D0BC7" w:rsidRPr="00613B2C" w:rsidRDefault="007D0BC7" w:rsidP="007D0BC7">
      <w:pPr>
        <w:rPr>
          <w:rFonts w:asciiTheme="majorHAnsi" w:hAnsiTheme="majorHAnsi"/>
        </w:rPr>
      </w:pPr>
      <w:r w:rsidRPr="00613B2C">
        <w:rPr>
          <w:rFonts w:asciiTheme="majorHAnsi" w:hAnsiTheme="majorHAnsi"/>
        </w:rPr>
        <w:object w:dxaOrig="10869" w:dyaOrig="1472" w14:anchorId="2F101FE3">
          <v:shape id="_x0000_i1035" type="#_x0000_t75" style="width:453pt;height:61.5pt" o:ole="">
            <v:imagedata r:id="rId40" o:title=""/>
          </v:shape>
          <o:OLEObject Type="Embed" ProgID="Excel.Sheet.12" ShapeID="_x0000_i1035" DrawAspect="Content" ObjectID="_1610970915" r:id="rId41"/>
        </w:object>
      </w:r>
    </w:p>
    <w:p w14:paraId="2D1E3F5F" w14:textId="1D22C10C" w:rsidR="007D0BC7" w:rsidRPr="00613B2C" w:rsidRDefault="007D0BC7" w:rsidP="007D0BC7">
      <w:pPr>
        <w:spacing w:after="0" w:line="240" w:lineRule="auto"/>
        <w:jc w:val="both"/>
        <w:rPr>
          <w:rFonts w:asciiTheme="majorHAnsi" w:hAnsiTheme="majorHAnsi"/>
        </w:rPr>
      </w:pPr>
      <w:r w:rsidRPr="00613B2C">
        <w:rPr>
          <w:rFonts w:asciiTheme="majorHAnsi" w:hAnsiTheme="majorHAnsi"/>
        </w:rPr>
        <w:t xml:space="preserve">El comportamiento de este producto </w:t>
      </w:r>
      <w:r w:rsidR="008C3D73">
        <w:rPr>
          <w:rFonts w:asciiTheme="majorHAnsi" w:hAnsiTheme="majorHAnsi"/>
        </w:rPr>
        <w:t xml:space="preserve">nos permite corroborar comportamiento en el mercado laboral, incluyendo el </w:t>
      </w:r>
      <w:r w:rsidRPr="00613B2C">
        <w:rPr>
          <w:rFonts w:asciiTheme="majorHAnsi" w:hAnsiTheme="majorHAnsi"/>
        </w:rPr>
        <w:t>desempleo en este sector o las prácticas de liquidar anualmente a los empleados.</w:t>
      </w:r>
    </w:p>
    <w:p w14:paraId="7C71EA10" w14:textId="77777777" w:rsidR="007D0BC7" w:rsidRPr="00613B2C" w:rsidRDefault="007D0BC7" w:rsidP="007D0BC7">
      <w:pPr>
        <w:spacing w:after="0" w:line="240" w:lineRule="auto"/>
        <w:jc w:val="both"/>
        <w:rPr>
          <w:rFonts w:asciiTheme="majorHAnsi" w:hAnsiTheme="majorHAnsi"/>
          <w:color w:val="00B050"/>
        </w:rPr>
      </w:pPr>
    </w:p>
    <w:p w14:paraId="392D5DC0" w14:textId="44117DC6" w:rsidR="007D0BC7" w:rsidRPr="00613B2C" w:rsidRDefault="007D0BC7" w:rsidP="007D0BC7">
      <w:pPr>
        <w:spacing w:after="0" w:line="240" w:lineRule="auto"/>
        <w:jc w:val="both"/>
        <w:rPr>
          <w:rFonts w:asciiTheme="majorHAnsi" w:hAnsiTheme="majorHAnsi"/>
        </w:rPr>
      </w:pPr>
      <w:r w:rsidRPr="00CA684E">
        <w:rPr>
          <w:rFonts w:asciiTheme="majorHAnsi" w:hAnsiTheme="majorHAnsi"/>
        </w:rPr>
        <w:t>En el 2018 se observa un aumento de la cantidad de retiros del FCL por extinción de la relación laboral. Este aumento fue del 7,78% con</w:t>
      </w:r>
      <w:r w:rsidRPr="00613B2C">
        <w:rPr>
          <w:rFonts w:asciiTheme="majorHAnsi" w:hAnsiTheme="majorHAnsi"/>
        </w:rPr>
        <w:t xml:space="preserve"> respecto del periodo anterior. La cantidad de </w:t>
      </w:r>
      <w:r w:rsidR="00473759">
        <w:rPr>
          <w:rFonts w:asciiTheme="majorHAnsi" w:hAnsiTheme="majorHAnsi"/>
        </w:rPr>
        <w:t>retiros</w:t>
      </w:r>
      <w:r w:rsidR="007B7CA3">
        <w:rPr>
          <w:rFonts w:asciiTheme="majorHAnsi" w:hAnsiTheme="majorHAnsi"/>
        </w:rPr>
        <w:t xml:space="preserve"> por ese concepto</w:t>
      </w:r>
      <w:r w:rsidR="003548B5">
        <w:rPr>
          <w:rFonts w:asciiTheme="majorHAnsi" w:hAnsiTheme="majorHAnsi"/>
        </w:rPr>
        <w:t>, durante los últimos doce meses,</w:t>
      </w:r>
      <w:r w:rsidRPr="00613B2C">
        <w:rPr>
          <w:rFonts w:asciiTheme="majorHAnsi" w:hAnsiTheme="majorHAnsi"/>
        </w:rPr>
        <w:t xml:space="preserve"> representó el 28,39% del total de </w:t>
      </w:r>
      <w:r w:rsidR="007B7CA3">
        <w:rPr>
          <w:rFonts w:asciiTheme="majorHAnsi" w:hAnsiTheme="majorHAnsi"/>
        </w:rPr>
        <w:t>afiliados</w:t>
      </w:r>
      <w:r w:rsidRPr="00613B2C">
        <w:rPr>
          <w:rFonts w:asciiTheme="majorHAnsi" w:hAnsiTheme="majorHAnsi"/>
        </w:rPr>
        <w:t xml:space="preserve">.  Del total de retiros </w:t>
      </w:r>
      <w:r w:rsidR="00CA684E">
        <w:rPr>
          <w:rFonts w:asciiTheme="majorHAnsi" w:hAnsiTheme="majorHAnsi"/>
        </w:rPr>
        <w:t xml:space="preserve">realizados durante el periodo antes indicado (233 916) </w:t>
      </w:r>
      <w:r w:rsidRPr="00613B2C">
        <w:rPr>
          <w:rFonts w:asciiTheme="majorHAnsi" w:hAnsiTheme="majorHAnsi"/>
        </w:rPr>
        <w:t>22 474 personas cambiaron de trabajo al menos dos veces. El monto promedio ret</w:t>
      </w:r>
      <w:r w:rsidR="00CA684E">
        <w:rPr>
          <w:rFonts w:asciiTheme="majorHAnsi" w:hAnsiTheme="majorHAnsi"/>
        </w:rPr>
        <w:t>irado entre entidades es de 102 063 colones, s</w:t>
      </w:r>
      <w:r w:rsidRPr="00613B2C">
        <w:rPr>
          <w:rFonts w:asciiTheme="majorHAnsi" w:hAnsiTheme="majorHAnsi"/>
        </w:rPr>
        <w:t>iendo los afiliados de BAC-San José</w:t>
      </w:r>
      <w:r w:rsidR="00CA684E">
        <w:rPr>
          <w:rFonts w:asciiTheme="majorHAnsi" w:hAnsiTheme="majorHAnsi"/>
        </w:rPr>
        <w:t xml:space="preserve"> Pensiones</w:t>
      </w:r>
      <w:r w:rsidRPr="00613B2C">
        <w:rPr>
          <w:rFonts w:asciiTheme="majorHAnsi" w:hAnsiTheme="majorHAnsi"/>
        </w:rPr>
        <w:t xml:space="preserve"> </w:t>
      </w:r>
      <w:r w:rsidR="00CA684E">
        <w:rPr>
          <w:rFonts w:asciiTheme="majorHAnsi" w:hAnsiTheme="majorHAnsi"/>
        </w:rPr>
        <w:t xml:space="preserve">los que presentan mayor retiro promedio (246 </w:t>
      </w:r>
      <w:r w:rsidRPr="00613B2C">
        <w:rPr>
          <w:rFonts w:asciiTheme="majorHAnsi" w:hAnsiTheme="majorHAnsi"/>
        </w:rPr>
        <w:t>748 colones)</w:t>
      </w:r>
    </w:p>
    <w:p w14:paraId="46C07BDC" w14:textId="6E12DC1C" w:rsidR="00CA684E" w:rsidRDefault="00CA684E">
      <w:pPr>
        <w:rPr>
          <w:rFonts w:asciiTheme="majorHAnsi" w:hAnsiTheme="majorHAnsi"/>
        </w:rPr>
      </w:pPr>
      <w:r>
        <w:rPr>
          <w:rFonts w:asciiTheme="majorHAnsi" w:hAnsiTheme="majorHAnsi"/>
        </w:rPr>
        <w:br w:type="page"/>
      </w:r>
    </w:p>
    <w:p w14:paraId="64930D70" w14:textId="77777777" w:rsidR="00BB157A" w:rsidRDefault="00BB157A" w:rsidP="007D0BC7">
      <w:pPr>
        <w:spacing w:after="0" w:line="240" w:lineRule="auto"/>
        <w:jc w:val="center"/>
        <w:rPr>
          <w:rFonts w:asciiTheme="majorHAnsi" w:hAnsiTheme="majorHAnsi"/>
        </w:rPr>
      </w:pPr>
    </w:p>
    <w:p w14:paraId="1C7264FF" w14:textId="710E2579" w:rsidR="007D0BC7" w:rsidRPr="00613B2C" w:rsidRDefault="00BB157A" w:rsidP="007D0BC7">
      <w:pPr>
        <w:spacing w:after="0" w:line="240" w:lineRule="auto"/>
        <w:jc w:val="center"/>
        <w:rPr>
          <w:rFonts w:asciiTheme="majorHAnsi" w:hAnsiTheme="majorHAnsi"/>
        </w:rPr>
      </w:pPr>
      <w:r>
        <w:rPr>
          <w:rFonts w:asciiTheme="majorHAnsi" w:hAnsiTheme="majorHAnsi"/>
        </w:rPr>
        <w:t>Cuadro 16</w:t>
      </w:r>
    </w:p>
    <w:p w14:paraId="6B9940BC" w14:textId="77777777" w:rsidR="007D0BC7" w:rsidRPr="00613B2C" w:rsidRDefault="007D0BC7" w:rsidP="007D0BC7">
      <w:pPr>
        <w:spacing w:after="0" w:line="240" w:lineRule="auto"/>
        <w:jc w:val="center"/>
        <w:rPr>
          <w:rFonts w:asciiTheme="majorHAnsi" w:hAnsiTheme="majorHAnsi"/>
          <w:b/>
          <w:i/>
        </w:rPr>
      </w:pPr>
      <w:proofErr w:type="gramStart"/>
      <w:r w:rsidRPr="00613B2C">
        <w:rPr>
          <w:rFonts w:asciiTheme="majorHAnsi" w:hAnsiTheme="majorHAnsi"/>
          <w:b/>
          <w:i/>
        </w:rPr>
        <w:t>FCL :</w:t>
      </w:r>
      <w:proofErr w:type="gramEnd"/>
      <w:r w:rsidRPr="00613B2C">
        <w:rPr>
          <w:rFonts w:asciiTheme="majorHAnsi" w:hAnsiTheme="majorHAnsi"/>
          <w:b/>
          <w:i/>
        </w:rPr>
        <w:t xml:space="preserve"> Retiro de recursos por extinción de la relación laboral </w:t>
      </w:r>
    </w:p>
    <w:p w14:paraId="71554BAE" w14:textId="77777777" w:rsidR="007D0BC7" w:rsidRPr="00613B2C" w:rsidRDefault="007D0BC7" w:rsidP="007D0BC7">
      <w:pPr>
        <w:spacing w:after="0" w:line="240" w:lineRule="auto"/>
        <w:jc w:val="center"/>
        <w:rPr>
          <w:rFonts w:asciiTheme="majorHAnsi" w:hAnsiTheme="majorHAnsi"/>
          <w:b/>
          <w:i/>
        </w:rPr>
      </w:pPr>
      <w:r w:rsidRPr="00613B2C">
        <w:rPr>
          <w:rFonts w:asciiTheme="majorHAnsi" w:hAnsiTheme="majorHAnsi"/>
          <w:b/>
          <w:i/>
        </w:rPr>
        <w:t>(últimos 12 meses)</w:t>
      </w:r>
    </w:p>
    <w:p w14:paraId="704534E4" w14:textId="77777777" w:rsidR="007D0BC7" w:rsidRPr="00613B2C" w:rsidRDefault="007D0BC7" w:rsidP="007D0BC7">
      <w:pPr>
        <w:spacing w:after="0" w:line="240" w:lineRule="auto"/>
        <w:jc w:val="both"/>
        <w:rPr>
          <w:rFonts w:asciiTheme="majorHAnsi" w:hAnsiTheme="majorHAnsi"/>
        </w:rPr>
      </w:pPr>
    </w:p>
    <w:bookmarkStart w:id="12" w:name="_MON_1602335408"/>
    <w:bookmarkEnd w:id="12"/>
    <w:p w14:paraId="2A0AF136" w14:textId="77777777" w:rsidR="007D0BC7" w:rsidRPr="00613B2C" w:rsidRDefault="007D0BC7" w:rsidP="007D0BC7">
      <w:pPr>
        <w:spacing w:after="0" w:line="240" w:lineRule="auto"/>
        <w:jc w:val="center"/>
        <w:rPr>
          <w:rFonts w:asciiTheme="majorHAnsi" w:hAnsiTheme="majorHAnsi"/>
        </w:rPr>
      </w:pPr>
      <w:r w:rsidRPr="00613B2C">
        <w:rPr>
          <w:rFonts w:asciiTheme="majorHAnsi" w:hAnsiTheme="majorHAnsi"/>
        </w:rPr>
        <w:object w:dxaOrig="5367" w:dyaOrig="2939" w14:anchorId="18A416AB">
          <v:shape id="_x0000_i1036" type="#_x0000_t75" style="width:269.25pt;height:146.25pt" o:ole="">
            <v:imagedata r:id="rId42" o:title=""/>
          </v:shape>
          <o:OLEObject Type="Embed" ProgID="Excel.Sheet.12" ShapeID="_x0000_i1036" DrawAspect="Content" ObjectID="_1610970916" r:id="rId43"/>
        </w:object>
      </w:r>
    </w:p>
    <w:p w14:paraId="00D46B21" w14:textId="77777777" w:rsidR="007D0BC7" w:rsidRPr="00613B2C" w:rsidRDefault="007D0BC7" w:rsidP="007D0BC7">
      <w:pPr>
        <w:spacing w:after="0" w:line="240" w:lineRule="auto"/>
        <w:jc w:val="center"/>
        <w:rPr>
          <w:rFonts w:asciiTheme="majorHAnsi" w:hAnsiTheme="majorHAnsi"/>
        </w:rPr>
      </w:pPr>
    </w:p>
    <w:p w14:paraId="701E818A" w14:textId="77777777" w:rsidR="007D0BC7" w:rsidRPr="00613B2C" w:rsidRDefault="007D0BC7" w:rsidP="007D0BC7">
      <w:pPr>
        <w:spacing w:after="0" w:line="240" w:lineRule="auto"/>
        <w:jc w:val="both"/>
        <w:rPr>
          <w:rFonts w:asciiTheme="majorHAnsi" w:hAnsiTheme="majorHAnsi"/>
        </w:rPr>
      </w:pPr>
    </w:p>
    <w:p w14:paraId="5D5C7FF2" w14:textId="77777777" w:rsidR="007D0BC7" w:rsidRPr="00613B2C" w:rsidRDefault="007D0BC7" w:rsidP="007D0BC7">
      <w:pPr>
        <w:spacing w:after="0" w:line="240" w:lineRule="auto"/>
        <w:jc w:val="both"/>
        <w:rPr>
          <w:rFonts w:asciiTheme="majorHAnsi" w:hAnsiTheme="majorHAnsi"/>
        </w:rPr>
      </w:pPr>
    </w:p>
    <w:p w14:paraId="120690DA" w14:textId="77777777" w:rsidR="00496CC7" w:rsidRPr="00263135" w:rsidRDefault="00496CC7" w:rsidP="00496CC7">
      <w:pPr>
        <w:spacing w:after="0" w:line="240" w:lineRule="auto"/>
        <w:jc w:val="both"/>
      </w:pPr>
    </w:p>
    <w:sectPr w:rsidR="00496CC7" w:rsidRPr="00263135" w:rsidSect="00D053BF">
      <w:footerReference w:type="default" r:id="rId44"/>
      <w:pgSz w:w="12240" w:h="15840"/>
      <w:pgMar w:top="720" w:right="1183" w:bottom="72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D8275" w14:textId="77777777" w:rsidR="00007438" w:rsidRDefault="00007438" w:rsidP="00081470">
      <w:pPr>
        <w:spacing w:after="0" w:line="240" w:lineRule="auto"/>
      </w:pPr>
      <w:r>
        <w:separator/>
      </w:r>
    </w:p>
  </w:endnote>
  <w:endnote w:type="continuationSeparator" w:id="0">
    <w:p w14:paraId="7FEB40C7" w14:textId="77777777" w:rsidR="00007438" w:rsidRDefault="00007438" w:rsidP="00081470">
      <w:pPr>
        <w:spacing w:after="0" w:line="240" w:lineRule="auto"/>
      </w:pPr>
      <w:r>
        <w:continuationSeparator/>
      </w:r>
    </w:p>
  </w:endnote>
  <w:endnote w:type="continuationNotice" w:id="1">
    <w:p w14:paraId="3228AB63" w14:textId="77777777" w:rsidR="00007438" w:rsidRDefault="000074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482683"/>
      <w:docPartObj>
        <w:docPartGallery w:val="Page Numbers (Bottom of Page)"/>
        <w:docPartUnique/>
      </w:docPartObj>
    </w:sdtPr>
    <w:sdtEndPr/>
    <w:sdtContent>
      <w:p w14:paraId="2A36E703" w14:textId="21A60B79" w:rsidR="00B96627" w:rsidRDefault="00B96627">
        <w:pPr>
          <w:pStyle w:val="Piedepgina"/>
          <w:jc w:val="center"/>
        </w:pPr>
        <w:r>
          <w:fldChar w:fldCharType="begin"/>
        </w:r>
        <w:r>
          <w:instrText>PAGE   \* MERGEFORMAT</w:instrText>
        </w:r>
        <w:r>
          <w:fldChar w:fldCharType="separate"/>
        </w:r>
        <w:r>
          <w:rPr>
            <w:noProof/>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31705" w14:textId="77777777" w:rsidR="00007438" w:rsidRDefault="00007438" w:rsidP="00081470">
      <w:pPr>
        <w:spacing w:after="0" w:line="240" w:lineRule="auto"/>
      </w:pPr>
      <w:r>
        <w:separator/>
      </w:r>
    </w:p>
  </w:footnote>
  <w:footnote w:type="continuationSeparator" w:id="0">
    <w:p w14:paraId="337B042F" w14:textId="77777777" w:rsidR="00007438" w:rsidRDefault="00007438" w:rsidP="00081470">
      <w:pPr>
        <w:spacing w:after="0" w:line="240" w:lineRule="auto"/>
      </w:pPr>
      <w:r>
        <w:continuationSeparator/>
      </w:r>
    </w:p>
  </w:footnote>
  <w:footnote w:type="continuationNotice" w:id="1">
    <w:p w14:paraId="1CB532BD" w14:textId="77777777" w:rsidR="00007438" w:rsidRDefault="00007438">
      <w:pPr>
        <w:spacing w:after="0" w:line="240" w:lineRule="auto"/>
      </w:pPr>
    </w:p>
  </w:footnote>
  <w:footnote w:id="2">
    <w:p w14:paraId="574EB125" w14:textId="77777777" w:rsidR="00B96627" w:rsidRPr="00435852" w:rsidRDefault="00B96627" w:rsidP="007D0BC7">
      <w:pPr>
        <w:pStyle w:val="Textonotapie"/>
        <w:jc w:val="both"/>
      </w:pPr>
      <w:r>
        <w:rPr>
          <w:rStyle w:val="Refdenotaalpie"/>
        </w:rPr>
        <w:footnoteRef/>
      </w:r>
      <w:r>
        <w:t xml:space="preserve"> </w:t>
      </w:r>
      <w:r w:rsidRPr="00435852">
        <w:rPr>
          <w:rFonts w:ascii="Times New Roman" w:hAnsi="Times New Roman" w:cs="Times New Roman"/>
        </w:rPr>
        <w:t>Para el</w:t>
      </w:r>
      <w:r>
        <w:rPr>
          <w:rFonts w:ascii="Times New Roman" w:hAnsi="Times New Roman" w:cs="Times New Roman"/>
        </w:rPr>
        <w:t xml:space="preserve"> cálculo del activo total del SNP al 30 de septiembre del 2018 para los fondos del</w:t>
      </w:r>
      <w:r w:rsidRPr="00435852">
        <w:rPr>
          <w:rFonts w:ascii="Times New Roman" w:hAnsi="Times New Roman" w:cs="Times New Roman"/>
        </w:rPr>
        <w:t xml:space="preserve"> FIVM y FPJ </w:t>
      </w:r>
      <w:r>
        <w:rPr>
          <w:rFonts w:ascii="Times New Roman" w:hAnsi="Times New Roman" w:cs="Times New Roman"/>
        </w:rPr>
        <w:t xml:space="preserve">se utilizan los últimos datos reportados por la entidad a 31 de agosto </w:t>
      </w:r>
      <w:r w:rsidRPr="00435852">
        <w:rPr>
          <w:rFonts w:ascii="Times New Roman" w:hAnsi="Times New Roman" w:cs="Times New Roman"/>
        </w:rPr>
        <w:t>del 2018.</w:t>
      </w:r>
    </w:p>
  </w:footnote>
  <w:footnote w:id="3">
    <w:p w14:paraId="00EEBCB3" w14:textId="77777777" w:rsidR="00B96627" w:rsidRPr="00435852" w:rsidRDefault="00B96627" w:rsidP="007D0BC7">
      <w:pPr>
        <w:pStyle w:val="Textonotapie"/>
        <w:jc w:val="both"/>
      </w:pPr>
      <w:r>
        <w:rPr>
          <w:rStyle w:val="Refdenotaalpie"/>
        </w:rPr>
        <w:footnoteRef/>
      </w:r>
      <w:r>
        <w:t xml:space="preserve"> </w:t>
      </w:r>
      <w:r w:rsidRPr="00435852">
        <w:rPr>
          <w:rFonts w:ascii="Times New Roman" w:hAnsi="Times New Roman" w:cs="Times New Roman"/>
        </w:rPr>
        <w:t>Para el</w:t>
      </w:r>
      <w:r>
        <w:rPr>
          <w:rFonts w:ascii="Times New Roman" w:hAnsi="Times New Roman" w:cs="Times New Roman"/>
        </w:rPr>
        <w:t xml:space="preserve"> cálculo del activo total del SNP al 30 de septiembre del 2018 para los fondos del</w:t>
      </w:r>
      <w:r w:rsidRPr="00435852">
        <w:rPr>
          <w:rFonts w:ascii="Times New Roman" w:hAnsi="Times New Roman" w:cs="Times New Roman"/>
        </w:rPr>
        <w:t xml:space="preserve"> FIVM y FPJ </w:t>
      </w:r>
      <w:r>
        <w:rPr>
          <w:rFonts w:ascii="Times New Roman" w:hAnsi="Times New Roman" w:cs="Times New Roman"/>
        </w:rPr>
        <w:t xml:space="preserve">se utilizan los últimos datos reportados por la entidad a 31 de agosto </w:t>
      </w:r>
      <w:r w:rsidRPr="00435852">
        <w:rPr>
          <w:rFonts w:ascii="Times New Roman" w:hAnsi="Times New Roman" w:cs="Times New Roman"/>
        </w:rPr>
        <w:t>del 2018.</w:t>
      </w:r>
    </w:p>
  </w:footnote>
  <w:footnote w:id="4">
    <w:p w14:paraId="61C9D3DA" w14:textId="77777777" w:rsidR="00B96627" w:rsidRPr="0049233F" w:rsidRDefault="00B96627" w:rsidP="007D0BC7">
      <w:pPr>
        <w:pStyle w:val="Textonotapie"/>
        <w:jc w:val="both"/>
      </w:pPr>
      <w:r>
        <w:rPr>
          <w:rStyle w:val="Refdenotaalpie"/>
        </w:rPr>
        <w:footnoteRef/>
      </w:r>
      <w:r>
        <w:t xml:space="preserve"> </w:t>
      </w:r>
      <w:r>
        <w:rPr>
          <w:rFonts w:ascii="Times New Roman" w:hAnsi="Times New Roman" w:cs="Times New Roman"/>
        </w:rPr>
        <w:t>Son i</w:t>
      </w:r>
      <w:r w:rsidRPr="0049233F">
        <w:rPr>
          <w:rFonts w:ascii="Times New Roman" w:hAnsi="Times New Roman" w:cs="Times New Roman"/>
        </w:rPr>
        <w:t>nstrumentos de deuda no estandarizados, emitidos por instituciones financieras supervisadas por la Superintendencia de Entidades Financieras.</w:t>
      </w:r>
      <w:r>
        <w:t xml:space="preserve"> </w:t>
      </w:r>
    </w:p>
  </w:footnote>
  <w:footnote w:id="5">
    <w:p w14:paraId="16D12E36" w14:textId="77777777" w:rsidR="00B96627" w:rsidRPr="00435852" w:rsidRDefault="00B96627" w:rsidP="007D0BC7">
      <w:pPr>
        <w:pStyle w:val="Textonotapie"/>
        <w:jc w:val="both"/>
        <w:rPr>
          <w:lang w:val="es-CR"/>
        </w:rPr>
      </w:pPr>
      <w:r>
        <w:rPr>
          <w:rStyle w:val="Refdenotaalpie"/>
        </w:rPr>
        <w:footnoteRef/>
      </w:r>
      <w:r>
        <w:t xml:space="preserve"> </w:t>
      </w:r>
      <w:r w:rsidRPr="00435852">
        <w:rPr>
          <w:rFonts w:ascii="Times New Roman" w:hAnsi="Times New Roman" w:cs="Times New Roman"/>
        </w:rPr>
        <w:t>Para el</w:t>
      </w:r>
      <w:r>
        <w:rPr>
          <w:rFonts w:ascii="Times New Roman" w:hAnsi="Times New Roman" w:cs="Times New Roman"/>
        </w:rPr>
        <w:t xml:space="preserve"> cálculo del activo total del SNP al 30 de septiembre del 2018 para los fondos del</w:t>
      </w:r>
      <w:r w:rsidRPr="00435852">
        <w:rPr>
          <w:rFonts w:ascii="Times New Roman" w:hAnsi="Times New Roman" w:cs="Times New Roman"/>
        </w:rPr>
        <w:t xml:space="preserve"> FIVM y FPJ </w:t>
      </w:r>
      <w:r>
        <w:rPr>
          <w:rFonts w:ascii="Times New Roman" w:hAnsi="Times New Roman" w:cs="Times New Roman"/>
        </w:rPr>
        <w:t xml:space="preserve">se utilizan los últimos datos reportados por la entidad a 31 de agosto </w:t>
      </w:r>
      <w:r w:rsidRPr="00435852">
        <w:rPr>
          <w:rFonts w:ascii="Times New Roman" w:hAnsi="Times New Roman" w:cs="Times New Roman"/>
        </w:rPr>
        <w:t>del 2018.</w:t>
      </w:r>
    </w:p>
  </w:footnote>
  <w:footnote w:id="6">
    <w:p w14:paraId="16150028" w14:textId="47021F09" w:rsidR="00B96627" w:rsidRPr="00B46B1B" w:rsidRDefault="00B96627">
      <w:pPr>
        <w:pStyle w:val="Textonotapie"/>
        <w:rPr>
          <w:lang w:val="es-CR"/>
        </w:rPr>
      </w:pPr>
      <w:r>
        <w:rPr>
          <w:rStyle w:val="Refdenotaalpie"/>
        </w:rPr>
        <w:footnoteRef/>
      </w:r>
      <w:r>
        <w:t xml:space="preserve"> </w:t>
      </w:r>
      <w:r w:rsidRPr="00613B2C">
        <w:rPr>
          <w:rFonts w:asciiTheme="majorHAnsi" w:hAnsiTheme="majorHAnsi"/>
        </w:rPr>
        <w:t>Las cifras reportadas incluyen pensionados que pese a cumplir el derecho antes del 2010 lo pospusieron hasta el año reportado.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822E2"/>
    <w:multiLevelType w:val="hybridMultilevel"/>
    <w:tmpl w:val="4EDA9334"/>
    <w:lvl w:ilvl="0" w:tplc="595477D2">
      <w:start w:val="1"/>
      <w:numFmt w:val="decimal"/>
      <w:lvlText w:val="%1."/>
      <w:lvlJc w:val="left"/>
      <w:pPr>
        <w:ind w:left="0" w:firstLine="0"/>
      </w:pPr>
      <w:rPr>
        <w:rFonts w:hint="default"/>
        <w:color w:val="auto"/>
      </w:rPr>
    </w:lvl>
    <w:lvl w:ilvl="1" w:tplc="1368EBB6">
      <w:numFmt w:val="bullet"/>
      <w:lvlText w:val="-"/>
      <w:lvlJc w:val="left"/>
      <w:pPr>
        <w:ind w:left="1080" w:hanging="360"/>
      </w:pPr>
      <w:rPr>
        <w:rFonts w:ascii="Times New Roman" w:eastAsiaTheme="minorHAnsi" w:hAnsi="Times New Roman" w:cs="Times New Roman"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0CFF42D2"/>
    <w:multiLevelType w:val="hybridMultilevel"/>
    <w:tmpl w:val="8E40CD1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3ED1AC6"/>
    <w:multiLevelType w:val="hybridMultilevel"/>
    <w:tmpl w:val="8988926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5ED62C5"/>
    <w:multiLevelType w:val="hybridMultilevel"/>
    <w:tmpl w:val="D85E2502"/>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BDD245B"/>
    <w:multiLevelType w:val="hybridMultilevel"/>
    <w:tmpl w:val="E18674A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16F544D"/>
    <w:multiLevelType w:val="hybridMultilevel"/>
    <w:tmpl w:val="A1909584"/>
    <w:lvl w:ilvl="0" w:tplc="54F01254">
      <w:start w:val="1"/>
      <w:numFmt w:val="bullet"/>
      <w:lvlText w:val="•"/>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17D74F9"/>
    <w:multiLevelType w:val="hybridMultilevel"/>
    <w:tmpl w:val="65CCD1CE"/>
    <w:lvl w:ilvl="0" w:tplc="140A0001">
      <w:start w:val="1"/>
      <w:numFmt w:val="bullet"/>
      <w:lvlText w:val=""/>
      <w:lvlJc w:val="left"/>
      <w:pPr>
        <w:ind w:left="1428" w:hanging="360"/>
      </w:pPr>
      <w:rPr>
        <w:rFonts w:ascii="Symbol" w:hAnsi="Symbol" w:hint="default"/>
      </w:rPr>
    </w:lvl>
    <w:lvl w:ilvl="1" w:tplc="140A000D">
      <w:start w:val="1"/>
      <w:numFmt w:val="bullet"/>
      <w:lvlText w:val=""/>
      <w:lvlJc w:val="left"/>
      <w:pPr>
        <w:ind w:left="2148" w:hanging="360"/>
      </w:pPr>
      <w:rPr>
        <w:rFonts w:ascii="Wingdings" w:hAnsi="Wingdings" w:hint="default"/>
      </w:rPr>
    </w:lvl>
    <w:lvl w:ilvl="2" w:tplc="140A001B">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7" w15:restartNumberingAfterBreak="0">
    <w:nsid w:val="5EB20FB5"/>
    <w:multiLevelType w:val="hybridMultilevel"/>
    <w:tmpl w:val="65C84AFC"/>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4F433DE"/>
    <w:multiLevelType w:val="hybridMultilevel"/>
    <w:tmpl w:val="C974F10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76903E4"/>
    <w:multiLevelType w:val="hybridMultilevel"/>
    <w:tmpl w:val="9356D7AE"/>
    <w:lvl w:ilvl="0" w:tplc="F3A0F1E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7295219C"/>
    <w:multiLevelType w:val="hybridMultilevel"/>
    <w:tmpl w:val="1B1422CC"/>
    <w:lvl w:ilvl="0" w:tplc="FE4C7070">
      <w:start w:val="1"/>
      <w:numFmt w:val="decimal"/>
      <w:lvlText w:val="%1."/>
      <w:lvlJc w:val="left"/>
      <w:pPr>
        <w:ind w:left="360" w:hanging="360"/>
      </w:pPr>
      <w:rPr>
        <w:color w:val="auto"/>
      </w:rPr>
    </w:lvl>
    <w:lvl w:ilvl="1" w:tplc="140A0001">
      <w:start w:val="1"/>
      <w:numFmt w:val="bullet"/>
      <w:lvlText w:val=""/>
      <w:lvlJc w:val="left"/>
      <w:pPr>
        <w:ind w:left="1080" w:hanging="360"/>
      </w:pPr>
      <w:rPr>
        <w:rFonts w:ascii="Symbol" w:hAnsi="Symbol"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7E40258B"/>
    <w:multiLevelType w:val="hybridMultilevel"/>
    <w:tmpl w:val="0A3E4834"/>
    <w:lvl w:ilvl="0" w:tplc="140A0001">
      <w:start w:val="1"/>
      <w:numFmt w:val="bullet"/>
      <w:lvlText w:val=""/>
      <w:lvlJc w:val="left"/>
      <w:pPr>
        <w:ind w:left="1004" w:hanging="360"/>
      </w:pPr>
      <w:rPr>
        <w:rFonts w:ascii="Symbol" w:hAnsi="Symbol" w:hint="default"/>
      </w:rPr>
    </w:lvl>
    <w:lvl w:ilvl="1" w:tplc="140A0003" w:tentative="1">
      <w:start w:val="1"/>
      <w:numFmt w:val="bullet"/>
      <w:lvlText w:val="o"/>
      <w:lvlJc w:val="left"/>
      <w:pPr>
        <w:ind w:left="1724" w:hanging="360"/>
      </w:pPr>
      <w:rPr>
        <w:rFonts w:ascii="Courier New" w:hAnsi="Courier New" w:cs="Courier New"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cs="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cs="Courier New" w:hint="default"/>
      </w:rPr>
    </w:lvl>
    <w:lvl w:ilvl="8" w:tplc="140A0005" w:tentative="1">
      <w:start w:val="1"/>
      <w:numFmt w:val="bullet"/>
      <w:lvlText w:val=""/>
      <w:lvlJc w:val="left"/>
      <w:pPr>
        <w:ind w:left="6764" w:hanging="360"/>
      </w:pPr>
      <w:rPr>
        <w:rFonts w:ascii="Wingdings" w:hAnsi="Wingdings" w:hint="default"/>
      </w:rPr>
    </w:lvl>
  </w:abstractNum>
  <w:num w:numId="1">
    <w:abstractNumId w:val="0"/>
  </w:num>
  <w:num w:numId="2">
    <w:abstractNumId w:val="8"/>
  </w:num>
  <w:num w:numId="3">
    <w:abstractNumId w:val="9"/>
  </w:num>
  <w:num w:numId="4">
    <w:abstractNumId w:val="11"/>
  </w:num>
  <w:num w:numId="5">
    <w:abstractNumId w:val="5"/>
  </w:num>
  <w:num w:numId="6">
    <w:abstractNumId w:val="2"/>
  </w:num>
  <w:num w:numId="7">
    <w:abstractNumId w:val="4"/>
  </w:num>
  <w:num w:numId="8">
    <w:abstractNumId w:val="6"/>
  </w:num>
  <w:num w:numId="9">
    <w:abstractNumId w:val="10"/>
  </w:num>
  <w:num w:numId="10">
    <w:abstractNumId w:val="7"/>
  </w:num>
  <w:num w:numId="11">
    <w:abstractNumId w:val="1"/>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660"/>
    <w:rsid w:val="00000198"/>
    <w:rsid w:val="000013D2"/>
    <w:rsid w:val="0000443C"/>
    <w:rsid w:val="0000610F"/>
    <w:rsid w:val="00006E79"/>
    <w:rsid w:val="00007438"/>
    <w:rsid w:val="000074A5"/>
    <w:rsid w:val="0000774F"/>
    <w:rsid w:val="000102FC"/>
    <w:rsid w:val="00012842"/>
    <w:rsid w:val="00014443"/>
    <w:rsid w:val="000154F0"/>
    <w:rsid w:val="00015F11"/>
    <w:rsid w:val="0001622A"/>
    <w:rsid w:val="00016D35"/>
    <w:rsid w:val="00022675"/>
    <w:rsid w:val="00022C1D"/>
    <w:rsid w:val="00022F9D"/>
    <w:rsid w:val="000232CD"/>
    <w:rsid w:val="000252B1"/>
    <w:rsid w:val="00025B09"/>
    <w:rsid w:val="00025D30"/>
    <w:rsid w:val="00026199"/>
    <w:rsid w:val="000271FD"/>
    <w:rsid w:val="00027413"/>
    <w:rsid w:val="000274D4"/>
    <w:rsid w:val="00027C1E"/>
    <w:rsid w:val="0003105B"/>
    <w:rsid w:val="00031298"/>
    <w:rsid w:val="0003279B"/>
    <w:rsid w:val="000327C1"/>
    <w:rsid w:val="00032E7E"/>
    <w:rsid w:val="000333F6"/>
    <w:rsid w:val="00033BAE"/>
    <w:rsid w:val="000345F4"/>
    <w:rsid w:val="00041126"/>
    <w:rsid w:val="00041D06"/>
    <w:rsid w:val="000434CA"/>
    <w:rsid w:val="00046F51"/>
    <w:rsid w:val="00050D86"/>
    <w:rsid w:val="000511E4"/>
    <w:rsid w:val="000512C9"/>
    <w:rsid w:val="00052A16"/>
    <w:rsid w:val="00052FDE"/>
    <w:rsid w:val="00053155"/>
    <w:rsid w:val="00053E97"/>
    <w:rsid w:val="000541FB"/>
    <w:rsid w:val="00054F06"/>
    <w:rsid w:val="00056B11"/>
    <w:rsid w:val="00056F0F"/>
    <w:rsid w:val="00060952"/>
    <w:rsid w:val="00060BE8"/>
    <w:rsid w:val="00060F6E"/>
    <w:rsid w:val="000614C2"/>
    <w:rsid w:val="000614D6"/>
    <w:rsid w:val="00062271"/>
    <w:rsid w:val="000658B4"/>
    <w:rsid w:val="00065C51"/>
    <w:rsid w:val="00067AC7"/>
    <w:rsid w:val="00070879"/>
    <w:rsid w:val="00071977"/>
    <w:rsid w:val="00072DC4"/>
    <w:rsid w:val="0007521A"/>
    <w:rsid w:val="000800EE"/>
    <w:rsid w:val="000803A6"/>
    <w:rsid w:val="0008065F"/>
    <w:rsid w:val="00080BB0"/>
    <w:rsid w:val="00081470"/>
    <w:rsid w:val="00083D40"/>
    <w:rsid w:val="00083E97"/>
    <w:rsid w:val="00084815"/>
    <w:rsid w:val="00084993"/>
    <w:rsid w:val="00085E49"/>
    <w:rsid w:val="000862C1"/>
    <w:rsid w:val="00086922"/>
    <w:rsid w:val="0009006F"/>
    <w:rsid w:val="0009100B"/>
    <w:rsid w:val="000922B0"/>
    <w:rsid w:val="00092E23"/>
    <w:rsid w:val="00093B4D"/>
    <w:rsid w:val="00096E89"/>
    <w:rsid w:val="000970BC"/>
    <w:rsid w:val="00097EBB"/>
    <w:rsid w:val="00097FF2"/>
    <w:rsid w:val="000A06E4"/>
    <w:rsid w:val="000A0D86"/>
    <w:rsid w:val="000A343E"/>
    <w:rsid w:val="000A417E"/>
    <w:rsid w:val="000B2ADE"/>
    <w:rsid w:val="000B411E"/>
    <w:rsid w:val="000B4B1D"/>
    <w:rsid w:val="000B5D8C"/>
    <w:rsid w:val="000C00B4"/>
    <w:rsid w:val="000C1A53"/>
    <w:rsid w:val="000C24FD"/>
    <w:rsid w:val="000C2B3D"/>
    <w:rsid w:val="000C33DE"/>
    <w:rsid w:val="000C3D44"/>
    <w:rsid w:val="000C4597"/>
    <w:rsid w:val="000C466A"/>
    <w:rsid w:val="000C6854"/>
    <w:rsid w:val="000D062C"/>
    <w:rsid w:val="000D18EE"/>
    <w:rsid w:val="000D1F7E"/>
    <w:rsid w:val="000D2642"/>
    <w:rsid w:val="000D282B"/>
    <w:rsid w:val="000D322E"/>
    <w:rsid w:val="000D5616"/>
    <w:rsid w:val="000D6235"/>
    <w:rsid w:val="000E0B57"/>
    <w:rsid w:val="000E1F98"/>
    <w:rsid w:val="000E52D2"/>
    <w:rsid w:val="000E538B"/>
    <w:rsid w:val="000F1770"/>
    <w:rsid w:val="000F21F3"/>
    <w:rsid w:val="000F2F6E"/>
    <w:rsid w:val="000F30AE"/>
    <w:rsid w:val="000F3F65"/>
    <w:rsid w:val="000F512E"/>
    <w:rsid w:val="000F6383"/>
    <w:rsid w:val="000F65AD"/>
    <w:rsid w:val="000F7997"/>
    <w:rsid w:val="001000E8"/>
    <w:rsid w:val="0010023D"/>
    <w:rsid w:val="001005B3"/>
    <w:rsid w:val="00100C49"/>
    <w:rsid w:val="00101CDB"/>
    <w:rsid w:val="001025A6"/>
    <w:rsid w:val="00102610"/>
    <w:rsid w:val="001027B8"/>
    <w:rsid w:val="00102B98"/>
    <w:rsid w:val="001031FA"/>
    <w:rsid w:val="001044EA"/>
    <w:rsid w:val="00104861"/>
    <w:rsid w:val="00104CC6"/>
    <w:rsid w:val="00106918"/>
    <w:rsid w:val="00106EE4"/>
    <w:rsid w:val="00107C27"/>
    <w:rsid w:val="00110689"/>
    <w:rsid w:val="00110808"/>
    <w:rsid w:val="00110DF9"/>
    <w:rsid w:val="00111615"/>
    <w:rsid w:val="00111AED"/>
    <w:rsid w:val="001122AD"/>
    <w:rsid w:val="001125B3"/>
    <w:rsid w:val="00114132"/>
    <w:rsid w:val="00116A67"/>
    <w:rsid w:val="00120AE0"/>
    <w:rsid w:val="00120D36"/>
    <w:rsid w:val="00122100"/>
    <w:rsid w:val="0012296A"/>
    <w:rsid w:val="00122B3F"/>
    <w:rsid w:val="00123473"/>
    <w:rsid w:val="00123E6E"/>
    <w:rsid w:val="001246FC"/>
    <w:rsid w:val="0012779A"/>
    <w:rsid w:val="00127B63"/>
    <w:rsid w:val="00131849"/>
    <w:rsid w:val="00132019"/>
    <w:rsid w:val="00132D30"/>
    <w:rsid w:val="001336C4"/>
    <w:rsid w:val="00133DE9"/>
    <w:rsid w:val="00135800"/>
    <w:rsid w:val="00137859"/>
    <w:rsid w:val="00140EFC"/>
    <w:rsid w:val="00141888"/>
    <w:rsid w:val="00144677"/>
    <w:rsid w:val="00146BB0"/>
    <w:rsid w:val="0015033E"/>
    <w:rsid w:val="001507CD"/>
    <w:rsid w:val="00152782"/>
    <w:rsid w:val="00154688"/>
    <w:rsid w:val="00155996"/>
    <w:rsid w:val="00156DBA"/>
    <w:rsid w:val="001575D4"/>
    <w:rsid w:val="001636EB"/>
    <w:rsid w:val="0016383F"/>
    <w:rsid w:val="00164B75"/>
    <w:rsid w:val="00166173"/>
    <w:rsid w:val="00166ACA"/>
    <w:rsid w:val="00166E7F"/>
    <w:rsid w:val="00170142"/>
    <w:rsid w:val="00170F7E"/>
    <w:rsid w:val="001716FF"/>
    <w:rsid w:val="00171A2D"/>
    <w:rsid w:val="00171A72"/>
    <w:rsid w:val="00171B95"/>
    <w:rsid w:val="00171F29"/>
    <w:rsid w:val="00174659"/>
    <w:rsid w:val="00174FCB"/>
    <w:rsid w:val="001757CE"/>
    <w:rsid w:val="00177B92"/>
    <w:rsid w:val="00177C2C"/>
    <w:rsid w:val="00180123"/>
    <w:rsid w:val="001813D4"/>
    <w:rsid w:val="0018298B"/>
    <w:rsid w:val="0018415C"/>
    <w:rsid w:val="0018432B"/>
    <w:rsid w:val="00185082"/>
    <w:rsid w:val="001853AE"/>
    <w:rsid w:val="00187AD6"/>
    <w:rsid w:val="00190560"/>
    <w:rsid w:val="00190FD5"/>
    <w:rsid w:val="00191549"/>
    <w:rsid w:val="00192517"/>
    <w:rsid w:val="001930D1"/>
    <w:rsid w:val="00195F39"/>
    <w:rsid w:val="001961EC"/>
    <w:rsid w:val="0019705A"/>
    <w:rsid w:val="001971DF"/>
    <w:rsid w:val="001A024C"/>
    <w:rsid w:val="001A089A"/>
    <w:rsid w:val="001A2D43"/>
    <w:rsid w:val="001A4823"/>
    <w:rsid w:val="001A7B42"/>
    <w:rsid w:val="001A7F94"/>
    <w:rsid w:val="001B3919"/>
    <w:rsid w:val="001B4139"/>
    <w:rsid w:val="001B45FA"/>
    <w:rsid w:val="001B47D0"/>
    <w:rsid w:val="001B5652"/>
    <w:rsid w:val="001B5790"/>
    <w:rsid w:val="001B5965"/>
    <w:rsid w:val="001B5D58"/>
    <w:rsid w:val="001B6EEF"/>
    <w:rsid w:val="001B76DC"/>
    <w:rsid w:val="001C104F"/>
    <w:rsid w:val="001C1D31"/>
    <w:rsid w:val="001C5E6A"/>
    <w:rsid w:val="001C75D3"/>
    <w:rsid w:val="001D3578"/>
    <w:rsid w:val="001D372E"/>
    <w:rsid w:val="001D40DE"/>
    <w:rsid w:val="001E1BFC"/>
    <w:rsid w:val="001E3945"/>
    <w:rsid w:val="001E5576"/>
    <w:rsid w:val="001E5DF5"/>
    <w:rsid w:val="001E6CC4"/>
    <w:rsid w:val="001E709E"/>
    <w:rsid w:val="001F2037"/>
    <w:rsid w:val="001F3EFD"/>
    <w:rsid w:val="001F42A9"/>
    <w:rsid w:val="001F689A"/>
    <w:rsid w:val="001F6D56"/>
    <w:rsid w:val="002001B5"/>
    <w:rsid w:val="002015A2"/>
    <w:rsid w:val="00201B34"/>
    <w:rsid w:val="00204267"/>
    <w:rsid w:val="00205DB3"/>
    <w:rsid w:val="00206C0A"/>
    <w:rsid w:val="00211328"/>
    <w:rsid w:val="0021166B"/>
    <w:rsid w:val="002120CD"/>
    <w:rsid w:val="0021229D"/>
    <w:rsid w:val="00212702"/>
    <w:rsid w:val="002127B9"/>
    <w:rsid w:val="002140D0"/>
    <w:rsid w:val="002151E8"/>
    <w:rsid w:val="00215A0F"/>
    <w:rsid w:val="002164E2"/>
    <w:rsid w:val="00216DAB"/>
    <w:rsid w:val="00217942"/>
    <w:rsid w:val="00220685"/>
    <w:rsid w:val="00220C8F"/>
    <w:rsid w:val="00220E06"/>
    <w:rsid w:val="00221EE3"/>
    <w:rsid w:val="00222102"/>
    <w:rsid w:val="00222DDD"/>
    <w:rsid w:val="0022343C"/>
    <w:rsid w:val="00224860"/>
    <w:rsid w:val="00224DE2"/>
    <w:rsid w:val="002259FD"/>
    <w:rsid w:val="00225AA6"/>
    <w:rsid w:val="00226165"/>
    <w:rsid w:val="00230BDE"/>
    <w:rsid w:val="00231CF1"/>
    <w:rsid w:val="002325A2"/>
    <w:rsid w:val="002329C5"/>
    <w:rsid w:val="0023324B"/>
    <w:rsid w:val="00233729"/>
    <w:rsid w:val="00233948"/>
    <w:rsid w:val="00233D51"/>
    <w:rsid w:val="0023517C"/>
    <w:rsid w:val="002364B3"/>
    <w:rsid w:val="00240BBD"/>
    <w:rsid w:val="00242FF6"/>
    <w:rsid w:val="00244026"/>
    <w:rsid w:val="002446B3"/>
    <w:rsid w:val="00244C7C"/>
    <w:rsid w:val="00245667"/>
    <w:rsid w:val="00245998"/>
    <w:rsid w:val="0024669E"/>
    <w:rsid w:val="002510C1"/>
    <w:rsid w:val="0025247D"/>
    <w:rsid w:val="002524E4"/>
    <w:rsid w:val="00252606"/>
    <w:rsid w:val="0025283C"/>
    <w:rsid w:val="00254A69"/>
    <w:rsid w:val="00255955"/>
    <w:rsid w:val="00255DA5"/>
    <w:rsid w:val="002565F5"/>
    <w:rsid w:val="00256752"/>
    <w:rsid w:val="00260CF6"/>
    <w:rsid w:val="00261470"/>
    <w:rsid w:val="002629F6"/>
    <w:rsid w:val="0026304B"/>
    <w:rsid w:val="00263730"/>
    <w:rsid w:val="002658BF"/>
    <w:rsid w:val="00266605"/>
    <w:rsid w:val="00270235"/>
    <w:rsid w:val="00270766"/>
    <w:rsid w:val="0027115A"/>
    <w:rsid w:val="002719C0"/>
    <w:rsid w:val="00271E22"/>
    <w:rsid w:val="002721AA"/>
    <w:rsid w:val="00272590"/>
    <w:rsid w:val="002729E2"/>
    <w:rsid w:val="00273916"/>
    <w:rsid w:val="00273F69"/>
    <w:rsid w:val="0027448D"/>
    <w:rsid w:val="00274556"/>
    <w:rsid w:val="002769E4"/>
    <w:rsid w:val="00276B37"/>
    <w:rsid w:val="00276CEF"/>
    <w:rsid w:val="002802A5"/>
    <w:rsid w:val="002814C3"/>
    <w:rsid w:val="00282A44"/>
    <w:rsid w:val="002867BC"/>
    <w:rsid w:val="00287205"/>
    <w:rsid w:val="002917CE"/>
    <w:rsid w:val="00292AFB"/>
    <w:rsid w:val="00293A6A"/>
    <w:rsid w:val="002944C9"/>
    <w:rsid w:val="00295B37"/>
    <w:rsid w:val="00296500"/>
    <w:rsid w:val="002A3ACC"/>
    <w:rsid w:val="002A6544"/>
    <w:rsid w:val="002A701A"/>
    <w:rsid w:val="002A7D07"/>
    <w:rsid w:val="002B039B"/>
    <w:rsid w:val="002B39D1"/>
    <w:rsid w:val="002B3AD3"/>
    <w:rsid w:val="002B4103"/>
    <w:rsid w:val="002B4294"/>
    <w:rsid w:val="002B4EB6"/>
    <w:rsid w:val="002B6B9D"/>
    <w:rsid w:val="002B7C13"/>
    <w:rsid w:val="002C196B"/>
    <w:rsid w:val="002C1E09"/>
    <w:rsid w:val="002C286E"/>
    <w:rsid w:val="002C3562"/>
    <w:rsid w:val="002D0668"/>
    <w:rsid w:val="002D2A0F"/>
    <w:rsid w:val="002D330B"/>
    <w:rsid w:val="002D48CD"/>
    <w:rsid w:val="002D50D3"/>
    <w:rsid w:val="002D58F1"/>
    <w:rsid w:val="002D5B0E"/>
    <w:rsid w:val="002E0886"/>
    <w:rsid w:val="002E2A7E"/>
    <w:rsid w:val="002E2F68"/>
    <w:rsid w:val="002E3157"/>
    <w:rsid w:val="002E63DD"/>
    <w:rsid w:val="002E7A97"/>
    <w:rsid w:val="002F0718"/>
    <w:rsid w:val="002F3A4D"/>
    <w:rsid w:val="002F4825"/>
    <w:rsid w:val="00300CB6"/>
    <w:rsid w:val="003029A8"/>
    <w:rsid w:val="00303699"/>
    <w:rsid w:val="00303763"/>
    <w:rsid w:val="00306C23"/>
    <w:rsid w:val="003130D4"/>
    <w:rsid w:val="00314A23"/>
    <w:rsid w:val="00316569"/>
    <w:rsid w:val="00316F90"/>
    <w:rsid w:val="00317250"/>
    <w:rsid w:val="00320746"/>
    <w:rsid w:val="00321052"/>
    <w:rsid w:val="00321FA3"/>
    <w:rsid w:val="00322D46"/>
    <w:rsid w:val="00325B32"/>
    <w:rsid w:val="00326BFA"/>
    <w:rsid w:val="00327DA7"/>
    <w:rsid w:val="00330022"/>
    <w:rsid w:val="003302A1"/>
    <w:rsid w:val="00330AAC"/>
    <w:rsid w:val="00330AD7"/>
    <w:rsid w:val="00330BA8"/>
    <w:rsid w:val="00331F65"/>
    <w:rsid w:val="00332150"/>
    <w:rsid w:val="00332D99"/>
    <w:rsid w:val="0033378E"/>
    <w:rsid w:val="003341A4"/>
    <w:rsid w:val="00334512"/>
    <w:rsid w:val="00334BC4"/>
    <w:rsid w:val="00337483"/>
    <w:rsid w:val="00337559"/>
    <w:rsid w:val="00340D6D"/>
    <w:rsid w:val="00340DE0"/>
    <w:rsid w:val="0034126B"/>
    <w:rsid w:val="00341A75"/>
    <w:rsid w:val="00343544"/>
    <w:rsid w:val="0034367C"/>
    <w:rsid w:val="00345E63"/>
    <w:rsid w:val="00346880"/>
    <w:rsid w:val="00347210"/>
    <w:rsid w:val="0035052D"/>
    <w:rsid w:val="00352E99"/>
    <w:rsid w:val="0035353F"/>
    <w:rsid w:val="00353A30"/>
    <w:rsid w:val="00353AD2"/>
    <w:rsid w:val="003548B5"/>
    <w:rsid w:val="00354AEE"/>
    <w:rsid w:val="003563A2"/>
    <w:rsid w:val="003574E4"/>
    <w:rsid w:val="003578EF"/>
    <w:rsid w:val="00357946"/>
    <w:rsid w:val="0036017A"/>
    <w:rsid w:val="00360593"/>
    <w:rsid w:val="003607BD"/>
    <w:rsid w:val="003629D2"/>
    <w:rsid w:val="00363690"/>
    <w:rsid w:val="00363D05"/>
    <w:rsid w:val="00364131"/>
    <w:rsid w:val="00364532"/>
    <w:rsid w:val="00364753"/>
    <w:rsid w:val="00364C3F"/>
    <w:rsid w:val="00365468"/>
    <w:rsid w:val="0036552D"/>
    <w:rsid w:val="00365D02"/>
    <w:rsid w:val="0036715D"/>
    <w:rsid w:val="00367A92"/>
    <w:rsid w:val="003708C9"/>
    <w:rsid w:val="003710FC"/>
    <w:rsid w:val="0037139A"/>
    <w:rsid w:val="00371980"/>
    <w:rsid w:val="00371F47"/>
    <w:rsid w:val="0037268E"/>
    <w:rsid w:val="00373C01"/>
    <w:rsid w:val="00374049"/>
    <w:rsid w:val="003742A4"/>
    <w:rsid w:val="003745E3"/>
    <w:rsid w:val="0037529A"/>
    <w:rsid w:val="00375367"/>
    <w:rsid w:val="00375A8E"/>
    <w:rsid w:val="00376E84"/>
    <w:rsid w:val="00376FA1"/>
    <w:rsid w:val="003771FA"/>
    <w:rsid w:val="00381555"/>
    <w:rsid w:val="00381BEC"/>
    <w:rsid w:val="00381F09"/>
    <w:rsid w:val="0038230A"/>
    <w:rsid w:val="00383433"/>
    <w:rsid w:val="00383A37"/>
    <w:rsid w:val="00384982"/>
    <w:rsid w:val="00386AC5"/>
    <w:rsid w:val="00386B12"/>
    <w:rsid w:val="00386EC8"/>
    <w:rsid w:val="00386F06"/>
    <w:rsid w:val="003905BA"/>
    <w:rsid w:val="00391AD5"/>
    <w:rsid w:val="003926AC"/>
    <w:rsid w:val="00393B21"/>
    <w:rsid w:val="00393B67"/>
    <w:rsid w:val="00394291"/>
    <w:rsid w:val="003967D9"/>
    <w:rsid w:val="00397CE7"/>
    <w:rsid w:val="00397E1C"/>
    <w:rsid w:val="003A10EA"/>
    <w:rsid w:val="003A26FF"/>
    <w:rsid w:val="003A51AF"/>
    <w:rsid w:val="003A61B5"/>
    <w:rsid w:val="003A7CEE"/>
    <w:rsid w:val="003B04D6"/>
    <w:rsid w:val="003B11E7"/>
    <w:rsid w:val="003B24BA"/>
    <w:rsid w:val="003B2705"/>
    <w:rsid w:val="003B35C2"/>
    <w:rsid w:val="003B4EF8"/>
    <w:rsid w:val="003B50C3"/>
    <w:rsid w:val="003B53E9"/>
    <w:rsid w:val="003B5745"/>
    <w:rsid w:val="003B7B9E"/>
    <w:rsid w:val="003C0B90"/>
    <w:rsid w:val="003C1420"/>
    <w:rsid w:val="003C160A"/>
    <w:rsid w:val="003C2694"/>
    <w:rsid w:val="003C3870"/>
    <w:rsid w:val="003C41D8"/>
    <w:rsid w:val="003C5577"/>
    <w:rsid w:val="003C644F"/>
    <w:rsid w:val="003C6544"/>
    <w:rsid w:val="003C729C"/>
    <w:rsid w:val="003C7707"/>
    <w:rsid w:val="003D0163"/>
    <w:rsid w:val="003D098C"/>
    <w:rsid w:val="003D0E45"/>
    <w:rsid w:val="003D0FD1"/>
    <w:rsid w:val="003D2156"/>
    <w:rsid w:val="003D252F"/>
    <w:rsid w:val="003D28CA"/>
    <w:rsid w:val="003D327D"/>
    <w:rsid w:val="003D3A8F"/>
    <w:rsid w:val="003D3CE0"/>
    <w:rsid w:val="003D3DE2"/>
    <w:rsid w:val="003D40AB"/>
    <w:rsid w:val="003D6788"/>
    <w:rsid w:val="003D7C25"/>
    <w:rsid w:val="003E1DEF"/>
    <w:rsid w:val="003E267B"/>
    <w:rsid w:val="003E2A13"/>
    <w:rsid w:val="003E2A99"/>
    <w:rsid w:val="003E2BBF"/>
    <w:rsid w:val="003E2CA1"/>
    <w:rsid w:val="003E3E0B"/>
    <w:rsid w:val="003E4E6C"/>
    <w:rsid w:val="003E5243"/>
    <w:rsid w:val="003E5DFE"/>
    <w:rsid w:val="003E6890"/>
    <w:rsid w:val="003F15B5"/>
    <w:rsid w:val="003F5DA8"/>
    <w:rsid w:val="004001BB"/>
    <w:rsid w:val="00400410"/>
    <w:rsid w:val="0040090D"/>
    <w:rsid w:val="00401E1A"/>
    <w:rsid w:val="0040390E"/>
    <w:rsid w:val="004045D4"/>
    <w:rsid w:val="00404626"/>
    <w:rsid w:val="004052EE"/>
    <w:rsid w:val="00405E5B"/>
    <w:rsid w:val="00407122"/>
    <w:rsid w:val="00407E6E"/>
    <w:rsid w:val="00411F43"/>
    <w:rsid w:val="004128B2"/>
    <w:rsid w:val="00412B61"/>
    <w:rsid w:val="004141F6"/>
    <w:rsid w:val="004145C3"/>
    <w:rsid w:val="004147BF"/>
    <w:rsid w:val="004150EB"/>
    <w:rsid w:val="00415CCD"/>
    <w:rsid w:val="0041619C"/>
    <w:rsid w:val="00416FB4"/>
    <w:rsid w:val="004177A4"/>
    <w:rsid w:val="00417DAE"/>
    <w:rsid w:val="00420660"/>
    <w:rsid w:val="004228BA"/>
    <w:rsid w:val="0042383B"/>
    <w:rsid w:val="0042564D"/>
    <w:rsid w:val="004263FF"/>
    <w:rsid w:val="004300E1"/>
    <w:rsid w:val="00431270"/>
    <w:rsid w:val="00431A36"/>
    <w:rsid w:val="004321B9"/>
    <w:rsid w:val="0043348F"/>
    <w:rsid w:val="00433EA5"/>
    <w:rsid w:val="0043423B"/>
    <w:rsid w:val="00434671"/>
    <w:rsid w:val="00435978"/>
    <w:rsid w:val="00436033"/>
    <w:rsid w:val="004372C4"/>
    <w:rsid w:val="00437B6A"/>
    <w:rsid w:val="00437CCF"/>
    <w:rsid w:val="00440660"/>
    <w:rsid w:val="00441E5B"/>
    <w:rsid w:val="00444888"/>
    <w:rsid w:val="0044686A"/>
    <w:rsid w:val="004478E3"/>
    <w:rsid w:val="00450ED1"/>
    <w:rsid w:val="004519B0"/>
    <w:rsid w:val="00452D66"/>
    <w:rsid w:val="00452F23"/>
    <w:rsid w:val="00455840"/>
    <w:rsid w:val="00456029"/>
    <w:rsid w:val="00457C4D"/>
    <w:rsid w:val="00460610"/>
    <w:rsid w:val="004617DD"/>
    <w:rsid w:val="0046229A"/>
    <w:rsid w:val="00462695"/>
    <w:rsid w:val="0046479E"/>
    <w:rsid w:val="00464915"/>
    <w:rsid w:val="00466948"/>
    <w:rsid w:val="00466C8E"/>
    <w:rsid w:val="004672AB"/>
    <w:rsid w:val="00467734"/>
    <w:rsid w:val="00470CD4"/>
    <w:rsid w:val="0047125E"/>
    <w:rsid w:val="00473126"/>
    <w:rsid w:val="00473759"/>
    <w:rsid w:val="00473A10"/>
    <w:rsid w:val="0047440D"/>
    <w:rsid w:val="004744C1"/>
    <w:rsid w:val="00474CDD"/>
    <w:rsid w:val="00476D96"/>
    <w:rsid w:val="0047761D"/>
    <w:rsid w:val="00480E7D"/>
    <w:rsid w:val="0048366F"/>
    <w:rsid w:val="00483842"/>
    <w:rsid w:val="00483E74"/>
    <w:rsid w:val="00484EE0"/>
    <w:rsid w:val="0048792B"/>
    <w:rsid w:val="004920C2"/>
    <w:rsid w:val="00492821"/>
    <w:rsid w:val="00493579"/>
    <w:rsid w:val="00493D61"/>
    <w:rsid w:val="00494193"/>
    <w:rsid w:val="00496CC7"/>
    <w:rsid w:val="00497712"/>
    <w:rsid w:val="004A1CE9"/>
    <w:rsid w:val="004A2BDA"/>
    <w:rsid w:val="004A6964"/>
    <w:rsid w:val="004B1084"/>
    <w:rsid w:val="004B1430"/>
    <w:rsid w:val="004B255B"/>
    <w:rsid w:val="004B64C7"/>
    <w:rsid w:val="004C0D34"/>
    <w:rsid w:val="004C1C99"/>
    <w:rsid w:val="004C277C"/>
    <w:rsid w:val="004C2FB3"/>
    <w:rsid w:val="004C4B7A"/>
    <w:rsid w:val="004C5B85"/>
    <w:rsid w:val="004C61F7"/>
    <w:rsid w:val="004C7597"/>
    <w:rsid w:val="004C7D2D"/>
    <w:rsid w:val="004D2473"/>
    <w:rsid w:val="004D347B"/>
    <w:rsid w:val="004D354C"/>
    <w:rsid w:val="004D3CF9"/>
    <w:rsid w:val="004D459E"/>
    <w:rsid w:val="004D477C"/>
    <w:rsid w:val="004D6882"/>
    <w:rsid w:val="004D6A1E"/>
    <w:rsid w:val="004D781F"/>
    <w:rsid w:val="004E1415"/>
    <w:rsid w:val="004E147E"/>
    <w:rsid w:val="004E1C42"/>
    <w:rsid w:val="004E3D8F"/>
    <w:rsid w:val="004E48AA"/>
    <w:rsid w:val="004E5AB8"/>
    <w:rsid w:val="004E6C09"/>
    <w:rsid w:val="004E7679"/>
    <w:rsid w:val="004F0235"/>
    <w:rsid w:val="004F0DEB"/>
    <w:rsid w:val="004F172A"/>
    <w:rsid w:val="004F37D7"/>
    <w:rsid w:val="004F385E"/>
    <w:rsid w:val="004F6313"/>
    <w:rsid w:val="004F74AC"/>
    <w:rsid w:val="00500A11"/>
    <w:rsid w:val="00502195"/>
    <w:rsid w:val="00503746"/>
    <w:rsid w:val="005041A2"/>
    <w:rsid w:val="00504751"/>
    <w:rsid w:val="00504B38"/>
    <w:rsid w:val="00505A22"/>
    <w:rsid w:val="00507E74"/>
    <w:rsid w:val="00511F71"/>
    <w:rsid w:val="0051285B"/>
    <w:rsid w:val="005129DD"/>
    <w:rsid w:val="00516E0B"/>
    <w:rsid w:val="00517441"/>
    <w:rsid w:val="00517CC8"/>
    <w:rsid w:val="005207C4"/>
    <w:rsid w:val="00521918"/>
    <w:rsid w:val="00521F75"/>
    <w:rsid w:val="00521F8A"/>
    <w:rsid w:val="00522596"/>
    <w:rsid w:val="0052465D"/>
    <w:rsid w:val="00524E0A"/>
    <w:rsid w:val="00525CB9"/>
    <w:rsid w:val="005260EF"/>
    <w:rsid w:val="00526FAD"/>
    <w:rsid w:val="0052714D"/>
    <w:rsid w:val="005272F9"/>
    <w:rsid w:val="00527BC3"/>
    <w:rsid w:val="0053253D"/>
    <w:rsid w:val="005328CA"/>
    <w:rsid w:val="0053370E"/>
    <w:rsid w:val="005338C5"/>
    <w:rsid w:val="00534301"/>
    <w:rsid w:val="00534427"/>
    <w:rsid w:val="0053522F"/>
    <w:rsid w:val="00535BBF"/>
    <w:rsid w:val="00537DD4"/>
    <w:rsid w:val="0054078A"/>
    <w:rsid w:val="00541D21"/>
    <w:rsid w:val="00541D88"/>
    <w:rsid w:val="00546E36"/>
    <w:rsid w:val="005502D3"/>
    <w:rsid w:val="00550EEE"/>
    <w:rsid w:val="00551192"/>
    <w:rsid w:val="00555061"/>
    <w:rsid w:val="00555CF8"/>
    <w:rsid w:val="00557631"/>
    <w:rsid w:val="00560DC9"/>
    <w:rsid w:val="00561558"/>
    <w:rsid w:val="0056271D"/>
    <w:rsid w:val="00564A2F"/>
    <w:rsid w:val="005671B3"/>
    <w:rsid w:val="00570935"/>
    <w:rsid w:val="00571C9A"/>
    <w:rsid w:val="00571EC8"/>
    <w:rsid w:val="00572CF0"/>
    <w:rsid w:val="00572EC6"/>
    <w:rsid w:val="005737DC"/>
    <w:rsid w:val="00573B76"/>
    <w:rsid w:val="005766DD"/>
    <w:rsid w:val="00577D7B"/>
    <w:rsid w:val="00577E8B"/>
    <w:rsid w:val="00580F83"/>
    <w:rsid w:val="005814B1"/>
    <w:rsid w:val="00582519"/>
    <w:rsid w:val="005825D2"/>
    <w:rsid w:val="0058352F"/>
    <w:rsid w:val="00583BE4"/>
    <w:rsid w:val="00583CA1"/>
    <w:rsid w:val="00586BE4"/>
    <w:rsid w:val="00586E3D"/>
    <w:rsid w:val="00587FB2"/>
    <w:rsid w:val="005907A1"/>
    <w:rsid w:val="005926F2"/>
    <w:rsid w:val="0059378C"/>
    <w:rsid w:val="00595A16"/>
    <w:rsid w:val="005964A0"/>
    <w:rsid w:val="00596E6A"/>
    <w:rsid w:val="005A06F3"/>
    <w:rsid w:val="005A3741"/>
    <w:rsid w:val="005A3ADF"/>
    <w:rsid w:val="005A4DCE"/>
    <w:rsid w:val="005A5D9B"/>
    <w:rsid w:val="005A65CA"/>
    <w:rsid w:val="005A685D"/>
    <w:rsid w:val="005A7A80"/>
    <w:rsid w:val="005B10AA"/>
    <w:rsid w:val="005B29BF"/>
    <w:rsid w:val="005B3188"/>
    <w:rsid w:val="005B35AF"/>
    <w:rsid w:val="005B377F"/>
    <w:rsid w:val="005B40AE"/>
    <w:rsid w:val="005B5C11"/>
    <w:rsid w:val="005B5E29"/>
    <w:rsid w:val="005B772B"/>
    <w:rsid w:val="005B799E"/>
    <w:rsid w:val="005C072A"/>
    <w:rsid w:val="005C11AE"/>
    <w:rsid w:val="005C1976"/>
    <w:rsid w:val="005C2182"/>
    <w:rsid w:val="005C3586"/>
    <w:rsid w:val="005C3E9B"/>
    <w:rsid w:val="005C4683"/>
    <w:rsid w:val="005C5E30"/>
    <w:rsid w:val="005C6130"/>
    <w:rsid w:val="005C6476"/>
    <w:rsid w:val="005D14A9"/>
    <w:rsid w:val="005D1C6D"/>
    <w:rsid w:val="005D2805"/>
    <w:rsid w:val="005D2B59"/>
    <w:rsid w:val="005D4BB2"/>
    <w:rsid w:val="005D5264"/>
    <w:rsid w:val="005D68CA"/>
    <w:rsid w:val="005D70F7"/>
    <w:rsid w:val="005D736B"/>
    <w:rsid w:val="005D755E"/>
    <w:rsid w:val="005D7FD5"/>
    <w:rsid w:val="005E1180"/>
    <w:rsid w:val="005E219B"/>
    <w:rsid w:val="005E3EF1"/>
    <w:rsid w:val="005E424E"/>
    <w:rsid w:val="005E7F04"/>
    <w:rsid w:val="005F24AE"/>
    <w:rsid w:val="005F29DF"/>
    <w:rsid w:val="005F3135"/>
    <w:rsid w:val="005F3B74"/>
    <w:rsid w:val="005F4D09"/>
    <w:rsid w:val="005F501E"/>
    <w:rsid w:val="005F544A"/>
    <w:rsid w:val="005F583B"/>
    <w:rsid w:val="006003D1"/>
    <w:rsid w:val="006016A6"/>
    <w:rsid w:val="00601AD4"/>
    <w:rsid w:val="00602D30"/>
    <w:rsid w:val="00603A04"/>
    <w:rsid w:val="00604547"/>
    <w:rsid w:val="006049FA"/>
    <w:rsid w:val="006062AD"/>
    <w:rsid w:val="00606EF0"/>
    <w:rsid w:val="00613B2C"/>
    <w:rsid w:val="00616706"/>
    <w:rsid w:val="00616FB3"/>
    <w:rsid w:val="0061735F"/>
    <w:rsid w:val="00622F42"/>
    <w:rsid w:val="0062407C"/>
    <w:rsid w:val="006247F0"/>
    <w:rsid w:val="00625525"/>
    <w:rsid w:val="006305CE"/>
    <w:rsid w:val="00631E4B"/>
    <w:rsid w:val="0063408F"/>
    <w:rsid w:val="00634479"/>
    <w:rsid w:val="00634BDD"/>
    <w:rsid w:val="00634C20"/>
    <w:rsid w:val="0063635E"/>
    <w:rsid w:val="006365AB"/>
    <w:rsid w:val="006365FA"/>
    <w:rsid w:val="006405C2"/>
    <w:rsid w:val="00643ADE"/>
    <w:rsid w:val="00647689"/>
    <w:rsid w:val="00647AF8"/>
    <w:rsid w:val="00647FCD"/>
    <w:rsid w:val="00650060"/>
    <w:rsid w:val="00652096"/>
    <w:rsid w:val="006547EA"/>
    <w:rsid w:val="006559C5"/>
    <w:rsid w:val="00655AB7"/>
    <w:rsid w:val="00655F30"/>
    <w:rsid w:val="00656F6B"/>
    <w:rsid w:val="006578A9"/>
    <w:rsid w:val="006610E8"/>
    <w:rsid w:val="00661B82"/>
    <w:rsid w:val="00662638"/>
    <w:rsid w:val="00662753"/>
    <w:rsid w:val="006643B9"/>
    <w:rsid w:val="00664846"/>
    <w:rsid w:val="006648B8"/>
    <w:rsid w:val="00666A49"/>
    <w:rsid w:val="00666BBD"/>
    <w:rsid w:val="0066712D"/>
    <w:rsid w:val="00667A14"/>
    <w:rsid w:val="00670290"/>
    <w:rsid w:val="006703D3"/>
    <w:rsid w:val="00671016"/>
    <w:rsid w:val="0067184E"/>
    <w:rsid w:val="0067199C"/>
    <w:rsid w:val="006720A4"/>
    <w:rsid w:val="00672C8A"/>
    <w:rsid w:val="0067473C"/>
    <w:rsid w:val="00674767"/>
    <w:rsid w:val="00675BB2"/>
    <w:rsid w:val="00676149"/>
    <w:rsid w:val="0067695B"/>
    <w:rsid w:val="006801E5"/>
    <w:rsid w:val="00680BF9"/>
    <w:rsid w:val="0068190D"/>
    <w:rsid w:val="00682410"/>
    <w:rsid w:val="00682C79"/>
    <w:rsid w:val="00683A5B"/>
    <w:rsid w:val="006847AA"/>
    <w:rsid w:val="0068617F"/>
    <w:rsid w:val="00686326"/>
    <w:rsid w:val="0068688B"/>
    <w:rsid w:val="00691C6F"/>
    <w:rsid w:val="00692532"/>
    <w:rsid w:val="00692B43"/>
    <w:rsid w:val="0069304F"/>
    <w:rsid w:val="00693C1F"/>
    <w:rsid w:val="00693CF7"/>
    <w:rsid w:val="00693D35"/>
    <w:rsid w:val="0069470C"/>
    <w:rsid w:val="0069491C"/>
    <w:rsid w:val="00695A4A"/>
    <w:rsid w:val="00695BDF"/>
    <w:rsid w:val="006967D8"/>
    <w:rsid w:val="00696871"/>
    <w:rsid w:val="00696B64"/>
    <w:rsid w:val="006972DC"/>
    <w:rsid w:val="006A0099"/>
    <w:rsid w:val="006A0C43"/>
    <w:rsid w:val="006A4789"/>
    <w:rsid w:val="006A4D11"/>
    <w:rsid w:val="006A5C6F"/>
    <w:rsid w:val="006B14AD"/>
    <w:rsid w:val="006B17E5"/>
    <w:rsid w:val="006B43FF"/>
    <w:rsid w:val="006B52FA"/>
    <w:rsid w:val="006B5EE6"/>
    <w:rsid w:val="006B73ED"/>
    <w:rsid w:val="006B76B9"/>
    <w:rsid w:val="006C0C7F"/>
    <w:rsid w:val="006C65D0"/>
    <w:rsid w:val="006C6C90"/>
    <w:rsid w:val="006C6DD9"/>
    <w:rsid w:val="006C6E36"/>
    <w:rsid w:val="006D03FF"/>
    <w:rsid w:val="006D217F"/>
    <w:rsid w:val="006D24E2"/>
    <w:rsid w:val="006D2BF8"/>
    <w:rsid w:val="006D435A"/>
    <w:rsid w:val="006D47C8"/>
    <w:rsid w:val="006D4D38"/>
    <w:rsid w:val="006D4FC4"/>
    <w:rsid w:val="006D59D8"/>
    <w:rsid w:val="006E09EA"/>
    <w:rsid w:val="006E0FFE"/>
    <w:rsid w:val="006E1D63"/>
    <w:rsid w:val="006E1FCE"/>
    <w:rsid w:val="006E4010"/>
    <w:rsid w:val="006E485D"/>
    <w:rsid w:val="006E513A"/>
    <w:rsid w:val="006E6D75"/>
    <w:rsid w:val="006E7116"/>
    <w:rsid w:val="006E7476"/>
    <w:rsid w:val="006F2F17"/>
    <w:rsid w:val="006F3599"/>
    <w:rsid w:val="006F4256"/>
    <w:rsid w:val="006F45B7"/>
    <w:rsid w:val="006F4ACA"/>
    <w:rsid w:val="006F4EFE"/>
    <w:rsid w:val="006F6060"/>
    <w:rsid w:val="006F668F"/>
    <w:rsid w:val="006F70ED"/>
    <w:rsid w:val="006F7B14"/>
    <w:rsid w:val="0070085E"/>
    <w:rsid w:val="00704776"/>
    <w:rsid w:val="00704D86"/>
    <w:rsid w:val="00710C1D"/>
    <w:rsid w:val="0071178D"/>
    <w:rsid w:val="00712BCF"/>
    <w:rsid w:val="00712D34"/>
    <w:rsid w:val="007131A9"/>
    <w:rsid w:val="00713B2A"/>
    <w:rsid w:val="00713EC6"/>
    <w:rsid w:val="00715669"/>
    <w:rsid w:val="0071572F"/>
    <w:rsid w:val="00716A65"/>
    <w:rsid w:val="0071750E"/>
    <w:rsid w:val="0072123E"/>
    <w:rsid w:val="00721503"/>
    <w:rsid w:val="00722FB7"/>
    <w:rsid w:val="00723423"/>
    <w:rsid w:val="00723E72"/>
    <w:rsid w:val="00724F59"/>
    <w:rsid w:val="007279F5"/>
    <w:rsid w:val="00727A42"/>
    <w:rsid w:val="00731021"/>
    <w:rsid w:val="00731A75"/>
    <w:rsid w:val="00732D3D"/>
    <w:rsid w:val="00732D46"/>
    <w:rsid w:val="00735D7C"/>
    <w:rsid w:val="007361D7"/>
    <w:rsid w:val="007365A0"/>
    <w:rsid w:val="00737930"/>
    <w:rsid w:val="00740396"/>
    <w:rsid w:val="007415F2"/>
    <w:rsid w:val="00742629"/>
    <w:rsid w:val="007429F2"/>
    <w:rsid w:val="007443EF"/>
    <w:rsid w:val="00745AFB"/>
    <w:rsid w:val="00746164"/>
    <w:rsid w:val="00746DA0"/>
    <w:rsid w:val="00753243"/>
    <w:rsid w:val="0075390D"/>
    <w:rsid w:val="00753ABD"/>
    <w:rsid w:val="007565E7"/>
    <w:rsid w:val="00756D8C"/>
    <w:rsid w:val="00757A82"/>
    <w:rsid w:val="007610B5"/>
    <w:rsid w:val="00761A7B"/>
    <w:rsid w:val="00764214"/>
    <w:rsid w:val="00765D2F"/>
    <w:rsid w:val="007668B5"/>
    <w:rsid w:val="007710FB"/>
    <w:rsid w:val="00771511"/>
    <w:rsid w:val="00771753"/>
    <w:rsid w:val="00772258"/>
    <w:rsid w:val="00772349"/>
    <w:rsid w:val="00772F91"/>
    <w:rsid w:val="00773AFC"/>
    <w:rsid w:val="007754A2"/>
    <w:rsid w:val="00775DC7"/>
    <w:rsid w:val="00775F04"/>
    <w:rsid w:val="00776C6F"/>
    <w:rsid w:val="00777EF2"/>
    <w:rsid w:val="00781E3E"/>
    <w:rsid w:val="00781FC4"/>
    <w:rsid w:val="00782663"/>
    <w:rsid w:val="00783407"/>
    <w:rsid w:val="0078497E"/>
    <w:rsid w:val="00785814"/>
    <w:rsid w:val="007862F9"/>
    <w:rsid w:val="00786BCD"/>
    <w:rsid w:val="00790860"/>
    <w:rsid w:val="0079183D"/>
    <w:rsid w:val="00791BA5"/>
    <w:rsid w:val="00792B5C"/>
    <w:rsid w:val="00795925"/>
    <w:rsid w:val="00796920"/>
    <w:rsid w:val="00796A2A"/>
    <w:rsid w:val="007A0717"/>
    <w:rsid w:val="007A0D27"/>
    <w:rsid w:val="007A1685"/>
    <w:rsid w:val="007A1C4B"/>
    <w:rsid w:val="007A2188"/>
    <w:rsid w:val="007A79D4"/>
    <w:rsid w:val="007B0B32"/>
    <w:rsid w:val="007B1C29"/>
    <w:rsid w:val="007B2FE2"/>
    <w:rsid w:val="007B6167"/>
    <w:rsid w:val="007B63CF"/>
    <w:rsid w:val="007B6FB3"/>
    <w:rsid w:val="007B7281"/>
    <w:rsid w:val="007B7CA3"/>
    <w:rsid w:val="007C0A10"/>
    <w:rsid w:val="007C1F39"/>
    <w:rsid w:val="007C29FC"/>
    <w:rsid w:val="007C3A59"/>
    <w:rsid w:val="007C4FB1"/>
    <w:rsid w:val="007C7191"/>
    <w:rsid w:val="007D0BC7"/>
    <w:rsid w:val="007D0E82"/>
    <w:rsid w:val="007D210C"/>
    <w:rsid w:val="007D2F2F"/>
    <w:rsid w:val="007D4030"/>
    <w:rsid w:val="007D5D66"/>
    <w:rsid w:val="007D675B"/>
    <w:rsid w:val="007E05A2"/>
    <w:rsid w:val="007E084E"/>
    <w:rsid w:val="007E140A"/>
    <w:rsid w:val="007E1A57"/>
    <w:rsid w:val="007E35BD"/>
    <w:rsid w:val="007E46D9"/>
    <w:rsid w:val="007E4882"/>
    <w:rsid w:val="007E5C2F"/>
    <w:rsid w:val="007E758F"/>
    <w:rsid w:val="007F235A"/>
    <w:rsid w:val="007F2FE3"/>
    <w:rsid w:val="007F351F"/>
    <w:rsid w:val="007F48C7"/>
    <w:rsid w:val="007F6129"/>
    <w:rsid w:val="007F712D"/>
    <w:rsid w:val="007F7D07"/>
    <w:rsid w:val="008017F1"/>
    <w:rsid w:val="008034E4"/>
    <w:rsid w:val="0080521A"/>
    <w:rsid w:val="00807EDD"/>
    <w:rsid w:val="008108AF"/>
    <w:rsid w:val="0081151C"/>
    <w:rsid w:val="00811850"/>
    <w:rsid w:val="00812D4C"/>
    <w:rsid w:val="00812DD1"/>
    <w:rsid w:val="00813FD5"/>
    <w:rsid w:val="00814400"/>
    <w:rsid w:val="0081715C"/>
    <w:rsid w:val="00817CC5"/>
    <w:rsid w:val="00821E10"/>
    <w:rsid w:val="008230A1"/>
    <w:rsid w:val="00823DA4"/>
    <w:rsid w:val="00825267"/>
    <w:rsid w:val="00825C60"/>
    <w:rsid w:val="00827E45"/>
    <w:rsid w:val="00830110"/>
    <w:rsid w:val="0083065B"/>
    <w:rsid w:val="008323FA"/>
    <w:rsid w:val="00832676"/>
    <w:rsid w:val="0083690D"/>
    <w:rsid w:val="008375F3"/>
    <w:rsid w:val="00837BC6"/>
    <w:rsid w:val="00840235"/>
    <w:rsid w:val="008407B7"/>
    <w:rsid w:val="008411CC"/>
    <w:rsid w:val="00841F05"/>
    <w:rsid w:val="00843246"/>
    <w:rsid w:val="0084334B"/>
    <w:rsid w:val="0084335D"/>
    <w:rsid w:val="00844144"/>
    <w:rsid w:val="0084435A"/>
    <w:rsid w:val="00845C51"/>
    <w:rsid w:val="00847921"/>
    <w:rsid w:val="00850B12"/>
    <w:rsid w:val="00852071"/>
    <w:rsid w:val="0085283D"/>
    <w:rsid w:val="008528F3"/>
    <w:rsid w:val="008529FF"/>
    <w:rsid w:val="00852DD8"/>
    <w:rsid w:val="00853346"/>
    <w:rsid w:val="0085537E"/>
    <w:rsid w:val="008562DE"/>
    <w:rsid w:val="00856992"/>
    <w:rsid w:val="00856D7A"/>
    <w:rsid w:val="00860D37"/>
    <w:rsid w:val="00863B44"/>
    <w:rsid w:val="00865B3B"/>
    <w:rsid w:val="00866C15"/>
    <w:rsid w:val="00867A1A"/>
    <w:rsid w:val="008704DE"/>
    <w:rsid w:val="00870AD2"/>
    <w:rsid w:val="008713D4"/>
    <w:rsid w:val="00871617"/>
    <w:rsid w:val="00871AA8"/>
    <w:rsid w:val="00874A7F"/>
    <w:rsid w:val="0087548A"/>
    <w:rsid w:val="00875BA6"/>
    <w:rsid w:val="00877FE9"/>
    <w:rsid w:val="008808B4"/>
    <w:rsid w:val="00884C70"/>
    <w:rsid w:val="00884E29"/>
    <w:rsid w:val="00885002"/>
    <w:rsid w:val="0088553D"/>
    <w:rsid w:val="00886C04"/>
    <w:rsid w:val="00886F44"/>
    <w:rsid w:val="008876F9"/>
    <w:rsid w:val="0089013B"/>
    <w:rsid w:val="00891D23"/>
    <w:rsid w:val="008952D6"/>
    <w:rsid w:val="0089705F"/>
    <w:rsid w:val="008974BD"/>
    <w:rsid w:val="008A0E1B"/>
    <w:rsid w:val="008A0E3E"/>
    <w:rsid w:val="008A2097"/>
    <w:rsid w:val="008A3CFB"/>
    <w:rsid w:val="008A4375"/>
    <w:rsid w:val="008A492B"/>
    <w:rsid w:val="008A5C96"/>
    <w:rsid w:val="008A6A51"/>
    <w:rsid w:val="008B0690"/>
    <w:rsid w:val="008B1361"/>
    <w:rsid w:val="008B18D4"/>
    <w:rsid w:val="008B2057"/>
    <w:rsid w:val="008B26B0"/>
    <w:rsid w:val="008B3185"/>
    <w:rsid w:val="008B3D1E"/>
    <w:rsid w:val="008B473B"/>
    <w:rsid w:val="008B516D"/>
    <w:rsid w:val="008B67ED"/>
    <w:rsid w:val="008B71F2"/>
    <w:rsid w:val="008C09F7"/>
    <w:rsid w:val="008C1C45"/>
    <w:rsid w:val="008C2726"/>
    <w:rsid w:val="008C35EC"/>
    <w:rsid w:val="008C3D73"/>
    <w:rsid w:val="008C65C6"/>
    <w:rsid w:val="008C72F7"/>
    <w:rsid w:val="008C7747"/>
    <w:rsid w:val="008C78E6"/>
    <w:rsid w:val="008C7BDE"/>
    <w:rsid w:val="008D003F"/>
    <w:rsid w:val="008D0926"/>
    <w:rsid w:val="008D2305"/>
    <w:rsid w:val="008D4088"/>
    <w:rsid w:val="008D40BE"/>
    <w:rsid w:val="008D413A"/>
    <w:rsid w:val="008D4DC7"/>
    <w:rsid w:val="008D6C15"/>
    <w:rsid w:val="008E135F"/>
    <w:rsid w:val="008E2B75"/>
    <w:rsid w:val="008E4486"/>
    <w:rsid w:val="008E5C46"/>
    <w:rsid w:val="008E61F0"/>
    <w:rsid w:val="008E621D"/>
    <w:rsid w:val="008E6554"/>
    <w:rsid w:val="008E693C"/>
    <w:rsid w:val="008E6D5E"/>
    <w:rsid w:val="008E74EA"/>
    <w:rsid w:val="008F31F4"/>
    <w:rsid w:val="008F32A2"/>
    <w:rsid w:val="008F37D0"/>
    <w:rsid w:val="008F3E53"/>
    <w:rsid w:val="008F6110"/>
    <w:rsid w:val="008F7C65"/>
    <w:rsid w:val="0090053D"/>
    <w:rsid w:val="0090179E"/>
    <w:rsid w:val="00901D71"/>
    <w:rsid w:val="0090623F"/>
    <w:rsid w:val="00907FA2"/>
    <w:rsid w:val="0091186C"/>
    <w:rsid w:val="009127BE"/>
    <w:rsid w:val="0091460F"/>
    <w:rsid w:val="009151DB"/>
    <w:rsid w:val="00915C6D"/>
    <w:rsid w:val="00915FE6"/>
    <w:rsid w:val="00921C1A"/>
    <w:rsid w:val="00921D13"/>
    <w:rsid w:val="00922D6B"/>
    <w:rsid w:val="00923115"/>
    <w:rsid w:val="009234A7"/>
    <w:rsid w:val="00923D7F"/>
    <w:rsid w:val="0092476C"/>
    <w:rsid w:val="00926693"/>
    <w:rsid w:val="00930926"/>
    <w:rsid w:val="009315DE"/>
    <w:rsid w:val="00932593"/>
    <w:rsid w:val="00932BBF"/>
    <w:rsid w:val="00935431"/>
    <w:rsid w:val="00936156"/>
    <w:rsid w:val="00941388"/>
    <w:rsid w:val="009415D3"/>
    <w:rsid w:val="00941B69"/>
    <w:rsid w:val="009427AD"/>
    <w:rsid w:val="00945C1E"/>
    <w:rsid w:val="00945F4D"/>
    <w:rsid w:val="00946CE2"/>
    <w:rsid w:val="00947859"/>
    <w:rsid w:val="0095057D"/>
    <w:rsid w:val="00951F80"/>
    <w:rsid w:val="00953C65"/>
    <w:rsid w:val="00953E6C"/>
    <w:rsid w:val="00953E94"/>
    <w:rsid w:val="009555B4"/>
    <w:rsid w:val="009563A9"/>
    <w:rsid w:val="009563F8"/>
    <w:rsid w:val="0095684E"/>
    <w:rsid w:val="00956952"/>
    <w:rsid w:val="00956C0C"/>
    <w:rsid w:val="00957D7D"/>
    <w:rsid w:val="00957DD5"/>
    <w:rsid w:val="009602ED"/>
    <w:rsid w:val="009608EA"/>
    <w:rsid w:val="00961E22"/>
    <w:rsid w:val="009622B3"/>
    <w:rsid w:val="009622EA"/>
    <w:rsid w:val="0096238C"/>
    <w:rsid w:val="00962E2D"/>
    <w:rsid w:val="00963610"/>
    <w:rsid w:val="00963EE2"/>
    <w:rsid w:val="00964A2D"/>
    <w:rsid w:val="009654DF"/>
    <w:rsid w:val="0096593E"/>
    <w:rsid w:val="00965A5A"/>
    <w:rsid w:val="00965D17"/>
    <w:rsid w:val="00966CDD"/>
    <w:rsid w:val="009705AC"/>
    <w:rsid w:val="00972EF1"/>
    <w:rsid w:val="00974014"/>
    <w:rsid w:val="0097582C"/>
    <w:rsid w:val="00981602"/>
    <w:rsid w:val="00982E44"/>
    <w:rsid w:val="00983103"/>
    <w:rsid w:val="00985C4B"/>
    <w:rsid w:val="00986B23"/>
    <w:rsid w:val="009873C6"/>
    <w:rsid w:val="009876D6"/>
    <w:rsid w:val="0099007D"/>
    <w:rsid w:val="009917F6"/>
    <w:rsid w:val="00991DEF"/>
    <w:rsid w:val="00991E29"/>
    <w:rsid w:val="0099447B"/>
    <w:rsid w:val="00994A6F"/>
    <w:rsid w:val="009A01EB"/>
    <w:rsid w:val="009A111A"/>
    <w:rsid w:val="009A1203"/>
    <w:rsid w:val="009A2B69"/>
    <w:rsid w:val="009A3688"/>
    <w:rsid w:val="009A3EE3"/>
    <w:rsid w:val="009A5697"/>
    <w:rsid w:val="009A5CB9"/>
    <w:rsid w:val="009A799F"/>
    <w:rsid w:val="009B09B5"/>
    <w:rsid w:val="009B0BA4"/>
    <w:rsid w:val="009B36A2"/>
    <w:rsid w:val="009B3991"/>
    <w:rsid w:val="009B3AA7"/>
    <w:rsid w:val="009B5584"/>
    <w:rsid w:val="009B57D1"/>
    <w:rsid w:val="009C0442"/>
    <w:rsid w:val="009C0E21"/>
    <w:rsid w:val="009C181C"/>
    <w:rsid w:val="009C535C"/>
    <w:rsid w:val="009C5A16"/>
    <w:rsid w:val="009C5FAC"/>
    <w:rsid w:val="009D298E"/>
    <w:rsid w:val="009D2E2C"/>
    <w:rsid w:val="009D2E33"/>
    <w:rsid w:val="009D311F"/>
    <w:rsid w:val="009D459E"/>
    <w:rsid w:val="009D481C"/>
    <w:rsid w:val="009D4E03"/>
    <w:rsid w:val="009D5C27"/>
    <w:rsid w:val="009D6F8A"/>
    <w:rsid w:val="009D799F"/>
    <w:rsid w:val="009E24BD"/>
    <w:rsid w:val="009E26B6"/>
    <w:rsid w:val="009E2E4B"/>
    <w:rsid w:val="009E3538"/>
    <w:rsid w:val="009E4008"/>
    <w:rsid w:val="009E49FF"/>
    <w:rsid w:val="009E5FCD"/>
    <w:rsid w:val="009F0F2D"/>
    <w:rsid w:val="009F186F"/>
    <w:rsid w:val="009F1A04"/>
    <w:rsid w:val="009F2EA4"/>
    <w:rsid w:val="009F5C8E"/>
    <w:rsid w:val="009F7898"/>
    <w:rsid w:val="00A0031D"/>
    <w:rsid w:val="00A015C3"/>
    <w:rsid w:val="00A0256C"/>
    <w:rsid w:val="00A04081"/>
    <w:rsid w:val="00A0610D"/>
    <w:rsid w:val="00A064E5"/>
    <w:rsid w:val="00A07A89"/>
    <w:rsid w:val="00A07EFA"/>
    <w:rsid w:val="00A1009E"/>
    <w:rsid w:val="00A10867"/>
    <w:rsid w:val="00A12DEB"/>
    <w:rsid w:val="00A15717"/>
    <w:rsid w:val="00A16376"/>
    <w:rsid w:val="00A1651E"/>
    <w:rsid w:val="00A20742"/>
    <w:rsid w:val="00A22360"/>
    <w:rsid w:val="00A2458C"/>
    <w:rsid w:val="00A24CA5"/>
    <w:rsid w:val="00A250A8"/>
    <w:rsid w:val="00A2647E"/>
    <w:rsid w:val="00A264F8"/>
    <w:rsid w:val="00A2758A"/>
    <w:rsid w:val="00A27D51"/>
    <w:rsid w:val="00A31090"/>
    <w:rsid w:val="00A3140E"/>
    <w:rsid w:val="00A31F93"/>
    <w:rsid w:val="00A3265E"/>
    <w:rsid w:val="00A3420A"/>
    <w:rsid w:val="00A357E7"/>
    <w:rsid w:val="00A378E0"/>
    <w:rsid w:val="00A37BAB"/>
    <w:rsid w:val="00A37E3E"/>
    <w:rsid w:val="00A400CE"/>
    <w:rsid w:val="00A418BD"/>
    <w:rsid w:val="00A451B3"/>
    <w:rsid w:val="00A45E15"/>
    <w:rsid w:val="00A460A1"/>
    <w:rsid w:val="00A4621C"/>
    <w:rsid w:val="00A50AE3"/>
    <w:rsid w:val="00A50F50"/>
    <w:rsid w:val="00A51CC2"/>
    <w:rsid w:val="00A55650"/>
    <w:rsid w:val="00A563DC"/>
    <w:rsid w:val="00A567DB"/>
    <w:rsid w:val="00A57737"/>
    <w:rsid w:val="00A60C49"/>
    <w:rsid w:val="00A6155A"/>
    <w:rsid w:val="00A61F95"/>
    <w:rsid w:val="00A63282"/>
    <w:rsid w:val="00A642BE"/>
    <w:rsid w:val="00A6718E"/>
    <w:rsid w:val="00A677E1"/>
    <w:rsid w:val="00A67E2F"/>
    <w:rsid w:val="00A70F09"/>
    <w:rsid w:val="00A71E25"/>
    <w:rsid w:val="00A720D6"/>
    <w:rsid w:val="00A72AF1"/>
    <w:rsid w:val="00A749DC"/>
    <w:rsid w:val="00A75F16"/>
    <w:rsid w:val="00A76F8E"/>
    <w:rsid w:val="00A771F2"/>
    <w:rsid w:val="00A80BFC"/>
    <w:rsid w:val="00A80FE4"/>
    <w:rsid w:val="00A829DC"/>
    <w:rsid w:val="00A84DD5"/>
    <w:rsid w:val="00A86D04"/>
    <w:rsid w:val="00A86E14"/>
    <w:rsid w:val="00A876F7"/>
    <w:rsid w:val="00A87E3F"/>
    <w:rsid w:val="00A9092B"/>
    <w:rsid w:val="00A90E3B"/>
    <w:rsid w:val="00A9104C"/>
    <w:rsid w:val="00A911F0"/>
    <w:rsid w:val="00A91477"/>
    <w:rsid w:val="00A9165F"/>
    <w:rsid w:val="00A91F1D"/>
    <w:rsid w:val="00A92084"/>
    <w:rsid w:val="00A92B42"/>
    <w:rsid w:val="00A947A5"/>
    <w:rsid w:val="00A95E37"/>
    <w:rsid w:val="00A96035"/>
    <w:rsid w:val="00A97B8A"/>
    <w:rsid w:val="00A97E6C"/>
    <w:rsid w:val="00AA0BB8"/>
    <w:rsid w:val="00AA2773"/>
    <w:rsid w:val="00AA37E5"/>
    <w:rsid w:val="00AA3DF5"/>
    <w:rsid w:val="00AA45BE"/>
    <w:rsid w:val="00AA476D"/>
    <w:rsid w:val="00AA54E9"/>
    <w:rsid w:val="00AA61CF"/>
    <w:rsid w:val="00AA69FF"/>
    <w:rsid w:val="00AA6FBE"/>
    <w:rsid w:val="00AA771C"/>
    <w:rsid w:val="00AA7E36"/>
    <w:rsid w:val="00AB0302"/>
    <w:rsid w:val="00AB1093"/>
    <w:rsid w:val="00AB1111"/>
    <w:rsid w:val="00AB2065"/>
    <w:rsid w:val="00AB23C3"/>
    <w:rsid w:val="00AB50B3"/>
    <w:rsid w:val="00AB58EE"/>
    <w:rsid w:val="00AB59B3"/>
    <w:rsid w:val="00AC0EC0"/>
    <w:rsid w:val="00AC1D41"/>
    <w:rsid w:val="00AC2538"/>
    <w:rsid w:val="00AC478D"/>
    <w:rsid w:val="00AC4B98"/>
    <w:rsid w:val="00AC6334"/>
    <w:rsid w:val="00AC74E0"/>
    <w:rsid w:val="00AC79D1"/>
    <w:rsid w:val="00AD0BB2"/>
    <w:rsid w:val="00AD19A8"/>
    <w:rsid w:val="00AD1FCC"/>
    <w:rsid w:val="00AD298E"/>
    <w:rsid w:val="00AD4CF4"/>
    <w:rsid w:val="00AD4F63"/>
    <w:rsid w:val="00AD678D"/>
    <w:rsid w:val="00AD6B5A"/>
    <w:rsid w:val="00AD6B89"/>
    <w:rsid w:val="00AE1A78"/>
    <w:rsid w:val="00AE3B97"/>
    <w:rsid w:val="00AE4277"/>
    <w:rsid w:val="00AE50C2"/>
    <w:rsid w:val="00AE5D6C"/>
    <w:rsid w:val="00AE630A"/>
    <w:rsid w:val="00AE7031"/>
    <w:rsid w:val="00AF020E"/>
    <w:rsid w:val="00AF125B"/>
    <w:rsid w:val="00AF1AAB"/>
    <w:rsid w:val="00AF1B87"/>
    <w:rsid w:val="00AF1BAA"/>
    <w:rsid w:val="00AF286D"/>
    <w:rsid w:val="00AF2C8D"/>
    <w:rsid w:val="00AF4068"/>
    <w:rsid w:val="00AF420B"/>
    <w:rsid w:val="00AF4D6A"/>
    <w:rsid w:val="00AF59E1"/>
    <w:rsid w:val="00AF5BAD"/>
    <w:rsid w:val="00AF7D03"/>
    <w:rsid w:val="00B02C45"/>
    <w:rsid w:val="00B063AC"/>
    <w:rsid w:val="00B0703E"/>
    <w:rsid w:val="00B10B0A"/>
    <w:rsid w:val="00B11132"/>
    <w:rsid w:val="00B14592"/>
    <w:rsid w:val="00B1526D"/>
    <w:rsid w:val="00B15727"/>
    <w:rsid w:val="00B15917"/>
    <w:rsid w:val="00B16AB1"/>
    <w:rsid w:val="00B20E91"/>
    <w:rsid w:val="00B21F7C"/>
    <w:rsid w:val="00B23ABA"/>
    <w:rsid w:val="00B23DC4"/>
    <w:rsid w:val="00B248BB"/>
    <w:rsid w:val="00B252AE"/>
    <w:rsid w:val="00B30EF2"/>
    <w:rsid w:val="00B32080"/>
    <w:rsid w:val="00B34B4B"/>
    <w:rsid w:val="00B357F7"/>
    <w:rsid w:val="00B36527"/>
    <w:rsid w:val="00B3670C"/>
    <w:rsid w:val="00B36C5B"/>
    <w:rsid w:val="00B371E5"/>
    <w:rsid w:val="00B40BD3"/>
    <w:rsid w:val="00B42DE7"/>
    <w:rsid w:val="00B43328"/>
    <w:rsid w:val="00B43C6B"/>
    <w:rsid w:val="00B44994"/>
    <w:rsid w:val="00B45405"/>
    <w:rsid w:val="00B456D2"/>
    <w:rsid w:val="00B45850"/>
    <w:rsid w:val="00B45E21"/>
    <w:rsid w:val="00B465A0"/>
    <w:rsid w:val="00B46B1B"/>
    <w:rsid w:val="00B47B31"/>
    <w:rsid w:val="00B47CCF"/>
    <w:rsid w:val="00B5256B"/>
    <w:rsid w:val="00B53028"/>
    <w:rsid w:val="00B544A7"/>
    <w:rsid w:val="00B552B9"/>
    <w:rsid w:val="00B55382"/>
    <w:rsid w:val="00B57745"/>
    <w:rsid w:val="00B6701C"/>
    <w:rsid w:val="00B67602"/>
    <w:rsid w:val="00B67889"/>
    <w:rsid w:val="00B67DA3"/>
    <w:rsid w:val="00B711D1"/>
    <w:rsid w:val="00B71205"/>
    <w:rsid w:val="00B71C17"/>
    <w:rsid w:val="00B7421D"/>
    <w:rsid w:val="00B752B8"/>
    <w:rsid w:val="00B75DF3"/>
    <w:rsid w:val="00B76CFE"/>
    <w:rsid w:val="00B80AD5"/>
    <w:rsid w:val="00B8208C"/>
    <w:rsid w:val="00B82454"/>
    <w:rsid w:val="00B838C1"/>
    <w:rsid w:val="00B83B08"/>
    <w:rsid w:val="00B8486D"/>
    <w:rsid w:val="00B90D4A"/>
    <w:rsid w:val="00B911AC"/>
    <w:rsid w:val="00B91690"/>
    <w:rsid w:val="00B91858"/>
    <w:rsid w:val="00B9217F"/>
    <w:rsid w:val="00B92595"/>
    <w:rsid w:val="00B92909"/>
    <w:rsid w:val="00B92941"/>
    <w:rsid w:val="00B93409"/>
    <w:rsid w:val="00B93B57"/>
    <w:rsid w:val="00B93F91"/>
    <w:rsid w:val="00B94B96"/>
    <w:rsid w:val="00B9568F"/>
    <w:rsid w:val="00B9643C"/>
    <w:rsid w:val="00B96627"/>
    <w:rsid w:val="00BA018E"/>
    <w:rsid w:val="00BA01B6"/>
    <w:rsid w:val="00BA06A6"/>
    <w:rsid w:val="00BA1E77"/>
    <w:rsid w:val="00BA2AAF"/>
    <w:rsid w:val="00BA2FE7"/>
    <w:rsid w:val="00BA3705"/>
    <w:rsid w:val="00BA3882"/>
    <w:rsid w:val="00BA4046"/>
    <w:rsid w:val="00BA7E99"/>
    <w:rsid w:val="00BA7EE7"/>
    <w:rsid w:val="00BB05B1"/>
    <w:rsid w:val="00BB0FBD"/>
    <w:rsid w:val="00BB157A"/>
    <w:rsid w:val="00BB22D7"/>
    <w:rsid w:val="00BB2CB6"/>
    <w:rsid w:val="00BB358C"/>
    <w:rsid w:val="00BB4074"/>
    <w:rsid w:val="00BB40F5"/>
    <w:rsid w:val="00BB581B"/>
    <w:rsid w:val="00BC0CFF"/>
    <w:rsid w:val="00BC0DD0"/>
    <w:rsid w:val="00BC0E62"/>
    <w:rsid w:val="00BC32D1"/>
    <w:rsid w:val="00BC35E0"/>
    <w:rsid w:val="00BC3E19"/>
    <w:rsid w:val="00BC4257"/>
    <w:rsid w:val="00BC4796"/>
    <w:rsid w:val="00BC48CB"/>
    <w:rsid w:val="00BC7709"/>
    <w:rsid w:val="00BD16E9"/>
    <w:rsid w:val="00BD1EA3"/>
    <w:rsid w:val="00BD22B3"/>
    <w:rsid w:val="00BD251E"/>
    <w:rsid w:val="00BD3E1C"/>
    <w:rsid w:val="00BD492E"/>
    <w:rsid w:val="00BD4B10"/>
    <w:rsid w:val="00BD4F3D"/>
    <w:rsid w:val="00BD5871"/>
    <w:rsid w:val="00BD7D6F"/>
    <w:rsid w:val="00BE077D"/>
    <w:rsid w:val="00BE31B3"/>
    <w:rsid w:val="00BE3F79"/>
    <w:rsid w:val="00BE4971"/>
    <w:rsid w:val="00BE4BD1"/>
    <w:rsid w:val="00BE54FE"/>
    <w:rsid w:val="00BE5853"/>
    <w:rsid w:val="00BE6FE0"/>
    <w:rsid w:val="00BE710A"/>
    <w:rsid w:val="00BE7314"/>
    <w:rsid w:val="00BF12CF"/>
    <w:rsid w:val="00BF4ABD"/>
    <w:rsid w:val="00BF60AF"/>
    <w:rsid w:val="00BF6988"/>
    <w:rsid w:val="00BF6E01"/>
    <w:rsid w:val="00C02EEE"/>
    <w:rsid w:val="00C0339D"/>
    <w:rsid w:val="00C035C6"/>
    <w:rsid w:val="00C03E7F"/>
    <w:rsid w:val="00C05FD7"/>
    <w:rsid w:val="00C060FB"/>
    <w:rsid w:val="00C06356"/>
    <w:rsid w:val="00C06BB3"/>
    <w:rsid w:val="00C07887"/>
    <w:rsid w:val="00C129E2"/>
    <w:rsid w:val="00C12C6A"/>
    <w:rsid w:val="00C141E1"/>
    <w:rsid w:val="00C15516"/>
    <w:rsid w:val="00C166D7"/>
    <w:rsid w:val="00C1678F"/>
    <w:rsid w:val="00C168C1"/>
    <w:rsid w:val="00C1722A"/>
    <w:rsid w:val="00C20B8C"/>
    <w:rsid w:val="00C21332"/>
    <w:rsid w:val="00C23827"/>
    <w:rsid w:val="00C244C9"/>
    <w:rsid w:val="00C25282"/>
    <w:rsid w:val="00C256AD"/>
    <w:rsid w:val="00C2644C"/>
    <w:rsid w:val="00C26828"/>
    <w:rsid w:val="00C26A52"/>
    <w:rsid w:val="00C26DEC"/>
    <w:rsid w:val="00C26FBC"/>
    <w:rsid w:val="00C30BA4"/>
    <w:rsid w:val="00C32F48"/>
    <w:rsid w:val="00C34D07"/>
    <w:rsid w:val="00C365DA"/>
    <w:rsid w:val="00C36A05"/>
    <w:rsid w:val="00C40232"/>
    <w:rsid w:val="00C40845"/>
    <w:rsid w:val="00C43C41"/>
    <w:rsid w:val="00C4476B"/>
    <w:rsid w:val="00C44C6B"/>
    <w:rsid w:val="00C44F57"/>
    <w:rsid w:val="00C452FA"/>
    <w:rsid w:val="00C45EC8"/>
    <w:rsid w:val="00C46BEF"/>
    <w:rsid w:val="00C5012C"/>
    <w:rsid w:val="00C50D4C"/>
    <w:rsid w:val="00C51071"/>
    <w:rsid w:val="00C52151"/>
    <w:rsid w:val="00C52B1D"/>
    <w:rsid w:val="00C52D96"/>
    <w:rsid w:val="00C52F6E"/>
    <w:rsid w:val="00C53620"/>
    <w:rsid w:val="00C5420E"/>
    <w:rsid w:val="00C55588"/>
    <w:rsid w:val="00C5593F"/>
    <w:rsid w:val="00C55AB0"/>
    <w:rsid w:val="00C56487"/>
    <w:rsid w:val="00C565AE"/>
    <w:rsid w:val="00C56C65"/>
    <w:rsid w:val="00C56FB1"/>
    <w:rsid w:val="00C5777D"/>
    <w:rsid w:val="00C60D9F"/>
    <w:rsid w:val="00C610C2"/>
    <w:rsid w:val="00C61AB4"/>
    <w:rsid w:val="00C63D40"/>
    <w:rsid w:val="00C64D8F"/>
    <w:rsid w:val="00C64EF5"/>
    <w:rsid w:val="00C6503C"/>
    <w:rsid w:val="00C657E0"/>
    <w:rsid w:val="00C65A8E"/>
    <w:rsid w:val="00C67462"/>
    <w:rsid w:val="00C70807"/>
    <w:rsid w:val="00C71080"/>
    <w:rsid w:val="00C74E9D"/>
    <w:rsid w:val="00C74F4A"/>
    <w:rsid w:val="00C74FEC"/>
    <w:rsid w:val="00C762A5"/>
    <w:rsid w:val="00C77E4B"/>
    <w:rsid w:val="00C809A5"/>
    <w:rsid w:val="00C81699"/>
    <w:rsid w:val="00C8255E"/>
    <w:rsid w:val="00C83AB8"/>
    <w:rsid w:val="00C8507B"/>
    <w:rsid w:val="00C87327"/>
    <w:rsid w:val="00C907A7"/>
    <w:rsid w:val="00C913AA"/>
    <w:rsid w:val="00C937FF"/>
    <w:rsid w:val="00C94405"/>
    <w:rsid w:val="00C94E2E"/>
    <w:rsid w:val="00C96B1A"/>
    <w:rsid w:val="00CA00EB"/>
    <w:rsid w:val="00CA0FDA"/>
    <w:rsid w:val="00CA2224"/>
    <w:rsid w:val="00CA3122"/>
    <w:rsid w:val="00CA5985"/>
    <w:rsid w:val="00CA684E"/>
    <w:rsid w:val="00CB0D5D"/>
    <w:rsid w:val="00CB1491"/>
    <w:rsid w:val="00CB211B"/>
    <w:rsid w:val="00CB319E"/>
    <w:rsid w:val="00CB37E2"/>
    <w:rsid w:val="00CB5121"/>
    <w:rsid w:val="00CC227E"/>
    <w:rsid w:val="00CC2D25"/>
    <w:rsid w:val="00CC3AC5"/>
    <w:rsid w:val="00CC413E"/>
    <w:rsid w:val="00CC4EA5"/>
    <w:rsid w:val="00CC5434"/>
    <w:rsid w:val="00CC5E05"/>
    <w:rsid w:val="00CD166C"/>
    <w:rsid w:val="00CD1D99"/>
    <w:rsid w:val="00CD2773"/>
    <w:rsid w:val="00CD495B"/>
    <w:rsid w:val="00CD4F2F"/>
    <w:rsid w:val="00CD51AA"/>
    <w:rsid w:val="00CD608A"/>
    <w:rsid w:val="00CD765B"/>
    <w:rsid w:val="00CE1777"/>
    <w:rsid w:val="00CE1811"/>
    <w:rsid w:val="00CE21B2"/>
    <w:rsid w:val="00CE24F0"/>
    <w:rsid w:val="00CE2FF9"/>
    <w:rsid w:val="00CE3691"/>
    <w:rsid w:val="00CE37E8"/>
    <w:rsid w:val="00CE3C1D"/>
    <w:rsid w:val="00CE4283"/>
    <w:rsid w:val="00CE5A16"/>
    <w:rsid w:val="00CE6F0D"/>
    <w:rsid w:val="00CF034F"/>
    <w:rsid w:val="00CF2DA7"/>
    <w:rsid w:val="00CF37EE"/>
    <w:rsid w:val="00CF3D2C"/>
    <w:rsid w:val="00CF66C8"/>
    <w:rsid w:val="00CF6ECF"/>
    <w:rsid w:val="00CF73B8"/>
    <w:rsid w:val="00CF770E"/>
    <w:rsid w:val="00D011F6"/>
    <w:rsid w:val="00D01248"/>
    <w:rsid w:val="00D01515"/>
    <w:rsid w:val="00D01DB6"/>
    <w:rsid w:val="00D02F7E"/>
    <w:rsid w:val="00D04419"/>
    <w:rsid w:val="00D04955"/>
    <w:rsid w:val="00D04E48"/>
    <w:rsid w:val="00D053BF"/>
    <w:rsid w:val="00D064AA"/>
    <w:rsid w:val="00D11D07"/>
    <w:rsid w:val="00D1240C"/>
    <w:rsid w:val="00D1363E"/>
    <w:rsid w:val="00D15259"/>
    <w:rsid w:val="00D1543B"/>
    <w:rsid w:val="00D159D6"/>
    <w:rsid w:val="00D1683E"/>
    <w:rsid w:val="00D168F4"/>
    <w:rsid w:val="00D172F8"/>
    <w:rsid w:val="00D20766"/>
    <w:rsid w:val="00D20E21"/>
    <w:rsid w:val="00D22A75"/>
    <w:rsid w:val="00D23341"/>
    <w:rsid w:val="00D23DE1"/>
    <w:rsid w:val="00D262BB"/>
    <w:rsid w:val="00D27820"/>
    <w:rsid w:val="00D2782A"/>
    <w:rsid w:val="00D30023"/>
    <w:rsid w:val="00D30BE7"/>
    <w:rsid w:val="00D30DA0"/>
    <w:rsid w:val="00D3139E"/>
    <w:rsid w:val="00D31CED"/>
    <w:rsid w:val="00D3431E"/>
    <w:rsid w:val="00D346A4"/>
    <w:rsid w:val="00D35740"/>
    <w:rsid w:val="00D3690F"/>
    <w:rsid w:val="00D37644"/>
    <w:rsid w:val="00D40135"/>
    <w:rsid w:val="00D411FE"/>
    <w:rsid w:val="00D42B1F"/>
    <w:rsid w:val="00D43379"/>
    <w:rsid w:val="00D4340E"/>
    <w:rsid w:val="00D43514"/>
    <w:rsid w:val="00D437C5"/>
    <w:rsid w:val="00D43A0D"/>
    <w:rsid w:val="00D44B89"/>
    <w:rsid w:val="00D44E72"/>
    <w:rsid w:val="00D44F2E"/>
    <w:rsid w:val="00D47D67"/>
    <w:rsid w:val="00D47F76"/>
    <w:rsid w:val="00D513DC"/>
    <w:rsid w:val="00D52886"/>
    <w:rsid w:val="00D533A4"/>
    <w:rsid w:val="00D546DF"/>
    <w:rsid w:val="00D54814"/>
    <w:rsid w:val="00D55BAA"/>
    <w:rsid w:val="00D564B9"/>
    <w:rsid w:val="00D5692A"/>
    <w:rsid w:val="00D5764E"/>
    <w:rsid w:val="00D6010E"/>
    <w:rsid w:val="00D618C1"/>
    <w:rsid w:val="00D61EF1"/>
    <w:rsid w:val="00D6257C"/>
    <w:rsid w:val="00D6259D"/>
    <w:rsid w:val="00D62A34"/>
    <w:rsid w:val="00D62C59"/>
    <w:rsid w:val="00D62DF9"/>
    <w:rsid w:val="00D64882"/>
    <w:rsid w:val="00D65C85"/>
    <w:rsid w:val="00D660E1"/>
    <w:rsid w:val="00D663E8"/>
    <w:rsid w:val="00D674D9"/>
    <w:rsid w:val="00D70312"/>
    <w:rsid w:val="00D70383"/>
    <w:rsid w:val="00D71247"/>
    <w:rsid w:val="00D71AA6"/>
    <w:rsid w:val="00D71E43"/>
    <w:rsid w:val="00D729C0"/>
    <w:rsid w:val="00D72C8B"/>
    <w:rsid w:val="00D75918"/>
    <w:rsid w:val="00D759EB"/>
    <w:rsid w:val="00D76279"/>
    <w:rsid w:val="00D81510"/>
    <w:rsid w:val="00D82202"/>
    <w:rsid w:val="00D82558"/>
    <w:rsid w:val="00D83B8C"/>
    <w:rsid w:val="00D85434"/>
    <w:rsid w:val="00D8588A"/>
    <w:rsid w:val="00D87263"/>
    <w:rsid w:val="00D90107"/>
    <w:rsid w:val="00D90E52"/>
    <w:rsid w:val="00D92F00"/>
    <w:rsid w:val="00D93327"/>
    <w:rsid w:val="00D9337D"/>
    <w:rsid w:val="00D93B5B"/>
    <w:rsid w:val="00D946AB"/>
    <w:rsid w:val="00D95951"/>
    <w:rsid w:val="00D95ECA"/>
    <w:rsid w:val="00D97237"/>
    <w:rsid w:val="00DA1248"/>
    <w:rsid w:val="00DA1744"/>
    <w:rsid w:val="00DA29E5"/>
    <w:rsid w:val="00DA2ED7"/>
    <w:rsid w:val="00DA55C4"/>
    <w:rsid w:val="00DA64E4"/>
    <w:rsid w:val="00DA6AC1"/>
    <w:rsid w:val="00DA73E1"/>
    <w:rsid w:val="00DB0F7F"/>
    <w:rsid w:val="00DB1070"/>
    <w:rsid w:val="00DB10D1"/>
    <w:rsid w:val="00DB13BF"/>
    <w:rsid w:val="00DB28CC"/>
    <w:rsid w:val="00DB3244"/>
    <w:rsid w:val="00DB49D0"/>
    <w:rsid w:val="00DB5265"/>
    <w:rsid w:val="00DB5924"/>
    <w:rsid w:val="00DC060C"/>
    <w:rsid w:val="00DC13EF"/>
    <w:rsid w:val="00DC2360"/>
    <w:rsid w:val="00DC25A0"/>
    <w:rsid w:val="00DC2864"/>
    <w:rsid w:val="00DC2ABD"/>
    <w:rsid w:val="00DC5611"/>
    <w:rsid w:val="00DC6F3B"/>
    <w:rsid w:val="00DC70B2"/>
    <w:rsid w:val="00DC783F"/>
    <w:rsid w:val="00DC7A11"/>
    <w:rsid w:val="00DD1A03"/>
    <w:rsid w:val="00DD31E4"/>
    <w:rsid w:val="00DD35DD"/>
    <w:rsid w:val="00DD3ACA"/>
    <w:rsid w:val="00DD4FB2"/>
    <w:rsid w:val="00DD5E88"/>
    <w:rsid w:val="00DD5EE2"/>
    <w:rsid w:val="00DD6177"/>
    <w:rsid w:val="00DD7A0D"/>
    <w:rsid w:val="00DE08A4"/>
    <w:rsid w:val="00DE1D25"/>
    <w:rsid w:val="00DE26B6"/>
    <w:rsid w:val="00DE762B"/>
    <w:rsid w:val="00DF0086"/>
    <w:rsid w:val="00DF1268"/>
    <w:rsid w:val="00DF260C"/>
    <w:rsid w:val="00DF54DC"/>
    <w:rsid w:val="00DF66F1"/>
    <w:rsid w:val="00DF6B5B"/>
    <w:rsid w:val="00DF6B6F"/>
    <w:rsid w:val="00DF72B9"/>
    <w:rsid w:val="00E006F3"/>
    <w:rsid w:val="00E0171D"/>
    <w:rsid w:val="00E04E24"/>
    <w:rsid w:val="00E051AF"/>
    <w:rsid w:val="00E05809"/>
    <w:rsid w:val="00E06051"/>
    <w:rsid w:val="00E064A4"/>
    <w:rsid w:val="00E06D21"/>
    <w:rsid w:val="00E06F47"/>
    <w:rsid w:val="00E0718C"/>
    <w:rsid w:val="00E10C8A"/>
    <w:rsid w:val="00E10E3E"/>
    <w:rsid w:val="00E11164"/>
    <w:rsid w:val="00E12855"/>
    <w:rsid w:val="00E1378A"/>
    <w:rsid w:val="00E13D3D"/>
    <w:rsid w:val="00E15138"/>
    <w:rsid w:val="00E15F4A"/>
    <w:rsid w:val="00E161B9"/>
    <w:rsid w:val="00E16DC9"/>
    <w:rsid w:val="00E217CF"/>
    <w:rsid w:val="00E22441"/>
    <w:rsid w:val="00E2368B"/>
    <w:rsid w:val="00E239D0"/>
    <w:rsid w:val="00E25002"/>
    <w:rsid w:val="00E2503F"/>
    <w:rsid w:val="00E25AA5"/>
    <w:rsid w:val="00E26FA9"/>
    <w:rsid w:val="00E27031"/>
    <w:rsid w:val="00E273DB"/>
    <w:rsid w:val="00E274E8"/>
    <w:rsid w:val="00E30319"/>
    <w:rsid w:val="00E310B9"/>
    <w:rsid w:val="00E31F73"/>
    <w:rsid w:val="00E32E2B"/>
    <w:rsid w:val="00E33D88"/>
    <w:rsid w:val="00E34202"/>
    <w:rsid w:val="00E351CD"/>
    <w:rsid w:val="00E37ABF"/>
    <w:rsid w:val="00E4072B"/>
    <w:rsid w:val="00E40909"/>
    <w:rsid w:val="00E41396"/>
    <w:rsid w:val="00E4436B"/>
    <w:rsid w:val="00E45999"/>
    <w:rsid w:val="00E46C30"/>
    <w:rsid w:val="00E50AA0"/>
    <w:rsid w:val="00E514CC"/>
    <w:rsid w:val="00E5251B"/>
    <w:rsid w:val="00E52E8A"/>
    <w:rsid w:val="00E544A2"/>
    <w:rsid w:val="00E54E4E"/>
    <w:rsid w:val="00E559BF"/>
    <w:rsid w:val="00E5773C"/>
    <w:rsid w:val="00E61421"/>
    <w:rsid w:val="00E614C1"/>
    <w:rsid w:val="00E61FCF"/>
    <w:rsid w:val="00E6237E"/>
    <w:rsid w:val="00E628C3"/>
    <w:rsid w:val="00E638C2"/>
    <w:rsid w:val="00E63ECD"/>
    <w:rsid w:val="00E66A0E"/>
    <w:rsid w:val="00E66A40"/>
    <w:rsid w:val="00E6779E"/>
    <w:rsid w:val="00E70727"/>
    <w:rsid w:val="00E714AC"/>
    <w:rsid w:val="00E71FB3"/>
    <w:rsid w:val="00E7217F"/>
    <w:rsid w:val="00E728B2"/>
    <w:rsid w:val="00E73235"/>
    <w:rsid w:val="00E74B0D"/>
    <w:rsid w:val="00E754CD"/>
    <w:rsid w:val="00E76FCE"/>
    <w:rsid w:val="00E7700E"/>
    <w:rsid w:val="00E80FC9"/>
    <w:rsid w:val="00E8149D"/>
    <w:rsid w:val="00E819BF"/>
    <w:rsid w:val="00E8351B"/>
    <w:rsid w:val="00E83CBA"/>
    <w:rsid w:val="00E8465A"/>
    <w:rsid w:val="00E87B5C"/>
    <w:rsid w:val="00E9069B"/>
    <w:rsid w:val="00E90908"/>
    <w:rsid w:val="00E90C61"/>
    <w:rsid w:val="00E941DE"/>
    <w:rsid w:val="00E94D87"/>
    <w:rsid w:val="00E94F36"/>
    <w:rsid w:val="00E95A42"/>
    <w:rsid w:val="00E96372"/>
    <w:rsid w:val="00E96C71"/>
    <w:rsid w:val="00E96EF2"/>
    <w:rsid w:val="00E97B3C"/>
    <w:rsid w:val="00EA23E8"/>
    <w:rsid w:val="00EA4567"/>
    <w:rsid w:val="00EA49CC"/>
    <w:rsid w:val="00EA5206"/>
    <w:rsid w:val="00EA5616"/>
    <w:rsid w:val="00EA72DD"/>
    <w:rsid w:val="00EB0A16"/>
    <w:rsid w:val="00EB1BFF"/>
    <w:rsid w:val="00EB2052"/>
    <w:rsid w:val="00EB2660"/>
    <w:rsid w:val="00EB31F3"/>
    <w:rsid w:val="00EB49E8"/>
    <w:rsid w:val="00EB5248"/>
    <w:rsid w:val="00EB5444"/>
    <w:rsid w:val="00EB674D"/>
    <w:rsid w:val="00EC03ED"/>
    <w:rsid w:val="00EC0F5C"/>
    <w:rsid w:val="00EC1566"/>
    <w:rsid w:val="00EC1937"/>
    <w:rsid w:val="00EC2098"/>
    <w:rsid w:val="00EC2C78"/>
    <w:rsid w:val="00EC340F"/>
    <w:rsid w:val="00EC3B87"/>
    <w:rsid w:val="00EC4FD3"/>
    <w:rsid w:val="00EC5028"/>
    <w:rsid w:val="00EC5AFB"/>
    <w:rsid w:val="00ED0CAE"/>
    <w:rsid w:val="00ED122F"/>
    <w:rsid w:val="00ED3227"/>
    <w:rsid w:val="00ED3961"/>
    <w:rsid w:val="00ED51BA"/>
    <w:rsid w:val="00ED5E7C"/>
    <w:rsid w:val="00ED6AA7"/>
    <w:rsid w:val="00ED7E7A"/>
    <w:rsid w:val="00EE016D"/>
    <w:rsid w:val="00EE0866"/>
    <w:rsid w:val="00EE0899"/>
    <w:rsid w:val="00EE1726"/>
    <w:rsid w:val="00EE2215"/>
    <w:rsid w:val="00EE258B"/>
    <w:rsid w:val="00EE4068"/>
    <w:rsid w:val="00EE4EE7"/>
    <w:rsid w:val="00EE555E"/>
    <w:rsid w:val="00EE5F43"/>
    <w:rsid w:val="00EF2EDF"/>
    <w:rsid w:val="00EF4D78"/>
    <w:rsid w:val="00EF674D"/>
    <w:rsid w:val="00EF6A8D"/>
    <w:rsid w:val="00F001EB"/>
    <w:rsid w:val="00F00BD5"/>
    <w:rsid w:val="00F00DC8"/>
    <w:rsid w:val="00F02F81"/>
    <w:rsid w:val="00F033C8"/>
    <w:rsid w:val="00F034C1"/>
    <w:rsid w:val="00F04988"/>
    <w:rsid w:val="00F05A15"/>
    <w:rsid w:val="00F05C04"/>
    <w:rsid w:val="00F07961"/>
    <w:rsid w:val="00F100AF"/>
    <w:rsid w:val="00F10337"/>
    <w:rsid w:val="00F10BDB"/>
    <w:rsid w:val="00F14B75"/>
    <w:rsid w:val="00F15D01"/>
    <w:rsid w:val="00F16972"/>
    <w:rsid w:val="00F17558"/>
    <w:rsid w:val="00F17AB3"/>
    <w:rsid w:val="00F17CC2"/>
    <w:rsid w:val="00F208A6"/>
    <w:rsid w:val="00F21189"/>
    <w:rsid w:val="00F223BD"/>
    <w:rsid w:val="00F229A7"/>
    <w:rsid w:val="00F241AA"/>
    <w:rsid w:val="00F24217"/>
    <w:rsid w:val="00F243DD"/>
    <w:rsid w:val="00F24B36"/>
    <w:rsid w:val="00F24E2A"/>
    <w:rsid w:val="00F2593F"/>
    <w:rsid w:val="00F26826"/>
    <w:rsid w:val="00F269A2"/>
    <w:rsid w:val="00F2701F"/>
    <w:rsid w:val="00F2774B"/>
    <w:rsid w:val="00F30541"/>
    <w:rsid w:val="00F31221"/>
    <w:rsid w:val="00F337A9"/>
    <w:rsid w:val="00F35545"/>
    <w:rsid w:val="00F3666C"/>
    <w:rsid w:val="00F36B8E"/>
    <w:rsid w:val="00F37825"/>
    <w:rsid w:val="00F43484"/>
    <w:rsid w:val="00F43B43"/>
    <w:rsid w:val="00F44521"/>
    <w:rsid w:val="00F45AE6"/>
    <w:rsid w:val="00F465F4"/>
    <w:rsid w:val="00F4689C"/>
    <w:rsid w:val="00F474A7"/>
    <w:rsid w:val="00F47A5A"/>
    <w:rsid w:val="00F54570"/>
    <w:rsid w:val="00F54B5B"/>
    <w:rsid w:val="00F54BB1"/>
    <w:rsid w:val="00F575B8"/>
    <w:rsid w:val="00F600B4"/>
    <w:rsid w:val="00F61750"/>
    <w:rsid w:val="00F62E8F"/>
    <w:rsid w:val="00F63A1B"/>
    <w:rsid w:val="00F643A8"/>
    <w:rsid w:val="00F66D93"/>
    <w:rsid w:val="00F66F28"/>
    <w:rsid w:val="00F6734A"/>
    <w:rsid w:val="00F7106C"/>
    <w:rsid w:val="00F715C7"/>
    <w:rsid w:val="00F720F6"/>
    <w:rsid w:val="00F733C3"/>
    <w:rsid w:val="00F74BD5"/>
    <w:rsid w:val="00F754E4"/>
    <w:rsid w:val="00F75861"/>
    <w:rsid w:val="00F77AFA"/>
    <w:rsid w:val="00F800BD"/>
    <w:rsid w:val="00F817C4"/>
    <w:rsid w:val="00F82B00"/>
    <w:rsid w:val="00F82C3D"/>
    <w:rsid w:val="00F8550B"/>
    <w:rsid w:val="00F857C4"/>
    <w:rsid w:val="00F85C71"/>
    <w:rsid w:val="00F85FED"/>
    <w:rsid w:val="00F87529"/>
    <w:rsid w:val="00F8792F"/>
    <w:rsid w:val="00F90993"/>
    <w:rsid w:val="00F922AD"/>
    <w:rsid w:val="00F925A9"/>
    <w:rsid w:val="00F92CCF"/>
    <w:rsid w:val="00F93D83"/>
    <w:rsid w:val="00F94059"/>
    <w:rsid w:val="00F942EB"/>
    <w:rsid w:val="00F94A44"/>
    <w:rsid w:val="00F9692A"/>
    <w:rsid w:val="00F97261"/>
    <w:rsid w:val="00F97395"/>
    <w:rsid w:val="00F97C73"/>
    <w:rsid w:val="00FA015C"/>
    <w:rsid w:val="00FA0405"/>
    <w:rsid w:val="00FA2033"/>
    <w:rsid w:val="00FA2592"/>
    <w:rsid w:val="00FA3143"/>
    <w:rsid w:val="00FA3496"/>
    <w:rsid w:val="00FA4811"/>
    <w:rsid w:val="00FA5E14"/>
    <w:rsid w:val="00FA7249"/>
    <w:rsid w:val="00FB3A94"/>
    <w:rsid w:val="00FB6CD5"/>
    <w:rsid w:val="00FC0898"/>
    <w:rsid w:val="00FC111C"/>
    <w:rsid w:val="00FC180B"/>
    <w:rsid w:val="00FC2FFC"/>
    <w:rsid w:val="00FC3A48"/>
    <w:rsid w:val="00FC72B2"/>
    <w:rsid w:val="00FD23BF"/>
    <w:rsid w:val="00FD35B4"/>
    <w:rsid w:val="00FD3819"/>
    <w:rsid w:val="00FD5ADD"/>
    <w:rsid w:val="00FE0145"/>
    <w:rsid w:val="00FE01CF"/>
    <w:rsid w:val="00FE0AF1"/>
    <w:rsid w:val="00FE12FA"/>
    <w:rsid w:val="00FE386C"/>
    <w:rsid w:val="00FE4FEC"/>
    <w:rsid w:val="00FE6840"/>
    <w:rsid w:val="00FE7500"/>
    <w:rsid w:val="00FF0022"/>
    <w:rsid w:val="00FF1088"/>
    <w:rsid w:val="00FF3F74"/>
    <w:rsid w:val="00FF52D6"/>
    <w:rsid w:val="00FF5D38"/>
    <w:rsid w:val="00FF708B"/>
    <w:rsid w:val="09C55FFD"/>
    <w:rsid w:val="169A6D0E"/>
    <w:rsid w:val="2310806D"/>
    <w:rsid w:val="23EB6D18"/>
    <w:rsid w:val="2993128B"/>
    <w:rsid w:val="2C60D764"/>
    <w:rsid w:val="3BDF6323"/>
    <w:rsid w:val="3C10B9CE"/>
    <w:rsid w:val="4133685B"/>
    <w:rsid w:val="4FE13D57"/>
    <w:rsid w:val="7F42818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D8718"/>
  <w15:chartTrackingRefBased/>
  <w15:docId w15:val="{0A8B1363-0F81-43C6-ACD4-D38DC204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DC7"/>
    <w:rPr>
      <w:lang w:val="es-ES"/>
    </w:rPr>
  </w:style>
  <w:style w:type="paragraph" w:styleId="Ttulo1">
    <w:name w:val="heading 1"/>
    <w:basedOn w:val="Normal"/>
    <w:next w:val="Normal"/>
    <w:link w:val="Ttulo1Car"/>
    <w:uiPriority w:val="9"/>
    <w:qFormat/>
    <w:rsid w:val="00E12855"/>
    <w:pPr>
      <w:tabs>
        <w:tab w:val="left" w:pos="1056"/>
      </w:tabs>
      <w:spacing w:after="0"/>
      <w:outlineLvl w:val="0"/>
    </w:pPr>
    <w:rPr>
      <w:rFonts w:ascii="Bookman Old Style" w:hAnsi="Bookman Old Style"/>
      <w:b/>
      <w:sz w:val="28"/>
    </w:rPr>
  </w:style>
  <w:style w:type="paragraph" w:styleId="Ttulo2">
    <w:name w:val="heading 2"/>
    <w:basedOn w:val="Normal"/>
    <w:next w:val="Normal"/>
    <w:link w:val="Ttulo2Car"/>
    <w:uiPriority w:val="9"/>
    <w:unhideWhenUsed/>
    <w:qFormat/>
    <w:rsid w:val="00F600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F600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79086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FA015C"/>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FA015C"/>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unhideWhenUsed/>
    <w:qFormat/>
    <w:rsid w:val="00FA015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81470"/>
    <w:rPr>
      <w:color w:val="0000FF" w:themeColor="hyperlink"/>
      <w:u w:val="single"/>
    </w:rPr>
  </w:style>
  <w:style w:type="paragraph" w:styleId="Encabezado">
    <w:name w:val="header"/>
    <w:basedOn w:val="Normal"/>
    <w:link w:val="EncabezadoCar"/>
    <w:uiPriority w:val="99"/>
    <w:unhideWhenUsed/>
    <w:rsid w:val="000814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1470"/>
    <w:rPr>
      <w:lang w:val="es-ES"/>
    </w:rPr>
  </w:style>
  <w:style w:type="paragraph" w:styleId="Piedepgina">
    <w:name w:val="footer"/>
    <w:basedOn w:val="Normal"/>
    <w:link w:val="PiedepginaCar"/>
    <w:uiPriority w:val="99"/>
    <w:unhideWhenUsed/>
    <w:rsid w:val="000814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1470"/>
    <w:rPr>
      <w:lang w:val="es-ES"/>
    </w:rPr>
  </w:style>
  <w:style w:type="table" w:styleId="Tablaconcuadrcula">
    <w:name w:val="Table Grid"/>
    <w:basedOn w:val="Tablanormal"/>
    <w:uiPriority w:val="39"/>
    <w:rsid w:val="004C5B85"/>
    <w:pPr>
      <w:spacing w:after="0" w:line="240" w:lineRule="auto"/>
      <w:jc w:val="center"/>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12855"/>
    <w:rPr>
      <w:rFonts w:ascii="Bookman Old Style" w:hAnsi="Bookman Old Style"/>
      <w:b/>
      <w:sz w:val="28"/>
      <w:lang w:val="es-ES"/>
    </w:rPr>
  </w:style>
  <w:style w:type="paragraph" w:styleId="Prrafodelista">
    <w:name w:val="List Paragraph"/>
    <w:aliases w:val="Informe"/>
    <w:basedOn w:val="Normal"/>
    <w:link w:val="PrrafodelistaCar"/>
    <w:uiPriority w:val="34"/>
    <w:qFormat/>
    <w:rsid w:val="009D2E33"/>
    <w:pPr>
      <w:ind w:left="720"/>
      <w:contextualSpacing/>
    </w:pPr>
    <w:rPr>
      <w:rFonts w:ascii="Arial" w:hAnsi="Arial"/>
      <w:sz w:val="24"/>
    </w:rPr>
  </w:style>
  <w:style w:type="paragraph" w:styleId="Textodeglobo">
    <w:name w:val="Balloon Text"/>
    <w:basedOn w:val="Normal"/>
    <w:link w:val="TextodegloboCar"/>
    <w:uiPriority w:val="99"/>
    <w:semiHidden/>
    <w:unhideWhenUsed/>
    <w:rsid w:val="00CD49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495B"/>
    <w:rPr>
      <w:rFonts w:ascii="Segoe UI" w:hAnsi="Segoe UI" w:cs="Segoe UI"/>
      <w:sz w:val="18"/>
      <w:szCs w:val="18"/>
      <w:lang w:val="es-ES"/>
    </w:rPr>
  </w:style>
  <w:style w:type="character" w:styleId="Hipervnculovisitado">
    <w:name w:val="FollowedHyperlink"/>
    <w:basedOn w:val="Fuentedeprrafopredeter"/>
    <w:uiPriority w:val="99"/>
    <w:semiHidden/>
    <w:unhideWhenUsed/>
    <w:rsid w:val="00F800BD"/>
    <w:rPr>
      <w:color w:val="800080" w:themeColor="followedHyperlink"/>
      <w:u w:val="single"/>
    </w:rPr>
  </w:style>
  <w:style w:type="character" w:customStyle="1" w:styleId="Ttulo2Car">
    <w:name w:val="Título 2 Car"/>
    <w:basedOn w:val="Fuentedeprrafopredeter"/>
    <w:link w:val="Ttulo2"/>
    <w:uiPriority w:val="9"/>
    <w:rsid w:val="00F600B4"/>
    <w:rPr>
      <w:rFonts w:asciiTheme="majorHAnsi" w:eastAsiaTheme="majorEastAsia" w:hAnsiTheme="majorHAnsi" w:cstheme="majorBidi"/>
      <w:color w:val="365F91" w:themeColor="accent1" w:themeShade="BF"/>
      <w:sz w:val="26"/>
      <w:szCs w:val="26"/>
      <w:lang w:val="es-ES"/>
    </w:rPr>
  </w:style>
  <w:style w:type="paragraph" w:styleId="Descripcin">
    <w:name w:val="caption"/>
    <w:basedOn w:val="Normal"/>
    <w:next w:val="Normal"/>
    <w:uiPriority w:val="35"/>
    <w:unhideWhenUsed/>
    <w:qFormat/>
    <w:rsid w:val="00F600B4"/>
    <w:pPr>
      <w:spacing w:line="240" w:lineRule="auto"/>
    </w:pPr>
    <w:rPr>
      <w:rFonts w:ascii="Arial" w:eastAsiaTheme="minorEastAsia" w:hAnsi="Arial"/>
      <w:b/>
      <w:bCs/>
      <w:smallCaps/>
      <w:color w:val="595959" w:themeColor="text1" w:themeTint="A6"/>
      <w:sz w:val="24"/>
      <w:szCs w:val="21"/>
      <w:lang w:val="es-CR"/>
    </w:rPr>
  </w:style>
  <w:style w:type="paragraph" w:styleId="Sinespaciado">
    <w:name w:val="No Spacing"/>
    <w:uiPriority w:val="1"/>
    <w:qFormat/>
    <w:rsid w:val="00F600B4"/>
    <w:pPr>
      <w:spacing w:after="0" w:line="240" w:lineRule="auto"/>
    </w:pPr>
    <w:rPr>
      <w:rFonts w:eastAsiaTheme="minorEastAsia"/>
      <w:sz w:val="21"/>
      <w:szCs w:val="21"/>
    </w:rPr>
  </w:style>
  <w:style w:type="character" w:customStyle="1" w:styleId="PrrafodelistaCar">
    <w:name w:val="Párrafo de lista Car"/>
    <w:aliases w:val="Informe Car"/>
    <w:link w:val="Prrafodelista"/>
    <w:uiPriority w:val="34"/>
    <w:rsid w:val="009D2E33"/>
    <w:rPr>
      <w:rFonts w:ascii="Arial" w:hAnsi="Arial"/>
      <w:sz w:val="24"/>
      <w:lang w:val="es-ES"/>
    </w:rPr>
  </w:style>
  <w:style w:type="character" w:customStyle="1" w:styleId="Ttulo3Car">
    <w:name w:val="Título 3 Car"/>
    <w:basedOn w:val="Fuentedeprrafopredeter"/>
    <w:link w:val="Ttulo3"/>
    <w:uiPriority w:val="9"/>
    <w:rsid w:val="00F600B4"/>
    <w:rPr>
      <w:rFonts w:asciiTheme="majorHAnsi" w:eastAsiaTheme="majorEastAsia" w:hAnsiTheme="majorHAnsi" w:cstheme="majorBidi"/>
      <w:color w:val="243F60" w:themeColor="accent1" w:themeShade="7F"/>
      <w:sz w:val="24"/>
      <w:szCs w:val="24"/>
      <w:lang w:val="es-ES"/>
    </w:rPr>
  </w:style>
  <w:style w:type="paragraph" w:styleId="NormalWeb">
    <w:name w:val="Normal (Web)"/>
    <w:basedOn w:val="Normal"/>
    <w:uiPriority w:val="99"/>
    <w:unhideWhenUsed/>
    <w:rsid w:val="00D27820"/>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styleId="TDC1">
    <w:name w:val="toc 1"/>
    <w:basedOn w:val="Normal"/>
    <w:next w:val="Normal"/>
    <w:autoRedefine/>
    <w:uiPriority w:val="39"/>
    <w:unhideWhenUsed/>
    <w:rsid w:val="00467734"/>
    <w:pPr>
      <w:tabs>
        <w:tab w:val="right" w:pos="10054"/>
      </w:tabs>
      <w:spacing w:before="100" w:beforeAutospacing="1" w:after="100" w:afterAutospacing="1"/>
    </w:pPr>
    <w:rPr>
      <w:rFonts w:asciiTheme="majorHAnsi" w:hAnsiTheme="majorHAnsi"/>
      <w:b/>
      <w:bCs/>
      <w:caps/>
      <w:sz w:val="24"/>
      <w:szCs w:val="24"/>
    </w:rPr>
  </w:style>
  <w:style w:type="paragraph" w:styleId="TDC2">
    <w:name w:val="toc 2"/>
    <w:basedOn w:val="Normal"/>
    <w:next w:val="Normal"/>
    <w:autoRedefine/>
    <w:uiPriority w:val="39"/>
    <w:unhideWhenUsed/>
    <w:rsid w:val="00D6259D"/>
    <w:pPr>
      <w:spacing w:before="240" w:after="0"/>
    </w:pPr>
    <w:rPr>
      <w:rFonts w:cstheme="minorHAnsi"/>
      <w:b/>
      <w:bCs/>
      <w:sz w:val="20"/>
      <w:szCs w:val="20"/>
    </w:rPr>
  </w:style>
  <w:style w:type="paragraph" w:styleId="TDC3">
    <w:name w:val="toc 3"/>
    <w:basedOn w:val="Normal"/>
    <w:next w:val="Normal"/>
    <w:autoRedefine/>
    <w:uiPriority w:val="39"/>
    <w:unhideWhenUsed/>
    <w:rsid w:val="00D6259D"/>
    <w:pPr>
      <w:spacing w:after="0"/>
      <w:ind w:left="220"/>
    </w:pPr>
    <w:rPr>
      <w:rFonts w:cstheme="minorHAnsi"/>
      <w:sz w:val="20"/>
      <w:szCs w:val="20"/>
    </w:rPr>
  </w:style>
  <w:style w:type="paragraph" w:styleId="TDC4">
    <w:name w:val="toc 4"/>
    <w:basedOn w:val="Normal"/>
    <w:next w:val="Normal"/>
    <w:autoRedefine/>
    <w:uiPriority w:val="39"/>
    <w:unhideWhenUsed/>
    <w:rsid w:val="00D6259D"/>
    <w:pPr>
      <w:spacing w:after="0"/>
      <w:ind w:left="440"/>
    </w:pPr>
    <w:rPr>
      <w:rFonts w:cstheme="minorHAnsi"/>
      <w:sz w:val="20"/>
      <w:szCs w:val="20"/>
    </w:rPr>
  </w:style>
  <w:style w:type="paragraph" w:styleId="TDC5">
    <w:name w:val="toc 5"/>
    <w:basedOn w:val="Normal"/>
    <w:next w:val="Normal"/>
    <w:autoRedefine/>
    <w:uiPriority w:val="39"/>
    <w:unhideWhenUsed/>
    <w:rsid w:val="00D6259D"/>
    <w:pPr>
      <w:spacing w:after="0"/>
      <w:ind w:left="660"/>
    </w:pPr>
    <w:rPr>
      <w:rFonts w:cstheme="minorHAnsi"/>
      <w:sz w:val="20"/>
      <w:szCs w:val="20"/>
    </w:rPr>
  </w:style>
  <w:style w:type="paragraph" w:styleId="TDC6">
    <w:name w:val="toc 6"/>
    <w:basedOn w:val="Normal"/>
    <w:next w:val="Normal"/>
    <w:autoRedefine/>
    <w:uiPriority w:val="39"/>
    <w:unhideWhenUsed/>
    <w:rsid w:val="00D6259D"/>
    <w:pPr>
      <w:spacing w:after="0"/>
      <w:ind w:left="880"/>
    </w:pPr>
    <w:rPr>
      <w:rFonts w:cstheme="minorHAnsi"/>
      <w:sz w:val="20"/>
      <w:szCs w:val="20"/>
    </w:rPr>
  </w:style>
  <w:style w:type="paragraph" w:styleId="TDC7">
    <w:name w:val="toc 7"/>
    <w:basedOn w:val="Normal"/>
    <w:next w:val="Normal"/>
    <w:autoRedefine/>
    <w:uiPriority w:val="39"/>
    <w:unhideWhenUsed/>
    <w:rsid w:val="00D6259D"/>
    <w:pPr>
      <w:spacing w:after="0"/>
      <w:ind w:left="1100"/>
    </w:pPr>
    <w:rPr>
      <w:rFonts w:cstheme="minorHAnsi"/>
      <w:sz w:val="20"/>
      <w:szCs w:val="20"/>
    </w:rPr>
  </w:style>
  <w:style w:type="paragraph" w:styleId="TDC8">
    <w:name w:val="toc 8"/>
    <w:basedOn w:val="Normal"/>
    <w:next w:val="Normal"/>
    <w:autoRedefine/>
    <w:uiPriority w:val="39"/>
    <w:unhideWhenUsed/>
    <w:rsid w:val="00D6259D"/>
    <w:pPr>
      <w:spacing w:after="0"/>
      <w:ind w:left="1320"/>
    </w:pPr>
    <w:rPr>
      <w:rFonts w:cstheme="minorHAnsi"/>
      <w:sz w:val="20"/>
      <w:szCs w:val="20"/>
    </w:rPr>
  </w:style>
  <w:style w:type="paragraph" w:styleId="TDC9">
    <w:name w:val="toc 9"/>
    <w:basedOn w:val="Normal"/>
    <w:next w:val="Normal"/>
    <w:autoRedefine/>
    <w:uiPriority w:val="39"/>
    <w:unhideWhenUsed/>
    <w:rsid w:val="00D6259D"/>
    <w:pPr>
      <w:spacing w:after="0"/>
      <w:ind w:left="1540"/>
    </w:pPr>
    <w:rPr>
      <w:rFonts w:cstheme="minorHAnsi"/>
      <w:sz w:val="20"/>
      <w:szCs w:val="20"/>
    </w:rPr>
  </w:style>
  <w:style w:type="paragraph" w:styleId="Revisin">
    <w:name w:val="Revision"/>
    <w:hidden/>
    <w:uiPriority w:val="99"/>
    <w:semiHidden/>
    <w:rsid w:val="00D95951"/>
    <w:pPr>
      <w:spacing w:after="0" w:line="240" w:lineRule="auto"/>
    </w:pPr>
    <w:rPr>
      <w:lang w:val="es-ES"/>
    </w:rPr>
  </w:style>
  <w:style w:type="character" w:customStyle="1" w:styleId="Ttulo4Car">
    <w:name w:val="Título 4 Car"/>
    <w:basedOn w:val="Fuentedeprrafopredeter"/>
    <w:link w:val="Ttulo4"/>
    <w:uiPriority w:val="9"/>
    <w:rsid w:val="00790860"/>
    <w:rPr>
      <w:rFonts w:asciiTheme="majorHAnsi" w:eastAsiaTheme="majorEastAsia" w:hAnsiTheme="majorHAnsi" w:cstheme="majorBidi"/>
      <w:i/>
      <w:iCs/>
      <w:color w:val="365F91" w:themeColor="accent1" w:themeShade="BF"/>
      <w:lang w:val="es-ES"/>
    </w:rPr>
  </w:style>
  <w:style w:type="paragraph" w:styleId="Sangradetextonormal">
    <w:name w:val="Body Text Indent"/>
    <w:basedOn w:val="Normal"/>
    <w:link w:val="SangradetextonormalCar"/>
    <w:uiPriority w:val="99"/>
    <w:semiHidden/>
    <w:unhideWhenUsed/>
    <w:rsid w:val="00790860"/>
    <w:pPr>
      <w:spacing w:after="120"/>
      <w:ind w:left="283"/>
    </w:pPr>
  </w:style>
  <w:style w:type="character" w:customStyle="1" w:styleId="SangradetextonormalCar">
    <w:name w:val="Sangría de texto normal Car"/>
    <w:basedOn w:val="Fuentedeprrafopredeter"/>
    <w:link w:val="Sangradetextonormal"/>
    <w:uiPriority w:val="99"/>
    <w:semiHidden/>
    <w:rsid w:val="00790860"/>
    <w:rPr>
      <w:lang w:val="es-ES"/>
    </w:rPr>
  </w:style>
  <w:style w:type="paragraph" w:styleId="Textoindependienteprimerasangra2">
    <w:name w:val="Body Text First Indent 2"/>
    <w:basedOn w:val="Sangradetextonormal"/>
    <w:link w:val="Textoindependienteprimerasangra2Car"/>
    <w:uiPriority w:val="99"/>
    <w:unhideWhenUsed/>
    <w:rsid w:val="00790860"/>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90860"/>
    <w:rPr>
      <w:lang w:val="es-ES"/>
    </w:rPr>
  </w:style>
  <w:style w:type="paragraph" w:styleId="Textonotapie">
    <w:name w:val="footnote text"/>
    <w:basedOn w:val="Normal"/>
    <w:link w:val="TextonotapieCar"/>
    <w:uiPriority w:val="99"/>
    <w:semiHidden/>
    <w:unhideWhenUsed/>
    <w:rsid w:val="00BB05B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B05B1"/>
    <w:rPr>
      <w:sz w:val="20"/>
      <w:szCs w:val="20"/>
      <w:lang w:val="es-ES"/>
    </w:rPr>
  </w:style>
  <w:style w:type="character" w:styleId="Refdenotaalpie">
    <w:name w:val="footnote reference"/>
    <w:basedOn w:val="Fuentedeprrafopredeter"/>
    <w:uiPriority w:val="99"/>
    <w:semiHidden/>
    <w:unhideWhenUsed/>
    <w:rsid w:val="00BB05B1"/>
    <w:rPr>
      <w:vertAlign w:val="superscript"/>
    </w:rPr>
  </w:style>
  <w:style w:type="paragraph" w:customStyle="1" w:styleId="paragraph">
    <w:name w:val="paragraph"/>
    <w:basedOn w:val="Normal"/>
    <w:rsid w:val="007C1F39"/>
    <w:pPr>
      <w:spacing w:after="0" w:line="240" w:lineRule="auto"/>
    </w:pPr>
    <w:rPr>
      <w:rFonts w:ascii="Times New Roman" w:eastAsia="Times New Roman" w:hAnsi="Times New Roman" w:cs="Times New Roman"/>
      <w:sz w:val="24"/>
      <w:szCs w:val="24"/>
      <w:lang w:val="es-CR" w:eastAsia="es-CR"/>
    </w:rPr>
  </w:style>
  <w:style w:type="character" w:customStyle="1" w:styleId="normaltextrun1">
    <w:name w:val="normaltextrun1"/>
    <w:basedOn w:val="Fuentedeprrafopredeter"/>
    <w:rsid w:val="007C1F39"/>
  </w:style>
  <w:style w:type="character" w:customStyle="1" w:styleId="eop">
    <w:name w:val="eop"/>
    <w:basedOn w:val="Fuentedeprrafopredeter"/>
    <w:rsid w:val="007C1F39"/>
  </w:style>
  <w:style w:type="character" w:styleId="Refdecomentario">
    <w:name w:val="annotation reference"/>
    <w:basedOn w:val="Fuentedeprrafopredeter"/>
    <w:uiPriority w:val="99"/>
    <w:semiHidden/>
    <w:unhideWhenUsed/>
    <w:rsid w:val="000C00B4"/>
    <w:rPr>
      <w:sz w:val="16"/>
      <w:szCs w:val="16"/>
    </w:rPr>
  </w:style>
  <w:style w:type="paragraph" w:styleId="Textocomentario">
    <w:name w:val="annotation text"/>
    <w:basedOn w:val="Normal"/>
    <w:link w:val="TextocomentarioCar"/>
    <w:uiPriority w:val="99"/>
    <w:semiHidden/>
    <w:unhideWhenUsed/>
    <w:rsid w:val="000C00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00B4"/>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C00B4"/>
    <w:rPr>
      <w:b/>
      <w:bCs/>
    </w:rPr>
  </w:style>
  <w:style w:type="character" w:customStyle="1" w:styleId="AsuntodelcomentarioCar">
    <w:name w:val="Asunto del comentario Car"/>
    <w:basedOn w:val="TextocomentarioCar"/>
    <w:link w:val="Asuntodelcomentario"/>
    <w:uiPriority w:val="99"/>
    <w:semiHidden/>
    <w:rsid w:val="000C00B4"/>
    <w:rPr>
      <w:b/>
      <w:bCs/>
      <w:sz w:val="20"/>
      <w:szCs w:val="20"/>
      <w:lang w:val="es-ES"/>
    </w:rPr>
  </w:style>
  <w:style w:type="paragraph" w:styleId="Textonotaalfinal">
    <w:name w:val="endnote text"/>
    <w:basedOn w:val="Normal"/>
    <w:link w:val="TextonotaalfinalCar"/>
    <w:uiPriority w:val="99"/>
    <w:semiHidden/>
    <w:unhideWhenUsed/>
    <w:rsid w:val="000C00B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C00B4"/>
    <w:rPr>
      <w:sz w:val="20"/>
      <w:szCs w:val="20"/>
      <w:lang w:val="es-ES"/>
    </w:rPr>
  </w:style>
  <w:style w:type="character" w:styleId="Refdenotaalfinal">
    <w:name w:val="endnote reference"/>
    <w:basedOn w:val="Fuentedeprrafopredeter"/>
    <w:uiPriority w:val="99"/>
    <w:semiHidden/>
    <w:unhideWhenUsed/>
    <w:rsid w:val="000C00B4"/>
    <w:rPr>
      <w:vertAlign w:val="superscript"/>
    </w:rPr>
  </w:style>
  <w:style w:type="paragraph" w:styleId="TtuloTDC">
    <w:name w:val="TOC Heading"/>
    <w:basedOn w:val="Ttulo1"/>
    <w:next w:val="Normal"/>
    <w:uiPriority w:val="39"/>
    <w:unhideWhenUsed/>
    <w:qFormat/>
    <w:rsid w:val="000C466A"/>
    <w:pPr>
      <w:keepNext/>
      <w:keepLines/>
      <w:tabs>
        <w:tab w:val="clear" w:pos="1056"/>
      </w:tabs>
      <w:spacing w:before="240" w:line="259" w:lineRule="auto"/>
      <w:outlineLvl w:val="9"/>
    </w:pPr>
    <w:rPr>
      <w:rFonts w:asciiTheme="majorHAnsi" w:eastAsiaTheme="majorEastAsia" w:hAnsiTheme="majorHAnsi" w:cstheme="majorBidi"/>
      <w:b w:val="0"/>
      <w:color w:val="365F91" w:themeColor="accent1" w:themeShade="BF"/>
      <w:sz w:val="32"/>
      <w:szCs w:val="32"/>
      <w:lang w:val="es-CR" w:eastAsia="es-CR"/>
    </w:rPr>
  </w:style>
  <w:style w:type="paragraph" w:customStyle="1" w:styleId="Default">
    <w:name w:val="Default"/>
    <w:rsid w:val="00D1543B"/>
    <w:pPr>
      <w:autoSpaceDE w:val="0"/>
      <w:autoSpaceDN w:val="0"/>
      <w:adjustRightInd w:val="0"/>
      <w:spacing w:after="0" w:line="240" w:lineRule="auto"/>
    </w:pPr>
    <w:rPr>
      <w:rFonts w:ascii="Century Gothic" w:eastAsiaTheme="minorEastAsia" w:hAnsi="Century Gothic" w:cs="Century Gothic"/>
      <w:color w:val="000000"/>
      <w:sz w:val="24"/>
      <w:szCs w:val="24"/>
      <w:lang w:val="es-ES"/>
    </w:rPr>
  </w:style>
  <w:style w:type="character" w:customStyle="1" w:styleId="spellingerror">
    <w:name w:val="spellingerror"/>
    <w:basedOn w:val="Fuentedeprrafopredeter"/>
    <w:rsid w:val="00AC4B98"/>
  </w:style>
  <w:style w:type="character" w:customStyle="1" w:styleId="Ttulo5Car">
    <w:name w:val="Título 5 Car"/>
    <w:basedOn w:val="Fuentedeprrafopredeter"/>
    <w:link w:val="Ttulo5"/>
    <w:uiPriority w:val="9"/>
    <w:rsid w:val="00FA015C"/>
    <w:rPr>
      <w:rFonts w:asciiTheme="majorHAnsi" w:eastAsiaTheme="majorEastAsia" w:hAnsiTheme="majorHAnsi" w:cstheme="majorBidi"/>
      <w:color w:val="365F91" w:themeColor="accent1" w:themeShade="BF"/>
      <w:lang w:val="es-ES"/>
    </w:rPr>
  </w:style>
  <w:style w:type="character" w:customStyle="1" w:styleId="Ttulo6Car">
    <w:name w:val="Título 6 Car"/>
    <w:basedOn w:val="Fuentedeprrafopredeter"/>
    <w:link w:val="Ttulo6"/>
    <w:uiPriority w:val="9"/>
    <w:rsid w:val="00FA015C"/>
    <w:rPr>
      <w:rFonts w:asciiTheme="majorHAnsi" w:eastAsiaTheme="majorEastAsia" w:hAnsiTheme="majorHAnsi" w:cstheme="majorBidi"/>
      <w:color w:val="243F60" w:themeColor="accent1" w:themeShade="7F"/>
      <w:lang w:val="es-ES"/>
    </w:rPr>
  </w:style>
  <w:style w:type="character" w:customStyle="1" w:styleId="Ttulo7Car">
    <w:name w:val="Título 7 Car"/>
    <w:basedOn w:val="Fuentedeprrafopredeter"/>
    <w:link w:val="Ttulo7"/>
    <w:uiPriority w:val="9"/>
    <w:rsid w:val="00FA015C"/>
    <w:rPr>
      <w:rFonts w:asciiTheme="majorHAnsi" w:eastAsiaTheme="majorEastAsia" w:hAnsiTheme="majorHAnsi" w:cstheme="majorBidi"/>
      <w:i/>
      <w:iCs/>
      <w:color w:val="243F60" w:themeColor="accent1" w:themeShade="7F"/>
      <w:lang w:val="es-ES"/>
    </w:rPr>
  </w:style>
  <w:style w:type="paragraph" w:styleId="Ttulo">
    <w:name w:val="Title"/>
    <w:basedOn w:val="Normal"/>
    <w:next w:val="Normal"/>
    <w:link w:val="TtuloCar"/>
    <w:uiPriority w:val="10"/>
    <w:qFormat/>
    <w:rsid w:val="007D0B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D0BC7"/>
    <w:rPr>
      <w:rFonts w:asciiTheme="majorHAnsi" w:eastAsiaTheme="majorEastAsia" w:hAnsiTheme="majorHAnsi" w:cstheme="majorBidi"/>
      <w:spacing w:val="-10"/>
      <w:kern w:val="28"/>
      <w:sz w:val="56"/>
      <w:szCs w:val="5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707">
      <w:bodyDiv w:val="1"/>
      <w:marLeft w:val="0"/>
      <w:marRight w:val="0"/>
      <w:marTop w:val="0"/>
      <w:marBottom w:val="0"/>
      <w:divBdr>
        <w:top w:val="none" w:sz="0" w:space="0" w:color="auto"/>
        <w:left w:val="none" w:sz="0" w:space="0" w:color="auto"/>
        <w:bottom w:val="none" w:sz="0" w:space="0" w:color="auto"/>
        <w:right w:val="none" w:sz="0" w:space="0" w:color="auto"/>
      </w:divBdr>
    </w:div>
    <w:div w:id="44329480">
      <w:bodyDiv w:val="1"/>
      <w:marLeft w:val="0"/>
      <w:marRight w:val="0"/>
      <w:marTop w:val="0"/>
      <w:marBottom w:val="0"/>
      <w:divBdr>
        <w:top w:val="none" w:sz="0" w:space="0" w:color="auto"/>
        <w:left w:val="none" w:sz="0" w:space="0" w:color="auto"/>
        <w:bottom w:val="none" w:sz="0" w:space="0" w:color="auto"/>
        <w:right w:val="none" w:sz="0" w:space="0" w:color="auto"/>
      </w:divBdr>
    </w:div>
    <w:div w:id="52627776">
      <w:bodyDiv w:val="1"/>
      <w:marLeft w:val="0"/>
      <w:marRight w:val="0"/>
      <w:marTop w:val="0"/>
      <w:marBottom w:val="0"/>
      <w:divBdr>
        <w:top w:val="none" w:sz="0" w:space="0" w:color="auto"/>
        <w:left w:val="none" w:sz="0" w:space="0" w:color="auto"/>
        <w:bottom w:val="none" w:sz="0" w:space="0" w:color="auto"/>
        <w:right w:val="none" w:sz="0" w:space="0" w:color="auto"/>
      </w:divBdr>
    </w:div>
    <w:div w:id="86124976">
      <w:bodyDiv w:val="1"/>
      <w:marLeft w:val="0"/>
      <w:marRight w:val="0"/>
      <w:marTop w:val="0"/>
      <w:marBottom w:val="0"/>
      <w:divBdr>
        <w:top w:val="none" w:sz="0" w:space="0" w:color="auto"/>
        <w:left w:val="none" w:sz="0" w:space="0" w:color="auto"/>
        <w:bottom w:val="none" w:sz="0" w:space="0" w:color="auto"/>
        <w:right w:val="none" w:sz="0" w:space="0" w:color="auto"/>
      </w:divBdr>
    </w:div>
    <w:div w:id="124546924">
      <w:bodyDiv w:val="1"/>
      <w:marLeft w:val="0"/>
      <w:marRight w:val="0"/>
      <w:marTop w:val="0"/>
      <w:marBottom w:val="0"/>
      <w:divBdr>
        <w:top w:val="none" w:sz="0" w:space="0" w:color="auto"/>
        <w:left w:val="none" w:sz="0" w:space="0" w:color="auto"/>
        <w:bottom w:val="none" w:sz="0" w:space="0" w:color="auto"/>
        <w:right w:val="none" w:sz="0" w:space="0" w:color="auto"/>
      </w:divBdr>
    </w:div>
    <w:div w:id="130831612">
      <w:bodyDiv w:val="1"/>
      <w:marLeft w:val="0"/>
      <w:marRight w:val="0"/>
      <w:marTop w:val="0"/>
      <w:marBottom w:val="0"/>
      <w:divBdr>
        <w:top w:val="none" w:sz="0" w:space="0" w:color="auto"/>
        <w:left w:val="none" w:sz="0" w:space="0" w:color="auto"/>
        <w:bottom w:val="none" w:sz="0" w:space="0" w:color="auto"/>
        <w:right w:val="none" w:sz="0" w:space="0" w:color="auto"/>
      </w:divBdr>
    </w:div>
    <w:div w:id="175923763">
      <w:bodyDiv w:val="1"/>
      <w:marLeft w:val="0"/>
      <w:marRight w:val="0"/>
      <w:marTop w:val="0"/>
      <w:marBottom w:val="0"/>
      <w:divBdr>
        <w:top w:val="none" w:sz="0" w:space="0" w:color="auto"/>
        <w:left w:val="none" w:sz="0" w:space="0" w:color="auto"/>
        <w:bottom w:val="none" w:sz="0" w:space="0" w:color="auto"/>
        <w:right w:val="none" w:sz="0" w:space="0" w:color="auto"/>
      </w:divBdr>
    </w:div>
    <w:div w:id="179711059">
      <w:bodyDiv w:val="1"/>
      <w:marLeft w:val="0"/>
      <w:marRight w:val="0"/>
      <w:marTop w:val="0"/>
      <w:marBottom w:val="0"/>
      <w:divBdr>
        <w:top w:val="none" w:sz="0" w:space="0" w:color="auto"/>
        <w:left w:val="none" w:sz="0" w:space="0" w:color="auto"/>
        <w:bottom w:val="none" w:sz="0" w:space="0" w:color="auto"/>
        <w:right w:val="none" w:sz="0" w:space="0" w:color="auto"/>
      </w:divBdr>
    </w:div>
    <w:div w:id="201941824">
      <w:bodyDiv w:val="1"/>
      <w:marLeft w:val="0"/>
      <w:marRight w:val="0"/>
      <w:marTop w:val="0"/>
      <w:marBottom w:val="0"/>
      <w:divBdr>
        <w:top w:val="none" w:sz="0" w:space="0" w:color="auto"/>
        <w:left w:val="none" w:sz="0" w:space="0" w:color="auto"/>
        <w:bottom w:val="none" w:sz="0" w:space="0" w:color="auto"/>
        <w:right w:val="none" w:sz="0" w:space="0" w:color="auto"/>
      </w:divBdr>
    </w:div>
    <w:div w:id="248076755">
      <w:bodyDiv w:val="1"/>
      <w:marLeft w:val="0"/>
      <w:marRight w:val="0"/>
      <w:marTop w:val="0"/>
      <w:marBottom w:val="0"/>
      <w:divBdr>
        <w:top w:val="none" w:sz="0" w:space="0" w:color="auto"/>
        <w:left w:val="none" w:sz="0" w:space="0" w:color="auto"/>
        <w:bottom w:val="none" w:sz="0" w:space="0" w:color="auto"/>
        <w:right w:val="none" w:sz="0" w:space="0" w:color="auto"/>
      </w:divBdr>
    </w:div>
    <w:div w:id="249899784">
      <w:bodyDiv w:val="1"/>
      <w:marLeft w:val="0"/>
      <w:marRight w:val="0"/>
      <w:marTop w:val="0"/>
      <w:marBottom w:val="0"/>
      <w:divBdr>
        <w:top w:val="none" w:sz="0" w:space="0" w:color="auto"/>
        <w:left w:val="none" w:sz="0" w:space="0" w:color="auto"/>
        <w:bottom w:val="none" w:sz="0" w:space="0" w:color="auto"/>
        <w:right w:val="none" w:sz="0" w:space="0" w:color="auto"/>
      </w:divBdr>
    </w:div>
    <w:div w:id="274605754">
      <w:bodyDiv w:val="1"/>
      <w:marLeft w:val="0"/>
      <w:marRight w:val="0"/>
      <w:marTop w:val="0"/>
      <w:marBottom w:val="0"/>
      <w:divBdr>
        <w:top w:val="none" w:sz="0" w:space="0" w:color="auto"/>
        <w:left w:val="none" w:sz="0" w:space="0" w:color="auto"/>
        <w:bottom w:val="none" w:sz="0" w:space="0" w:color="auto"/>
        <w:right w:val="none" w:sz="0" w:space="0" w:color="auto"/>
      </w:divBdr>
    </w:div>
    <w:div w:id="288829192">
      <w:bodyDiv w:val="1"/>
      <w:marLeft w:val="0"/>
      <w:marRight w:val="0"/>
      <w:marTop w:val="0"/>
      <w:marBottom w:val="0"/>
      <w:divBdr>
        <w:top w:val="none" w:sz="0" w:space="0" w:color="auto"/>
        <w:left w:val="none" w:sz="0" w:space="0" w:color="auto"/>
        <w:bottom w:val="none" w:sz="0" w:space="0" w:color="auto"/>
        <w:right w:val="none" w:sz="0" w:space="0" w:color="auto"/>
      </w:divBdr>
    </w:div>
    <w:div w:id="317655911">
      <w:bodyDiv w:val="1"/>
      <w:marLeft w:val="0"/>
      <w:marRight w:val="0"/>
      <w:marTop w:val="0"/>
      <w:marBottom w:val="0"/>
      <w:divBdr>
        <w:top w:val="none" w:sz="0" w:space="0" w:color="auto"/>
        <w:left w:val="none" w:sz="0" w:space="0" w:color="auto"/>
        <w:bottom w:val="none" w:sz="0" w:space="0" w:color="auto"/>
        <w:right w:val="none" w:sz="0" w:space="0" w:color="auto"/>
      </w:divBdr>
    </w:div>
    <w:div w:id="325405398">
      <w:bodyDiv w:val="1"/>
      <w:marLeft w:val="0"/>
      <w:marRight w:val="0"/>
      <w:marTop w:val="0"/>
      <w:marBottom w:val="0"/>
      <w:divBdr>
        <w:top w:val="none" w:sz="0" w:space="0" w:color="auto"/>
        <w:left w:val="none" w:sz="0" w:space="0" w:color="auto"/>
        <w:bottom w:val="none" w:sz="0" w:space="0" w:color="auto"/>
        <w:right w:val="none" w:sz="0" w:space="0" w:color="auto"/>
      </w:divBdr>
    </w:div>
    <w:div w:id="350882784">
      <w:bodyDiv w:val="1"/>
      <w:marLeft w:val="0"/>
      <w:marRight w:val="0"/>
      <w:marTop w:val="0"/>
      <w:marBottom w:val="0"/>
      <w:divBdr>
        <w:top w:val="none" w:sz="0" w:space="0" w:color="auto"/>
        <w:left w:val="none" w:sz="0" w:space="0" w:color="auto"/>
        <w:bottom w:val="none" w:sz="0" w:space="0" w:color="auto"/>
        <w:right w:val="none" w:sz="0" w:space="0" w:color="auto"/>
      </w:divBdr>
    </w:div>
    <w:div w:id="360789530">
      <w:bodyDiv w:val="1"/>
      <w:marLeft w:val="0"/>
      <w:marRight w:val="0"/>
      <w:marTop w:val="0"/>
      <w:marBottom w:val="0"/>
      <w:divBdr>
        <w:top w:val="none" w:sz="0" w:space="0" w:color="auto"/>
        <w:left w:val="none" w:sz="0" w:space="0" w:color="auto"/>
        <w:bottom w:val="none" w:sz="0" w:space="0" w:color="auto"/>
        <w:right w:val="none" w:sz="0" w:space="0" w:color="auto"/>
      </w:divBdr>
    </w:div>
    <w:div w:id="369847024">
      <w:bodyDiv w:val="1"/>
      <w:marLeft w:val="0"/>
      <w:marRight w:val="0"/>
      <w:marTop w:val="0"/>
      <w:marBottom w:val="0"/>
      <w:divBdr>
        <w:top w:val="none" w:sz="0" w:space="0" w:color="auto"/>
        <w:left w:val="none" w:sz="0" w:space="0" w:color="auto"/>
        <w:bottom w:val="none" w:sz="0" w:space="0" w:color="auto"/>
        <w:right w:val="none" w:sz="0" w:space="0" w:color="auto"/>
      </w:divBdr>
    </w:div>
    <w:div w:id="416560097">
      <w:bodyDiv w:val="1"/>
      <w:marLeft w:val="0"/>
      <w:marRight w:val="0"/>
      <w:marTop w:val="0"/>
      <w:marBottom w:val="0"/>
      <w:divBdr>
        <w:top w:val="none" w:sz="0" w:space="0" w:color="auto"/>
        <w:left w:val="none" w:sz="0" w:space="0" w:color="auto"/>
        <w:bottom w:val="none" w:sz="0" w:space="0" w:color="auto"/>
        <w:right w:val="none" w:sz="0" w:space="0" w:color="auto"/>
      </w:divBdr>
    </w:div>
    <w:div w:id="441803757">
      <w:bodyDiv w:val="1"/>
      <w:marLeft w:val="0"/>
      <w:marRight w:val="0"/>
      <w:marTop w:val="0"/>
      <w:marBottom w:val="0"/>
      <w:divBdr>
        <w:top w:val="none" w:sz="0" w:space="0" w:color="auto"/>
        <w:left w:val="none" w:sz="0" w:space="0" w:color="auto"/>
        <w:bottom w:val="none" w:sz="0" w:space="0" w:color="auto"/>
        <w:right w:val="none" w:sz="0" w:space="0" w:color="auto"/>
      </w:divBdr>
    </w:div>
    <w:div w:id="474838857">
      <w:bodyDiv w:val="1"/>
      <w:marLeft w:val="0"/>
      <w:marRight w:val="0"/>
      <w:marTop w:val="0"/>
      <w:marBottom w:val="0"/>
      <w:divBdr>
        <w:top w:val="none" w:sz="0" w:space="0" w:color="auto"/>
        <w:left w:val="none" w:sz="0" w:space="0" w:color="auto"/>
        <w:bottom w:val="none" w:sz="0" w:space="0" w:color="auto"/>
        <w:right w:val="none" w:sz="0" w:space="0" w:color="auto"/>
      </w:divBdr>
    </w:div>
    <w:div w:id="478768375">
      <w:bodyDiv w:val="1"/>
      <w:marLeft w:val="0"/>
      <w:marRight w:val="0"/>
      <w:marTop w:val="0"/>
      <w:marBottom w:val="0"/>
      <w:divBdr>
        <w:top w:val="none" w:sz="0" w:space="0" w:color="auto"/>
        <w:left w:val="none" w:sz="0" w:space="0" w:color="auto"/>
        <w:bottom w:val="none" w:sz="0" w:space="0" w:color="auto"/>
        <w:right w:val="none" w:sz="0" w:space="0" w:color="auto"/>
      </w:divBdr>
    </w:div>
    <w:div w:id="486898408">
      <w:bodyDiv w:val="1"/>
      <w:marLeft w:val="0"/>
      <w:marRight w:val="0"/>
      <w:marTop w:val="0"/>
      <w:marBottom w:val="0"/>
      <w:divBdr>
        <w:top w:val="none" w:sz="0" w:space="0" w:color="auto"/>
        <w:left w:val="none" w:sz="0" w:space="0" w:color="auto"/>
        <w:bottom w:val="none" w:sz="0" w:space="0" w:color="auto"/>
        <w:right w:val="none" w:sz="0" w:space="0" w:color="auto"/>
      </w:divBdr>
    </w:div>
    <w:div w:id="493687242">
      <w:bodyDiv w:val="1"/>
      <w:marLeft w:val="0"/>
      <w:marRight w:val="0"/>
      <w:marTop w:val="0"/>
      <w:marBottom w:val="0"/>
      <w:divBdr>
        <w:top w:val="none" w:sz="0" w:space="0" w:color="auto"/>
        <w:left w:val="none" w:sz="0" w:space="0" w:color="auto"/>
        <w:bottom w:val="none" w:sz="0" w:space="0" w:color="auto"/>
        <w:right w:val="none" w:sz="0" w:space="0" w:color="auto"/>
      </w:divBdr>
    </w:div>
    <w:div w:id="559294632">
      <w:bodyDiv w:val="1"/>
      <w:marLeft w:val="0"/>
      <w:marRight w:val="0"/>
      <w:marTop w:val="0"/>
      <w:marBottom w:val="0"/>
      <w:divBdr>
        <w:top w:val="none" w:sz="0" w:space="0" w:color="auto"/>
        <w:left w:val="none" w:sz="0" w:space="0" w:color="auto"/>
        <w:bottom w:val="none" w:sz="0" w:space="0" w:color="auto"/>
        <w:right w:val="none" w:sz="0" w:space="0" w:color="auto"/>
      </w:divBdr>
    </w:div>
    <w:div w:id="593242984">
      <w:bodyDiv w:val="1"/>
      <w:marLeft w:val="0"/>
      <w:marRight w:val="0"/>
      <w:marTop w:val="0"/>
      <w:marBottom w:val="0"/>
      <w:divBdr>
        <w:top w:val="none" w:sz="0" w:space="0" w:color="auto"/>
        <w:left w:val="none" w:sz="0" w:space="0" w:color="auto"/>
        <w:bottom w:val="none" w:sz="0" w:space="0" w:color="auto"/>
        <w:right w:val="none" w:sz="0" w:space="0" w:color="auto"/>
      </w:divBdr>
    </w:div>
    <w:div w:id="609051059">
      <w:bodyDiv w:val="1"/>
      <w:marLeft w:val="0"/>
      <w:marRight w:val="0"/>
      <w:marTop w:val="0"/>
      <w:marBottom w:val="0"/>
      <w:divBdr>
        <w:top w:val="none" w:sz="0" w:space="0" w:color="auto"/>
        <w:left w:val="none" w:sz="0" w:space="0" w:color="auto"/>
        <w:bottom w:val="none" w:sz="0" w:space="0" w:color="auto"/>
        <w:right w:val="none" w:sz="0" w:space="0" w:color="auto"/>
      </w:divBdr>
    </w:div>
    <w:div w:id="639504254">
      <w:bodyDiv w:val="1"/>
      <w:marLeft w:val="0"/>
      <w:marRight w:val="0"/>
      <w:marTop w:val="0"/>
      <w:marBottom w:val="0"/>
      <w:divBdr>
        <w:top w:val="none" w:sz="0" w:space="0" w:color="auto"/>
        <w:left w:val="none" w:sz="0" w:space="0" w:color="auto"/>
        <w:bottom w:val="none" w:sz="0" w:space="0" w:color="auto"/>
        <w:right w:val="none" w:sz="0" w:space="0" w:color="auto"/>
      </w:divBdr>
    </w:div>
    <w:div w:id="642975010">
      <w:bodyDiv w:val="1"/>
      <w:marLeft w:val="0"/>
      <w:marRight w:val="0"/>
      <w:marTop w:val="0"/>
      <w:marBottom w:val="0"/>
      <w:divBdr>
        <w:top w:val="none" w:sz="0" w:space="0" w:color="auto"/>
        <w:left w:val="none" w:sz="0" w:space="0" w:color="auto"/>
        <w:bottom w:val="none" w:sz="0" w:space="0" w:color="auto"/>
        <w:right w:val="none" w:sz="0" w:space="0" w:color="auto"/>
      </w:divBdr>
    </w:div>
    <w:div w:id="655183678">
      <w:bodyDiv w:val="1"/>
      <w:marLeft w:val="0"/>
      <w:marRight w:val="0"/>
      <w:marTop w:val="0"/>
      <w:marBottom w:val="0"/>
      <w:divBdr>
        <w:top w:val="none" w:sz="0" w:space="0" w:color="auto"/>
        <w:left w:val="none" w:sz="0" w:space="0" w:color="auto"/>
        <w:bottom w:val="none" w:sz="0" w:space="0" w:color="auto"/>
        <w:right w:val="none" w:sz="0" w:space="0" w:color="auto"/>
      </w:divBdr>
    </w:div>
    <w:div w:id="659121466">
      <w:bodyDiv w:val="1"/>
      <w:marLeft w:val="0"/>
      <w:marRight w:val="0"/>
      <w:marTop w:val="0"/>
      <w:marBottom w:val="0"/>
      <w:divBdr>
        <w:top w:val="none" w:sz="0" w:space="0" w:color="auto"/>
        <w:left w:val="none" w:sz="0" w:space="0" w:color="auto"/>
        <w:bottom w:val="none" w:sz="0" w:space="0" w:color="auto"/>
        <w:right w:val="none" w:sz="0" w:space="0" w:color="auto"/>
      </w:divBdr>
    </w:div>
    <w:div w:id="758253855">
      <w:bodyDiv w:val="1"/>
      <w:marLeft w:val="0"/>
      <w:marRight w:val="0"/>
      <w:marTop w:val="0"/>
      <w:marBottom w:val="0"/>
      <w:divBdr>
        <w:top w:val="none" w:sz="0" w:space="0" w:color="auto"/>
        <w:left w:val="none" w:sz="0" w:space="0" w:color="auto"/>
        <w:bottom w:val="none" w:sz="0" w:space="0" w:color="auto"/>
        <w:right w:val="none" w:sz="0" w:space="0" w:color="auto"/>
      </w:divBdr>
    </w:div>
    <w:div w:id="808861748">
      <w:bodyDiv w:val="1"/>
      <w:marLeft w:val="0"/>
      <w:marRight w:val="0"/>
      <w:marTop w:val="0"/>
      <w:marBottom w:val="0"/>
      <w:divBdr>
        <w:top w:val="none" w:sz="0" w:space="0" w:color="auto"/>
        <w:left w:val="none" w:sz="0" w:space="0" w:color="auto"/>
        <w:bottom w:val="none" w:sz="0" w:space="0" w:color="auto"/>
        <w:right w:val="none" w:sz="0" w:space="0" w:color="auto"/>
      </w:divBdr>
    </w:div>
    <w:div w:id="882867177">
      <w:bodyDiv w:val="1"/>
      <w:marLeft w:val="0"/>
      <w:marRight w:val="0"/>
      <w:marTop w:val="0"/>
      <w:marBottom w:val="0"/>
      <w:divBdr>
        <w:top w:val="none" w:sz="0" w:space="0" w:color="auto"/>
        <w:left w:val="none" w:sz="0" w:space="0" w:color="auto"/>
        <w:bottom w:val="none" w:sz="0" w:space="0" w:color="auto"/>
        <w:right w:val="none" w:sz="0" w:space="0" w:color="auto"/>
      </w:divBdr>
    </w:div>
    <w:div w:id="909579284">
      <w:bodyDiv w:val="1"/>
      <w:marLeft w:val="0"/>
      <w:marRight w:val="0"/>
      <w:marTop w:val="0"/>
      <w:marBottom w:val="0"/>
      <w:divBdr>
        <w:top w:val="none" w:sz="0" w:space="0" w:color="auto"/>
        <w:left w:val="none" w:sz="0" w:space="0" w:color="auto"/>
        <w:bottom w:val="none" w:sz="0" w:space="0" w:color="auto"/>
        <w:right w:val="none" w:sz="0" w:space="0" w:color="auto"/>
      </w:divBdr>
      <w:divsChild>
        <w:div w:id="697854899">
          <w:marLeft w:val="360"/>
          <w:marRight w:val="0"/>
          <w:marTop w:val="200"/>
          <w:marBottom w:val="0"/>
          <w:divBdr>
            <w:top w:val="none" w:sz="0" w:space="0" w:color="auto"/>
            <w:left w:val="none" w:sz="0" w:space="0" w:color="auto"/>
            <w:bottom w:val="none" w:sz="0" w:space="0" w:color="auto"/>
            <w:right w:val="none" w:sz="0" w:space="0" w:color="auto"/>
          </w:divBdr>
        </w:div>
        <w:div w:id="95486896">
          <w:marLeft w:val="360"/>
          <w:marRight w:val="0"/>
          <w:marTop w:val="200"/>
          <w:marBottom w:val="0"/>
          <w:divBdr>
            <w:top w:val="none" w:sz="0" w:space="0" w:color="auto"/>
            <w:left w:val="none" w:sz="0" w:space="0" w:color="auto"/>
            <w:bottom w:val="none" w:sz="0" w:space="0" w:color="auto"/>
            <w:right w:val="none" w:sz="0" w:space="0" w:color="auto"/>
          </w:divBdr>
        </w:div>
        <w:div w:id="493109230">
          <w:marLeft w:val="360"/>
          <w:marRight w:val="0"/>
          <w:marTop w:val="200"/>
          <w:marBottom w:val="0"/>
          <w:divBdr>
            <w:top w:val="none" w:sz="0" w:space="0" w:color="auto"/>
            <w:left w:val="none" w:sz="0" w:space="0" w:color="auto"/>
            <w:bottom w:val="none" w:sz="0" w:space="0" w:color="auto"/>
            <w:right w:val="none" w:sz="0" w:space="0" w:color="auto"/>
          </w:divBdr>
        </w:div>
      </w:divsChild>
    </w:div>
    <w:div w:id="955523958">
      <w:bodyDiv w:val="1"/>
      <w:marLeft w:val="0"/>
      <w:marRight w:val="0"/>
      <w:marTop w:val="0"/>
      <w:marBottom w:val="0"/>
      <w:divBdr>
        <w:top w:val="none" w:sz="0" w:space="0" w:color="auto"/>
        <w:left w:val="none" w:sz="0" w:space="0" w:color="auto"/>
        <w:bottom w:val="none" w:sz="0" w:space="0" w:color="auto"/>
        <w:right w:val="none" w:sz="0" w:space="0" w:color="auto"/>
      </w:divBdr>
    </w:div>
    <w:div w:id="968241233">
      <w:bodyDiv w:val="1"/>
      <w:marLeft w:val="0"/>
      <w:marRight w:val="0"/>
      <w:marTop w:val="0"/>
      <w:marBottom w:val="0"/>
      <w:divBdr>
        <w:top w:val="none" w:sz="0" w:space="0" w:color="auto"/>
        <w:left w:val="none" w:sz="0" w:space="0" w:color="auto"/>
        <w:bottom w:val="none" w:sz="0" w:space="0" w:color="auto"/>
        <w:right w:val="none" w:sz="0" w:space="0" w:color="auto"/>
      </w:divBdr>
    </w:div>
    <w:div w:id="1032531566">
      <w:bodyDiv w:val="1"/>
      <w:marLeft w:val="0"/>
      <w:marRight w:val="0"/>
      <w:marTop w:val="0"/>
      <w:marBottom w:val="0"/>
      <w:divBdr>
        <w:top w:val="none" w:sz="0" w:space="0" w:color="auto"/>
        <w:left w:val="none" w:sz="0" w:space="0" w:color="auto"/>
        <w:bottom w:val="none" w:sz="0" w:space="0" w:color="auto"/>
        <w:right w:val="none" w:sz="0" w:space="0" w:color="auto"/>
      </w:divBdr>
    </w:div>
    <w:div w:id="1034384632">
      <w:bodyDiv w:val="1"/>
      <w:marLeft w:val="0"/>
      <w:marRight w:val="0"/>
      <w:marTop w:val="0"/>
      <w:marBottom w:val="0"/>
      <w:divBdr>
        <w:top w:val="none" w:sz="0" w:space="0" w:color="auto"/>
        <w:left w:val="none" w:sz="0" w:space="0" w:color="auto"/>
        <w:bottom w:val="none" w:sz="0" w:space="0" w:color="auto"/>
        <w:right w:val="none" w:sz="0" w:space="0" w:color="auto"/>
      </w:divBdr>
    </w:div>
    <w:div w:id="1071467960">
      <w:bodyDiv w:val="1"/>
      <w:marLeft w:val="0"/>
      <w:marRight w:val="0"/>
      <w:marTop w:val="0"/>
      <w:marBottom w:val="0"/>
      <w:divBdr>
        <w:top w:val="none" w:sz="0" w:space="0" w:color="auto"/>
        <w:left w:val="none" w:sz="0" w:space="0" w:color="auto"/>
        <w:bottom w:val="none" w:sz="0" w:space="0" w:color="auto"/>
        <w:right w:val="none" w:sz="0" w:space="0" w:color="auto"/>
      </w:divBdr>
    </w:div>
    <w:div w:id="1118065326">
      <w:bodyDiv w:val="1"/>
      <w:marLeft w:val="0"/>
      <w:marRight w:val="0"/>
      <w:marTop w:val="0"/>
      <w:marBottom w:val="0"/>
      <w:divBdr>
        <w:top w:val="none" w:sz="0" w:space="0" w:color="auto"/>
        <w:left w:val="none" w:sz="0" w:space="0" w:color="auto"/>
        <w:bottom w:val="none" w:sz="0" w:space="0" w:color="auto"/>
        <w:right w:val="none" w:sz="0" w:space="0" w:color="auto"/>
      </w:divBdr>
      <w:divsChild>
        <w:div w:id="1065957208">
          <w:marLeft w:val="0"/>
          <w:marRight w:val="0"/>
          <w:marTop w:val="0"/>
          <w:marBottom w:val="0"/>
          <w:divBdr>
            <w:top w:val="none" w:sz="0" w:space="0" w:color="auto"/>
            <w:left w:val="none" w:sz="0" w:space="0" w:color="auto"/>
            <w:bottom w:val="none" w:sz="0" w:space="0" w:color="auto"/>
            <w:right w:val="none" w:sz="0" w:space="0" w:color="auto"/>
          </w:divBdr>
          <w:divsChild>
            <w:div w:id="1953660395">
              <w:marLeft w:val="0"/>
              <w:marRight w:val="0"/>
              <w:marTop w:val="0"/>
              <w:marBottom w:val="0"/>
              <w:divBdr>
                <w:top w:val="none" w:sz="0" w:space="0" w:color="auto"/>
                <w:left w:val="none" w:sz="0" w:space="0" w:color="auto"/>
                <w:bottom w:val="none" w:sz="0" w:space="0" w:color="auto"/>
                <w:right w:val="none" w:sz="0" w:space="0" w:color="auto"/>
              </w:divBdr>
              <w:divsChild>
                <w:div w:id="1713312462">
                  <w:marLeft w:val="0"/>
                  <w:marRight w:val="0"/>
                  <w:marTop w:val="0"/>
                  <w:marBottom w:val="0"/>
                  <w:divBdr>
                    <w:top w:val="none" w:sz="0" w:space="0" w:color="auto"/>
                    <w:left w:val="none" w:sz="0" w:space="0" w:color="auto"/>
                    <w:bottom w:val="none" w:sz="0" w:space="0" w:color="auto"/>
                    <w:right w:val="none" w:sz="0" w:space="0" w:color="auto"/>
                  </w:divBdr>
                  <w:divsChild>
                    <w:div w:id="1774130230">
                      <w:marLeft w:val="0"/>
                      <w:marRight w:val="0"/>
                      <w:marTop w:val="0"/>
                      <w:marBottom w:val="0"/>
                      <w:divBdr>
                        <w:top w:val="none" w:sz="0" w:space="0" w:color="auto"/>
                        <w:left w:val="none" w:sz="0" w:space="0" w:color="auto"/>
                        <w:bottom w:val="none" w:sz="0" w:space="0" w:color="auto"/>
                        <w:right w:val="none" w:sz="0" w:space="0" w:color="auto"/>
                      </w:divBdr>
                      <w:divsChild>
                        <w:div w:id="2071073309">
                          <w:marLeft w:val="0"/>
                          <w:marRight w:val="0"/>
                          <w:marTop w:val="0"/>
                          <w:marBottom w:val="0"/>
                          <w:divBdr>
                            <w:top w:val="none" w:sz="0" w:space="0" w:color="auto"/>
                            <w:left w:val="none" w:sz="0" w:space="0" w:color="auto"/>
                            <w:bottom w:val="none" w:sz="0" w:space="0" w:color="auto"/>
                            <w:right w:val="none" w:sz="0" w:space="0" w:color="auto"/>
                          </w:divBdr>
                          <w:divsChild>
                            <w:div w:id="1874533648">
                              <w:marLeft w:val="0"/>
                              <w:marRight w:val="0"/>
                              <w:marTop w:val="0"/>
                              <w:marBottom w:val="0"/>
                              <w:divBdr>
                                <w:top w:val="none" w:sz="0" w:space="0" w:color="auto"/>
                                <w:left w:val="none" w:sz="0" w:space="0" w:color="auto"/>
                                <w:bottom w:val="none" w:sz="0" w:space="0" w:color="auto"/>
                                <w:right w:val="none" w:sz="0" w:space="0" w:color="auto"/>
                              </w:divBdr>
                              <w:divsChild>
                                <w:div w:id="1969625660">
                                  <w:marLeft w:val="0"/>
                                  <w:marRight w:val="0"/>
                                  <w:marTop w:val="0"/>
                                  <w:marBottom w:val="0"/>
                                  <w:divBdr>
                                    <w:top w:val="none" w:sz="0" w:space="0" w:color="auto"/>
                                    <w:left w:val="none" w:sz="0" w:space="0" w:color="auto"/>
                                    <w:bottom w:val="none" w:sz="0" w:space="0" w:color="auto"/>
                                    <w:right w:val="none" w:sz="0" w:space="0" w:color="auto"/>
                                  </w:divBdr>
                                  <w:divsChild>
                                    <w:div w:id="731731447">
                                      <w:marLeft w:val="0"/>
                                      <w:marRight w:val="0"/>
                                      <w:marTop w:val="0"/>
                                      <w:marBottom w:val="0"/>
                                      <w:divBdr>
                                        <w:top w:val="none" w:sz="0" w:space="0" w:color="auto"/>
                                        <w:left w:val="none" w:sz="0" w:space="0" w:color="auto"/>
                                        <w:bottom w:val="none" w:sz="0" w:space="0" w:color="auto"/>
                                        <w:right w:val="none" w:sz="0" w:space="0" w:color="auto"/>
                                      </w:divBdr>
                                      <w:divsChild>
                                        <w:div w:id="1034114409">
                                          <w:marLeft w:val="0"/>
                                          <w:marRight w:val="0"/>
                                          <w:marTop w:val="0"/>
                                          <w:marBottom w:val="0"/>
                                          <w:divBdr>
                                            <w:top w:val="none" w:sz="0" w:space="0" w:color="auto"/>
                                            <w:left w:val="none" w:sz="0" w:space="0" w:color="auto"/>
                                            <w:bottom w:val="none" w:sz="0" w:space="0" w:color="auto"/>
                                            <w:right w:val="none" w:sz="0" w:space="0" w:color="auto"/>
                                          </w:divBdr>
                                          <w:divsChild>
                                            <w:div w:id="210773526">
                                              <w:marLeft w:val="0"/>
                                              <w:marRight w:val="0"/>
                                              <w:marTop w:val="0"/>
                                              <w:marBottom w:val="0"/>
                                              <w:divBdr>
                                                <w:top w:val="none" w:sz="0" w:space="0" w:color="auto"/>
                                                <w:left w:val="none" w:sz="0" w:space="0" w:color="auto"/>
                                                <w:bottom w:val="none" w:sz="0" w:space="0" w:color="auto"/>
                                                <w:right w:val="none" w:sz="0" w:space="0" w:color="auto"/>
                                              </w:divBdr>
                                              <w:divsChild>
                                                <w:div w:id="1746761076">
                                                  <w:marLeft w:val="0"/>
                                                  <w:marRight w:val="0"/>
                                                  <w:marTop w:val="0"/>
                                                  <w:marBottom w:val="0"/>
                                                  <w:divBdr>
                                                    <w:top w:val="none" w:sz="0" w:space="0" w:color="auto"/>
                                                    <w:left w:val="none" w:sz="0" w:space="0" w:color="auto"/>
                                                    <w:bottom w:val="none" w:sz="0" w:space="0" w:color="auto"/>
                                                    <w:right w:val="none" w:sz="0" w:space="0" w:color="auto"/>
                                                  </w:divBdr>
                                                  <w:divsChild>
                                                    <w:div w:id="1878808018">
                                                      <w:marLeft w:val="0"/>
                                                      <w:marRight w:val="0"/>
                                                      <w:marTop w:val="0"/>
                                                      <w:marBottom w:val="0"/>
                                                      <w:divBdr>
                                                        <w:top w:val="single" w:sz="6" w:space="0" w:color="ABABAB"/>
                                                        <w:left w:val="single" w:sz="6" w:space="0" w:color="ABABAB"/>
                                                        <w:bottom w:val="none" w:sz="0" w:space="0" w:color="auto"/>
                                                        <w:right w:val="single" w:sz="6" w:space="0" w:color="ABABAB"/>
                                                      </w:divBdr>
                                                      <w:divsChild>
                                                        <w:div w:id="1574243972">
                                                          <w:marLeft w:val="0"/>
                                                          <w:marRight w:val="0"/>
                                                          <w:marTop w:val="0"/>
                                                          <w:marBottom w:val="0"/>
                                                          <w:divBdr>
                                                            <w:top w:val="none" w:sz="0" w:space="0" w:color="auto"/>
                                                            <w:left w:val="none" w:sz="0" w:space="0" w:color="auto"/>
                                                            <w:bottom w:val="none" w:sz="0" w:space="0" w:color="auto"/>
                                                            <w:right w:val="none" w:sz="0" w:space="0" w:color="auto"/>
                                                          </w:divBdr>
                                                          <w:divsChild>
                                                            <w:div w:id="1774932313">
                                                              <w:marLeft w:val="0"/>
                                                              <w:marRight w:val="0"/>
                                                              <w:marTop w:val="0"/>
                                                              <w:marBottom w:val="0"/>
                                                              <w:divBdr>
                                                                <w:top w:val="none" w:sz="0" w:space="0" w:color="auto"/>
                                                                <w:left w:val="none" w:sz="0" w:space="0" w:color="auto"/>
                                                                <w:bottom w:val="none" w:sz="0" w:space="0" w:color="auto"/>
                                                                <w:right w:val="none" w:sz="0" w:space="0" w:color="auto"/>
                                                              </w:divBdr>
                                                              <w:divsChild>
                                                                <w:div w:id="303242795">
                                                                  <w:marLeft w:val="0"/>
                                                                  <w:marRight w:val="0"/>
                                                                  <w:marTop w:val="0"/>
                                                                  <w:marBottom w:val="0"/>
                                                                  <w:divBdr>
                                                                    <w:top w:val="none" w:sz="0" w:space="0" w:color="auto"/>
                                                                    <w:left w:val="none" w:sz="0" w:space="0" w:color="auto"/>
                                                                    <w:bottom w:val="none" w:sz="0" w:space="0" w:color="auto"/>
                                                                    <w:right w:val="none" w:sz="0" w:space="0" w:color="auto"/>
                                                                  </w:divBdr>
                                                                  <w:divsChild>
                                                                    <w:div w:id="1672826956">
                                                                      <w:marLeft w:val="0"/>
                                                                      <w:marRight w:val="0"/>
                                                                      <w:marTop w:val="0"/>
                                                                      <w:marBottom w:val="0"/>
                                                                      <w:divBdr>
                                                                        <w:top w:val="none" w:sz="0" w:space="0" w:color="auto"/>
                                                                        <w:left w:val="none" w:sz="0" w:space="0" w:color="auto"/>
                                                                        <w:bottom w:val="none" w:sz="0" w:space="0" w:color="auto"/>
                                                                        <w:right w:val="none" w:sz="0" w:space="0" w:color="auto"/>
                                                                      </w:divBdr>
                                                                      <w:divsChild>
                                                                        <w:div w:id="35930729">
                                                                          <w:marLeft w:val="0"/>
                                                                          <w:marRight w:val="0"/>
                                                                          <w:marTop w:val="0"/>
                                                                          <w:marBottom w:val="0"/>
                                                                          <w:divBdr>
                                                                            <w:top w:val="none" w:sz="0" w:space="0" w:color="auto"/>
                                                                            <w:left w:val="none" w:sz="0" w:space="0" w:color="auto"/>
                                                                            <w:bottom w:val="none" w:sz="0" w:space="0" w:color="auto"/>
                                                                            <w:right w:val="none" w:sz="0" w:space="0" w:color="auto"/>
                                                                          </w:divBdr>
                                                                          <w:divsChild>
                                                                            <w:div w:id="2001737910">
                                                                              <w:marLeft w:val="0"/>
                                                                              <w:marRight w:val="0"/>
                                                                              <w:marTop w:val="0"/>
                                                                              <w:marBottom w:val="0"/>
                                                                              <w:divBdr>
                                                                                <w:top w:val="none" w:sz="0" w:space="0" w:color="auto"/>
                                                                                <w:left w:val="none" w:sz="0" w:space="0" w:color="auto"/>
                                                                                <w:bottom w:val="none" w:sz="0" w:space="0" w:color="auto"/>
                                                                                <w:right w:val="none" w:sz="0" w:space="0" w:color="auto"/>
                                                                              </w:divBdr>
                                                                              <w:divsChild>
                                                                                <w:div w:id="21033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739057">
      <w:bodyDiv w:val="1"/>
      <w:marLeft w:val="0"/>
      <w:marRight w:val="0"/>
      <w:marTop w:val="0"/>
      <w:marBottom w:val="0"/>
      <w:divBdr>
        <w:top w:val="none" w:sz="0" w:space="0" w:color="auto"/>
        <w:left w:val="none" w:sz="0" w:space="0" w:color="auto"/>
        <w:bottom w:val="none" w:sz="0" w:space="0" w:color="auto"/>
        <w:right w:val="none" w:sz="0" w:space="0" w:color="auto"/>
      </w:divBdr>
    </w:div>
    <w:div w:id="1194001840">
      <w:bodyDiv w:val="1"/>
      <w:marLeft w:val="0"/>
      <w:marRight w:val="0"/>
      <w:marTop w:val="0"/>
      <w:marBottom w:val="0"/>
      <w:divBdr>
        <w:top w:val="none" w:sz="0" w:space="0" w:color="auto"/>
        <w:left w:val="none" w:sz="0" w:space="0" w:color="auto"/>
        <w:bottom w:val="none" w:sz="0" w:space="0" w:color="auto"/>
        <w:right w:val="none" w:sz="0" w:space="0" w:color="auto"/>
      </w:divBdr>
    </w:div>
    <w:div w:id="1217354717">
      <w:bodyDiv w:val="1"/>
      <w:marLeft w:val="0"/>
      <w:marRight w:val="0"/>
      <w:marTop w:val="0"/>
      <w:marBottom w:val="0"/>
      <w:divBdr>
        <w:top w:val="none" w:sz="0" w:space="0" w:color="auto"/>
        <w:left w:val="none" w:sz="0" w:space="0" w:color="auto"/>
        <w:bottom w:val="none" w:sz="0" w:space="0" w:color="auto"/>
        <w:right w:val="none" w:sz="0" w:space="0" w:color="auto"/>
      </w:divBdr>
    </w:div>
    <w:div w:id="1250695352">
      <w:bodyDiv w:val="1"/>
      <w:marLeft w:val="0"/>
      <w:marRight w:val="0"/>
      <w:marTop w:val="0"/>
      <w:marBottom w:val="0"/>
      <w:divBdr>
        <w:top w:val="none" w:sz="0" w:space="0" w:color="auto"/>
        <w:left w:val="none" w:sz="0" w:space="0" w:color="auto"/>
        <w:bottom w:val="none" w:sz="0" w:space="0" w:color="auto"/>
        <w:right w:val="none" w:sz="0" w:space="0" w:color="auto"/>
      </w:divBdr>
    </w:div>
    <w:div w:id="1327244823">
      <w:bodyDiv w:val="1"/>
      <w:marLeft w:val="0"/>
      <w:marRight w:val="0"/>
      <w:marTop w:val="0"/>
      <w:marBottom w:val="0"/>
      <w:divBdr>
        <w:top w:val="none" w:sz="0" w:space="0" w:color="auto"/>
        <w:left w:val="none" w:sz="0" w:space="0" w:color="auto"/>
        <w:bottom w:val="none" w:sz="0" w:space="0" w:color="auto"/>
        <w:right w:val="none" w:sz="0" w:space="0" w:color="auto"/>
      </w:divBdr>
    </w:div>
    <w:div w:id="1348023587">
      <w:bodyDiv w:val="1"/>
      <w:marLeft w:val="0"/>
      <w:marRight w:val="0"/>
      <w:marTop w:val="0"/>
      <w:marBottom w:val="0"/>
      <w:divBdr>
        <w:top w:val="none" w:sz="0" w:space="0" w:color="auto"/>
        <w:left w:val="none" w:sz="0" w:space="0" w:color="auto"/>
        <w:bottom w:val="none" w:sz="0" w:space="0" w:color="auto"/>
        <w:right w:val="none" w:sz="0" w:space="0" w:color="auto"/>
      </w:divBdr>
    </w:div>
    <w:div w:id="1382511277">
      <w:bodyDiv w:val="1"/>
      <w:marLeft w:val="0"/>
      <w:marRight w:val="0"/>
      <w:marTop w:val="0"/>
      <w:marBottom w:val="0"/>
      <w:divBdr>
        <w:top w:val="none" w:sz="0" w:space="0" w:color="auto"/>
        <w:left w:val="none" w:sz="0" w:space="0" w:color="auto"/>
        <w:bottom w:val="none" w:sz="0" w:space="0" w:color="auto"/>
        <w:right w:val="none" w:sz="0" w:space="0" w:color="auto"/>
      </w:divBdr>
    </w:div>
    <w:div w:id="1395859043">
      <w:bodyDiv w:val="1"/>
      <w:marLeft w:val="0"/>
      <w:marRight w:val="0"/>
      <w:marTop w:val="0"/>
      <w:marBottom w:val="0"/>
      <w:divBdr>
        <w:top w:val="none" w:sz="0" w:space="0" w:color="auto"/>
        <w:left w:val="none" w:sz="0" w:space="0" w:color="auto"/>
        <w:bottom w:val="none" w:sz="0" w:space="0" w:color="auto"/>
        <w:right w:val="none" w:sz="0" w:space="0" w:color="auto"/>
      </w:divBdr>
    </w:div>
    <w:div w:id="1426806098">
      <w:bodyDiv w:val="1"/>
      <w:marLeft w:val="0"/>
      <w:marRight w:val="0"/>
      <w:marTop w:val="0"/>
      <w:marBottom w:val="0"/>
      <w:divBdr>
        <w:top w:val="none" w:sz="0" w:space="0" w:color="auto"/>
        <w:left w:val="none" w:sz="0" w:space="0" w:color="auto"/>
        <w:bottom w:val="none" w:sz="0" w:space="0" w:color="auto"/>
        <w:right w:val="none" w:sz="0" w:space="0" w:color="auto"/>
      </w:divBdr>
    </w:div>
    <w:div w:id="1431779578">
      <w:bodyDiv w:val="1"/>
      <w:marLeft w:val="0"/>
      <w:marRight w:val="0"/>
      <w:marTop w:val="0"/>
      <w:marBottom w:val="0"/>
      <w:divBdr>
        <w:top w:val="none" w:sz="0" w:space="0" w:color="auto"/>
        <w:left w:val="none" w:sz="0" w:space="0" w:color="auto"/>
        <w:bottom w:val="none" w:sz="0" w:space="0" w:color="auto"/>
        <w:right w:val="none" w:sz="0" w:space="0" w:color="auto"/>
      </w:divBdr>
    </w:div>
    <w:div w:id="1439640044">
      <w:bodyDiv w:val="1"/>
      <w:marLeft w:val="0"/>
      <w:marRight w:val="0"/>
      <w:marTop w:val="0"/>
      <w:marBottom w:val="0"/>
      <w:divBdr>
        <w:top w:val="none" w:sz="0" w:space="0" w:color="auto"/>
        <w:left w:val="none" w:sz="0" w:space="0" w:color="auto"/>
        <w:bottom w:val="none" w:sz="0" w:space="0" w:color="auto"/>
        <w:right w:val="none" w:sz="0" w:space="0" w:color="auto"/>
      </w:divBdr>
      <w:divsChild>
        <w:div w:id="214977016">
          <w:marLeft w:val="360"/>
          <w:marRight w:val="0"/>
          <w:marTop w:val="200"/>
          <w:marBottom w:val="0"/>
          <w:divBdr>
            <w:top w:val="none" w:sz="0" w:space="0" w:color="auto"/>
            <w:left w:val="none" w:sz="0" w:space="0" w:color="auto"/>
            <w:bottom w:val="none" w:sz="0" w:space="0" w:color="auto"/>
            <w:right w:val="none" w:sz="0" w:space="0" w:color="auto"/>
          </w:divBdr>
        </w:div>
        <w:div w:id="958295309">
          <w:marLeft w:val="360"/>
          <w:marRight w:val="0"/>
          <w:marTop w:val="200"/>
          <w:marBottom w:val="0"/>
          <w:divBdr>
            <w:top w:val="none" w:sz="0" w:space="0" w:color="auto"/>
            <w:left w:val="none" w:sz="0" w:space="0" w:color="auto"/>
            <w:bottom w:val="none" w:sz="0" w:space="0" w:color="auto"/>
            <w:right w:val="none" w:sz="0" w:space="0" w:color="auto"/>
          </w:divBdr>
        </w:div>
      </w:divsChild>
    </w:div>
    <w:div w:id="1442147786">
      <w:bodyDiv w:val="1"/>
      <w:marLeft w:val="0"/>
      <w:marRight w:val="0"/>
      <w:marTop w:val="0"/>
      <w:marBottom w:val="0"/>
      <w:divBdr>
        <w:top w:val="none" w:sz="0" w:space="0" w:color="auto"/>
        <w:left w:val="none" w:sz="0" w:space="0" w:color="auto"/>
        <w:bottom w:val="none" w:sz="0" w:space="0" w:color="auto"/>
        <w:right w:val="none" w:sz="0" w:space="0" w:color="auto"/>
      </w:divBdr>
    </w:div>
    <w:div w:id="1444767445">
      <w:bodyDiv w:val="1"/>
      <w:marLeft w:val="0"/>
      <w:marRight w:val="0"/>
      <w:marTop w:val="0"/>
      <w:marBottom w:val="0"/>
      <w:divBdr>
        <w:top w:val="none" w:sz="0" w:space="0" w:color="auto"/>
        <w:left w:val="none" w:sz="0" w:space="0" w:color="auto"/>
        <w:bottom w:val="none" w:sz="0" w:space="0" w:color="auto"/>
        <w:right w:val="none" w:sz="0" w:space="0" w:color="auto"/>
      </w:divBdr>
    </w:div>
    <w:div w:id="1459762675">
      <w:bodyDiv w:val="1"/>
      <w:marLeft w:val="0"/>
      <w:marRight w:val="0"/>
      <w:marTop w:val="0"/>
      <w:marBottom w:val="0"/>
      <w:divBdr>
        <w:top w:val="none" w:sz="0" w:space="0" w:color="auto"/>
        <w:left w:val="none" w:sz="0" w:space="0" w:color="auto"/>
        <w:bottom w:val="none" w:sz="0" w:space="0" w:color="auto"/>
        <w:right w:val="none" w:sz="0" w:space="0" w:color="auto"/>
      </w:divBdr>
    </w:div>
    <w:div w:id="1465391836">
      <w:bodyDiv w:val="1"/>
      <w:marLeft w:val="0"/>
      <w:marRight w:val="0"/>
      <w:marTop w:val="0"/>
      <w:marBottom w:val="0"/>
      <w:divBdr>
        <w:top w:val="none" w:sz="0" w:space="0" w:color="auto"/>
        <w:left w:val="none" w:sz="0" w:space="0" w:color="auto"/>
        <w:bottom w:val="none" w:sz="0" w:space="0" w:color="auto"/>
        <w:right w:val="none" w:sz="0" w:space="0" w:color="auto"/>
      </w:divBdr>
    </w:div>
    <w:div w:id="1475100481">
      <w:bodyDiv w:val="1"/>
      <w:marLeft w:val="0"/>
      <w:marRight w:val="0"/>
      <w:marTop w:val="0"/>
      <w:marBottom w:val="0"/>
      <w:divBdr>
        <w:top w:val="none" w:sz="0" w:space="0" w:color="auto"/>
        <w:left w:val="none" w:sz="0" w:space="0" w:color="auto"/>
        <w:bottom w:val="none" w:sz="0" w:space="0" w:color="auto"/>
        <w:right w:val="none" w:sz="0" w:space="0" w:color="auto"/>
      </w:divBdr>
    </w:div>
    <w:div w:id="1500460611">
      <w:bodyDiv w:val="1"/>
      <w:marLeft w:val="0"/>
      <w:marRight w:val="0"/>
      <w:marTop w:val="0"/>
      <w:marBottom w:val="0"/>
      <w:divBdr>
        <w:top w:val="none" w:sz="0" w:space="0" w:color="auto"/>
        <w:left w:val="none" w:sz="0" w:space="0" w:color="auto"/>
        <w:bottom w:val="none" w:sz="0" w:space="0" w:color="auto"/>
        <w:right w:val="none" w:sz="0" w:space="0" w:color="auto"/>
      </w:divBdr>
    </w:div>
    <w:div w:id="1590384993">
      <w:bodyDiv w:val="1"/>
      <w:marLeft w:val="0"/>
      <w:marRight w:val="0"/>
      <w:marTop w:val="0"/>
      <w:marBottom w:val="0"/>
      <w:divBdr>
        <w:top w:val="none" w:sz="0" w:space="0" w:color="auto"/>
        <w:left w:val="none" w:sz="0" w:space="0" w:color="auto"/>
        <w:bottom w:val="none" w:sz="0" w:space="0" w:color="auto"/>
        <w:right w:val="none" w:sz="0" w:space="0" w:color="auto"/>
      </w:divBdr>
    </w:div>
    <w:div w:id="1632633329">
      <w:bodyDiv w:val="1"/>
      <w:marLeft w:val="0"/>
      <w:marRight w:val="0"/>
      <w:marTop w:val="0"/>
      <w:marBottom w:val="0"/>
      <w:divBdr>
        <w:top w:val="none" w:sz="0" w:space="0" w:color="auto"/>
        <w:left w:val="none" w:sz="0" w:space="0" w:color="auto"/>
        <w:bottom w:val="none" w:sz="0" w:space="0" w:color="auto"/>
        <w:right w:val="none" w:sz="0" w:space="0" w:color="auto"/>
      </w:divBdr>
    </w:div>
    <w:div w:id="1641304338">
      <w:bodyDiv w:val="1"/>
      <w:marLeft w:val="0"/>
      <w:marRight w:val="0"/>
      <w:marTop w:val="0"/>
      <w:marBottom w:val="0"/>
      <w:divBdr>
        <w:top w:val="none" w:sz="0" w:space="0" w:color="auto"/>
        <w:left w:val="none" w:sz="0" w:space="0" w:color="auto"/>
        <w:bottom w:val="none" w:sz="0" w:space="0" w:color="auto"/>
        <w:right w:val="none" w:sz="0" w:space="0" w:color="auto"/>
      </w:divBdr>
      <w:divsChild>
        <w:div w:id="1854495276">
          <w:marLeft w:val="360"/>
          <w:marRight w:val="0"/>
          <w:marTop w:val="200"/>
          <w:marBottom w:val="0"/>
          <w:divBdr>
            <w:top w:val="none" w:sz="0" w:space="0" w:color="auto"/>
            <w:left w:val="none" w:sz="0" w:space="0" w:color="auto"/>
            <w:bottom w:val="none" w:sz="0" w:space="0" w:color="auto"/>
            <w:right w:val="none" w:sz="0" w:space="0" w:color="auto"/>
          </w:divBdr>
        </w:div>
      </w:divsChild>
    </w:div>
    <w:div w:id="1665746541">
      <w:bodyDiv w:val="1"/>
      <w:marLeft w:val="0"/>
      <w:marRight w:val="0"/>
      <w:marTop w:val="0"/>
      <w:marBottom w:val="0"/>
      <w:divBdr>
        <w:top w:val="none" w:sz="0" w:space="0" w:color="auto"/>
        <w:left w:val="none" w:sz="0" w:space="0" w:color="auto"/>
        <w:bottom w:val="none" w:sz="0" w:space="0" w:color="auto"/>
        <w:right w:val="none" w:sz="0" w:space="0" w:color="auto"/>
      </w:divBdr>
      <w:divsChild>
        <w:div w:id="281809681">
          <w:marLeft w:val="0"/>
          <w:marRight w:val="0"/>
          <w:marTop w:val="0"/>
          <w:marBottom w:val="0"/>
          <w:divBdr>
            <w:top w:val="none" w:sz="0" w:space="0" w:color="auto"/>
            <w:left w:val="none" w:sz="0" w:space="0" w:color="auto"/>
            <w:bottom w:val="none" w:sz="0" w:space="0" w:color="auto"/>
            <w:right w:val="none" w:sz="0" w:space="0" w:color="auto"/>
          </w:divBdr>
          <w:divsChild>
            <w:div w:id="1275937180">
              <w:marLeft w:val="0"/>
              <w:marRight w:val="0"/>
              <w:marTop w:val="0"/>
              <w:marBottom w:val="0"/>
              <w:divBdr>
                <w:top w:val="none" w:sz="0" w:space="0" w:color="auto"/>
                <w:left w:val="none" w:sz="0" w:space="0" w:color="auto"/>
                <w:bottom w:val="none" w:sz="0" w:space="0" w:color="auto"/>
                <w:right w:val="none" w:sz="0" w:space="0" w:color="auto"/>
              </w:divBdr>
              <w:divsChild>
                <w:div w:id="1387991694">
                  <w:marLeft w:val="0"/>
                  <w:marRight w:val="0"/>
                  <w:marTop w:val="0"/>
                  <w:marBottom w:val="0"/>
                  <w:divBdr>
                    <w:top w:val="none" w:sz="0" w:space="0" w:color="auto"/>
                    <w:left w:val="none" w:sz="0" w:space="0" w:color="auto"/>
                    <w:bottom w:val="none" w:sz="0" w:space="0" w:color="auto"/>
                    <w:right w:val="none" w:sz="0" w:space="0" w:color="auto"/>
                  </w:divBdr>
                  <w:divsChild>
                    <w:div w:id="669143655">
                      <w:marLeft w:val="0"/>
                      <w:marRight w:val="0"/>
                      <w:marTop w:val="0"/>
                      <w:marBottom w:val="0"/>
                      <w:divBdr>
                        <w:top w:val="none" w:sz="0" w:space="0" w:color="auto"/>
                        <w:left w:val="none" w:sz="0" w:space="0" w:color="auto"/>
                        <w:bottom w:val="none" w:sz="0" w:space="0" w:color="auto"/>
                        <w:right w:val="none" w:sz="0" w:space="0" w:color="auto"/>
                      </w:divBdr>
                      <w:divsChild>
                        <w:div w:id="992681280">
                          <w:marLeft w:val="0"/>
                          <w:marRight w:val="0"/>
                          <w:marTop w:val="0"/>
                          <w:marBottom w:val="0"/>
                          <w:divBdr>
                            <w:top w:val="none" w:sz="0" w:space="0" w:color="auto"/>
                            <w:left w:val="none" w:sz="0" w:space="0" w:color="auto"/>
                            <w:bottom w:val="none" w:sz="0" w:space="0" w:color="auto"/>
                            <w:right w:val="none" w:sz="0" w:space="0" w:color="auto"/>
                          </w:divBdr>
                          <w:divsChild>
                            <w:div w:id="97033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625581">
      <w:bodyDiv w:val="1"/>
      <w:marLeft w:val="0"/>
      <w:marRight w:val="0"/>
      <w:marTop w:val="0"/>
      <w:marBottom w:val="0"/>
      <w:divBdr>
        <w:top w:val="none" w:sz="0" w:space="0" w:color="auto"/>
        <w:left w:val="none" w:sz="0" w:space="0" w:color="auto"/>
        <w:bottom w:val="none" w:sz="0" w:space="0" w:color="auto"/>
        <w:right w:val="none" w:sz="0" w:space="0" w:color="auto"/>
      </w:divBdr>
    </w:div>
    <w:div w:id="1778286330">
      <w:bodyDiv w:val="1"/>
      <w:marLeft w:val="0"/>
      <w:marRight w:val="0"/>
      <w:marTop w:val="0"/>
      <w:marBottom w:val="0"/>
      <w:divBdr>
        <w:top w:val="none" w:sz="0" w:space="0" w:color="auto"/>
        <w:left w:val="none" w:sz="0" w:space="0" w:color="auto"/>
        <w:bottom w:val="none" w:sz="0" w:space="0" w:color="auto"/>
        <w:right w:val="none" w:sz="0" w:space="0" w:color="auto"/>
      </w:divBdr>
    </w:div>
    <w:div w:id="1798982923">
      <w:bodyDiv w:val="1"/>
      <w:marLeft w:val="0"/>
      <w:marRight w:val="0"/>
      <w:marTop w:val="0"/>
      <w:marBottom w:val="0"/>
      <w:divBdr>
        <w:top w:val="none" w:sz="0" w:space="0" w:color="auto"/>
        <w:left w:val="none" w:sz="0" w:space="0" w:color="auto"/>
        <w:bottom w:val="none" w:sz="0" w:space="0" w:color="auto"/>
        <w:right w:val="none" w:sz="0" w:space="0" w:color="auto"/>
      </w:divBdr>
    </w:div>
    <w:div w:id="1868910602">
      <w:bodyDiv w:val="1"/>
      <w:marLeft w:val="0"/>
      <w:marRight w:val="0"/>
      <w:marTop w:val="0"/>
      <w:marBottom w:val="0"/>
      <w:divBdr>
        <w:top w:val="none" w:sz="0" w:space="0" w:color="auto"/>
        <w:left w:val="none" w:sz="0" w:space="0" w:color="auto"/>
        <w:bottom w:val="none" w:sz="0" w:space="0" w:color="auto"/>
        <w:right w:val="none" w:sz="0" w:space="0" w:color="auto"/>
      </w:divBdr>
    </w:div>
    <w:div w:id="1878155148">
      <w:bodyDiv w:val="1"/>
      <w:marLeft w:val="0"/>
      <w:marRight w:val="0"/>
      <w:marTop w:val="0"/>
      <w:marBottom w:val="0"/>
      <w:divBdr>
        <w:top w:val="none" w:sz="0" w:space="0" w:color="auto"/>
        <w:left w:val="none" w:sz="0" w:space="0" w:color="auto"/>
        <w:bottom w:val="none" w:sz="0" w:space="0" w:color="auto"/>
        <w:right w:val="none" w:sz="0" w:space="0" w:color="auto"/>
      </w:divBdr>
    </w:div>
    <w:div w:id="1916933036">
      <w:bodyDiv w:val="1"/>
      <w:marLeft w:val="0"/>
      <w:marRight w:val="0"/>
      <w:marTop w:val="0"/>
      <w:marBottom w:val="0"/>
      <w:divBdr>
        <w:top w:val="none" w:sz="0" w:space="0" w:color="auto"/>
        <w:left w:val="none" w:sz="0" w:space="0" w:color="auto"/>
        <w:bottom w:val="none" w:sz="0" w:space="0" w:color="auto"/>
        <w:right w:val="none" w:sz="0" w:space="0" w:color="auto"/>
      </w:divBdr>
    </w:div>
    <w:div w:id="1937596263">
      <w:bodyDiv w:val="1"/>
      <w:marLeft w:val="0"/>
      <w:marRight w:val="0"/>
      <w:marTop w:val="0"/>
      <w:marBottom w:val="0"/>
      <w:divBdr>
        <w:top w:val="none" w:sz="0" w:space="0" w:color="auto"/>
        <w:left w:val="none" w:sz="0" w:space="0" w:color="auto"/>
        <w:bottom w:val="none" w:sz="0" w:space="0" w:color="auto"/>
        <w:right w:val="none" w:sz="0" w:space="0" w:color="auto"/>
      </w:divBdr>
    </w:div>
    <w:div w:id="1941833032">
      <w:bodyDiv w:val="1"/>
      <w:marLeft w:val="0"/>
      <w:marRight w:val="0"/>
      <w:marTop w:val="0"/>
      <w:marBottom w:val="0"/>
      <w:divBdr>
        <w:top w:val="none" w:sz="0" w:space="0" w:color="auto"/>
        <w:left w:val="none" w:sz="0" w:space="0" w:color="auto"/>
        <w:bottom w:val="none" w:sz="0" w:space="0" w:color="auto"/>
        <w:right w:val="none" w:sz="0" w:space="0" w:color="auto"/>
      </w:divBdr>
    </w:div>
    <w:div w:id="1996254928">
      <w:bodyDiv w:val="1"/>
      <w:marLeft w:val="0"/>
      <w:marRight w:val="0"/>
      <w:marTop w:val="0"/>
      <w:marBottom w:val="0"/>
      <w:divBdr>
        <w:top w:val="none" w:sz="0" w:space="0" w:color="auto"/>
        <w:left w:val="none" w:sz="0" w:space="0" w:color="auto"/>
        <w:bottom w:val="none" w:sz="0" w:space="0" w:color="auto"/>
        <w:right w:val="none" w:sz="0" w:space="0" w:color="auto"/>
      </w:divBdr>
    </w:div>
    <w:div w:id="2029211151">
      <w:bodyDiv w:val="1"/>
      <w:marLeft w:val="0"/>
      <w:marRight w:val="0"/>
      <w:marTop w:val="0"/>
      <w:marBottom w:val="0"/>
      <w:divBdr>
        <w:top w:val="none" w:sz="0" w:space="0" w:color="auto"/>
        <w:left w:val="none" w:sz="0" w:space="0" w:color="auto"/>
        <w:bottom w:val="none" w:sz="0" w:space="0" w:color="auto"/>
        <w:right w:val="none" w:sz="0" w:space="0" w:color="auto"/>
      </w:divBdr>
    </w:div>
    <w:div w:id="2079553851">
      <w:bodyDiv w:val="1"/>
      <w:marLeft w:val="0"/>
      <w:marRight w:val="0"/>
      <w:marTop w:val="0"/>
      <w:marBottom w:val="0"/>
      <w:divBdr>
        <w:top w:val="none" w:sz="0" w:space="0" w:color="auto"/>
        <w:left w:val="none" w:sz="0" w:space="0" w:color="auto"/>
        <w:bottom w:val="none" w:sz="0" w:space="0" w:color="auto"/>
        <w:right w:val="none" w:sz="0" w:space="0" w:color="auto"/>
      </w:divBdr>
    </w:div>
    <w:div w:id="2090032758">
      <w:bodyDiv w:val="1"/>
      <w:marLeft w:val="0"/>
      <w:marRight w:val="0"/>
      <w:marTop w:val="0"/>
      <w:marBottom w:val="0"/>
      <w:divBdr>
        <w:top w:val="none" w:sz="0" w:space="0" w:color="auto"/>
        <w:left w:val="none" w:sz="0" w:space="0" w:color="auto"/>
        <w:bottom w:val="none" w:sz="0" w:space="0" w:color="auto"/>
        <w:right w:val="none" w:sz="0" w:space="0" w:color="auto"/>
      </w:divBdr>
    </w:div>
    <w:div w:id="2109228499">
      <w:bodyDiv w:val="1"/>
      <w:marLeft w:val="0"/>
      <w:marRight w:val="0"/>
      <w:marTop w:val="0"/>
      <w:marBottom w:val="0"/>
      <w:divBdr>
        <w:top w:val="none" w:sz="0" w:space="0" w:color="auto"/>
        <w:left w:val="none" w:sz="0" w:space="0" w:color="auto"/>
        <w:bottom w:val="none" w:sz="0" w:space="0" w:color="auto"/>
        <w:right w:val="none" w:sz="0" w:space="0" w:color="auto"/>
      </w:divBdr>
    </w:div>
    <w:div w:id="214526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upen.fi.cr" TargetMode="External"/><Relationship Id="rId18" Type="http://schemas.openxmlformats.org/officeDocument/2006/relationships/image" Target="media/image4.png"/><Relationship Id="rId26" Type="http://schemas.openxmlformats.org/officeDocument/2006/relationships/chart" Target="charts/chart1.xml"/><Relationship Id="rId39" Type="http://schemas.openxmlformats.org/officeDocument/2006/relationships/package" Target="embeddings/Microsoft_Excel_Worksheet9.xlsx"/><Relationship Id="rId21" Type="http://schemas.openxmlformats.org/officeDocument/2006/relationships/image" Target="media/image6.emf"/><Relationship Id="rId34" Type="http://schemas.openxmlformats.org/officeDocument/2006/relationships/image" Target="media/image14.emf"/><Relationship Id="rId42" Type="http://schemas.openxmlformats.org/officeDocument/2006/relationships/image" Target="media/image18.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emf"/><Relationship Id="rId29" Type="http://schemas.openxmlformats.org/officeDocument/2006/relationships/package" Target="embeddings/Microsoft_Excel_Worksheet5.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package" Target="embeddings/Microsoft_Excel_Worksheet4.xlsx"/><Relationship Id="rId32" Type="http://schemas.openxmlformats.org/officeDocument/2006/relationships/package" Target="embeddings/Microsoft_Excel_Worksheet6.xlsx"/><Relationship Id="rId37" Type="http://schemas.openxmlformats.org/officeDocument/2006/relationships/package" Target="embeddings/Microsoft_Excel_Worksheet8.xlsx"/><Relationship Id="rId40" Type="http://schemas.openxmlformats.org/officeDocument/2006/relationships/image" Target="media/image17.emf"/><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Excel_Worksheet.xlsx"/><Relationship Id="rId23" Type="http://schemas.openxmlformats.org/officeDocument/2006/relationships/image" Target="media/image7.emf"/><Relationship Id="rId28" Type="http://schemas.openxmlformats.org/officeDocument/2006/relationships/image" Target="media/image10.emf"/><Relationship Id="rId36" Type="http://schemas.openxmlformats.org/officeDocument/2006/relationships/image" Target="media/image15.emf"/><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image" Target="media/image12.emf"/><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package" Target="embeddings/Microsoft_Excel_Worksheet3.xlsx"/><Relationship Id="rId27" Type="http://schemas.openxmlformats.org/officeDocument/2006/relationships/image" Target="media/image9.png"/><Relationship Id="rId30" Type="http://schemas.openxmlformats.org/officeDocument/2006/relationships/image" Target="media/image11.png"/><Relationship Id="rId35" Type="http://schemas.openxmlformats.org/officeDocument/2006/relationships/package" Target="embeddings/Microsoft_Excel_Worksheet7.xlsx"/><Relationship Id="rId43" Type="http://schemas.openxmlformats.org/officeDocument/2006/relationships/package" Target="embeddings/Microsoft_Excel_Worksheet11.xlsx"/><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supen.fi.cr" TargetMode="External"/><Relationship Id="rId17" Type="http://schemas.openxmlformats.org/officeDocument/2006/relationships/package" Target="embeddings/Microsoft_Excel_Worksheet1.xlsx"/><Relationship Id="rId25" Type="http://schemas.openxmlformats.org/officeDocument/2006/relationships/image" Target="media/image8.emf"/><Relationship Id="rId33" Type="http://schemas.openxmlformats.org/officeDocument/2006/relationships/image" Target="media/image13.emf"/><Relationship Id="rId38" Type="http://schemas.openxmlformats.org/officeDocument/2006/relationships/image" Target="media/image16.emf"/><Relationship Id="rId46" Type="http://schemas.openxmlformats.org/officeDocument/2006/relationships/theme" Target="theme/theme1.xml"/><Relationship Id="rId20" Type="http://schemas.openxmlformats.org/officeDocument/2006/relationships/package" Target="embeddings/Microsoft_Excel_Worksheet2.xlsx"/><Relationship Id="rId41" Type="http://schemas.openxmlformats.org/officeDocument/2006/relationships/package" Target="embeddings/Microsoft_Excel_Worksheet10.xlsx"/></Relationships>
</file>

<file path=word/charts/_rels/chart1.xml.rels><?xml version="1.0" encoding="UTF-8" standalone="yes"?>
<Relationships xmlns="http://schemas.openxmlformats.org/package/2006/relationships"><Relationship Id="rId3" Type="http://schemas.openxmlformats.org/officeDocument/2006/relationships/oleObject" Target="file:///C:\Users\alvaradomr\Desktop\informe%20setiembre\RENTABILIDADtaol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[RENTABILIDADtaola.xlsx]Hoja5!TablaDinámica5</c:name>
    <c:fmtId val="-1"/>
  </c:pivotSource>
  <c:chart>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
        <c:idx val="6"/>
        <c:spPr>
          <a:solidFill>
            <a:schemeClr val="accent1"/>
          </a:solidFill>
          <a:ln w="28575" cap="rnd">
            <a:solidFill>
              <a:schemeClr val="accent1"/>
            </a:solidFill>
            <a:round/>
          </a:ln>
          <a:effectLst/>
        </c:spPr>
        <c:marker>
          <c:symbol val="none"/>
        </c:marker>
      </c:pivotFmt>
      <c:pivotFmt>
        <c:idx val="7"/>
        <c:spPr>
          <a:solidFill>
            <a:schemeClr val="accent1"/>
          </a:solidFill>
          <a:ln w="28575" cap="rnd">
            <a:solidFill>
              <a:schemeClr val="accent1"/>
            </a:solidFill>
            <a:round/>
          </a:ln>
          <a:effectLst/>
        </c:spPr>
        <c:marker>
          <c:symbol val="none"/>
        </c:marker>
      </c:pivotFmt>
      <c:pivotFmt>
        <c:idx val="8"/>
        <c:spPr>
          <a:solidFill>
            <a:schemeClr val="accent1"/>
          </a:solidFill>
          <a:ln w="28575" cap="rnd">
            <a:solidFill>
              <a:schemeClr val="accent1"/>
            </a:solidFill>
            <a:round/>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
        <c:idx val="15"/>
        <c:spPr>
          <a:solidFill>
            <a:schemeClr val="accent1"/>
          </a:solidFill>
          <a:ln w="28575" cap="rnd">
            <a:solidFill>
              <a:schemeClr val="accent1"/>
            </a:solidFill>
            <a:round/>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Hoja5!$B$31:$B$32</c:f>
              <c:strCache>
                <c:ptCount val="1"/>
                <c:pt idx="0">
                  <c:v>BN Vital</c:v>
                </c:pt>
              </c:strCache>
            </c:strRef>
          </c:tx>
          <c:spPr>
            <a:ln w="28575" cap="rnd">
              <a:solidFill>
                <a:schemeClr val="accent1"/>
              </a:solidFill>
              <a:round/>
            </a:ln>
            <a:effectLst/>
          </c:spPr>
          <c:marker>
            <c:symbol val="none"/>
          </c:marker>
          <c:cat>
            <c:strRef>
              <c:f>Hoja5!$A$33:$A$54</c:f>
              <c:strCache>
                <c:ptCount val="21"/>
                <c:pt idx="0">
                  <c:v>30/01/2017</c:v>
                </c:pt>
                <c:pt idx="1">
                  <c:v>28/02/2017</c:v>
                </c:pt>
                <c:pt idx="2">
                  <c:v>30/03/2017</c:v>
                </c:pt>
                <c:pt idx="3">
                  <c:v>30/04/2017</c:v>
                </c:pt>
                <c:pt idx="4">
                  <c:v>30/05/2017</c:v>
                </c:pt>
                <c:pt idx="5">
                  <c:v>30/06/2017</c:v>
                </c:pt>
                <c:pt idx="6">
                  <c:v>30/07/2017</c:v>
                </c:pt>
                <c:pt idx="7">
                  <c:v>30/08/2017</c:v>
                </c:pt>
                <c:pt idx="8">
                  <c:v>30/09/2017</c:v>
                </c:pt>
                <c:pt idx="9">
                  <c:v>30/10/2017</c:v>
                </c:pt>
                <c:pt idx="10">
                  <c:v>30/11/2017</c:v>
                </c:pt>
                <c:pt idx="11">
                  <c:v>31/12/2017</c:v>
                </c:pt>
                <c:pt idx="12">
                  <c:v>31/01/2018</c:v>
                </c:pt>
                <c:pt idx="13">
                  <c:v>28/02/2018</c:v>
                </c:pt>
                <c:pt idx="14">
                  <c:v>30/03/2018</c:v>
                </c:pt>
                <c:pt idx="15">
                  <c:v>30/04/2018</c:v>
                </c:pt>
                <c:pt idx="16">
                  <c:v>30/05/2018</c:v>
                </c:pt>
                <c:pt idx="17">
                  <c:v>30/06/2018</c:v>
                </c:pt>
                <c:pt idx="18">
                  <c:v>30/07/2018</c:v>
                </c:pt>
                <c:pt idx="19">
                  <c:v>30/08/2018</c:v>
                </c:pt>
                <c:pt idx="20">
                  <c:v>30/09/2018</c:v>
                </c:pt>
              </c:strCache>
            </c:strRef>
          </c:cat>
          <c:val>
            <c:numRef>
              <c:f>Hoja5!$B$33:$B$54</c:f>
              <c:numCache>
                <c:formatCode>_-* #,##0.00_-;\-* #,##0.00_-;_-* "-"_-;_-@_-</c:formatCode>
                <c:ptCount val="21"/>
                <c:pt idx="0">
                  <c:v>7.14</c:v>
                </c:pt>
                <c:pt idx="1">
                  <c:v>6.98</c:v>
                </c:pt>
                <c:pt idx="2">
                  <c:v>6.29</c:v>
                </c:pt>
                <c:pt idx="3">
                  <c:v>6.18</c:v>
                </c:pt>
                <c:pt idx="4">
                  <c:v>6.55</c:v>
                </c:pt>
                <c:pt idx="5">
                  <c:v>6.05</c:v>
                </c:pt>
                <c:pt idx="6">
                  <c:v>6.31</c:v>
                </c:pt>
                <c:pt idx="7">
                  <c:v>6.24</c:v>
                </c:pt>
                <c:pt idx="8">
                  <c:v>5.36</c:v>
                </c:pt>
                <c:pt idx="9">
                  <c:v>4.53</c:v>
                </c:pt>
                <c:pt idx="10">
                  <c:v>4.37</c:v>
                </c:pt>
                <c:pt idx="11">
                  <c:v>4.37</c:v>
                </c:pt>
                <c:pt idx="12">
                  <c:v>4.67</c:v>
                </c:pt>
                <c:pt idx="13">
                  <c:v>4.62</c:v>
                </c:pt>
                <c:pt idx="14">
                  <c:v>3.94</c:v>
                </c:pt>
                <c:pt idx="15">
                  <c:v>4.0999999999999996</c:v>
                </c:pt>
                <c:pt idx="16">
                  <c:v>4</c:v>
                </c:pt>
                <c:pt idx="17">
                  <c:v>4.25</c:v>
                </c:pt>
                <c:pt idx="18">
                  <c:v>4.42</c:v>
                </c:pt>
                <c:pt idx="19">
                  <c:v>4.47</c:v>
                </c:pt>
                <c:pt idx="20">
                  <c:v>4.88</c:v>
                </c:pt>
              </c:numCache>
            </c:numRef>
          </c:val>
          <c:smooth val="0"/>
          <c:extLst>
            <c:ext xmlns:c16="http://schemas.microsoft.com/office/drawing/2014/chart" uri="{C3380CC4-5D6E-409C-BE32-E72D297353CC}">
              <c16:uniqueId val="{00000000-4323-418E-9A07-3EBE2E0E1F32}"/>
            </c:ext>
          </c:extLst>
        </c:ser>
        <c:ser>
          <c:idx val="1"/>
          <c:order val="1"/>
          <c:tx>
            <c:strRef>
              <c:f>Hoja5!$C$31:$C$32</c:f>
              <c:strCache>
                <c:ptCount val="1"/>
                <c:pt idx="0">
                  <c:v>Popular Pensiones</c:v>
                </c:pt>
              </c:strCache>
            </c:strRef>
          </c:tx>
          <c:spPr>
            <a:ln w="28575" cap="rnd">
              <a:solidFill>
                <a:schemeClr val="accent2"/>
              </a:solidFill>
              <a:round/>
            </a:ln>
            <a:effectLst/>
          </c:spPr>
          <c:marker>
            <c:symbol val="none"/>
          </c:marker>
          <c:cat>
            <c:strRef>
              <c:f>Hoja5!$A$33:$A$54</c:f>
              <c:strCache>
                <c:ptCount val="21"/>
                <c:pt idx="0">
                  <c:v>30/01/2017</c:v>
                </c:pt>
                <c:pt idx="1">
                  <c:v>28/02/2017</c:v>
                </c:pt>
                <c:pt idx="2">
                  <c:v>30/03/2017</c:v>
                </c:pt>
                <c:pt idx="3">
                  <c:v>30/04/2017</c:v>
                </c:pt>
                <c:pt idx="4">
                  <c:v>30/05/2017</c:v>
                </c:pt>
                <c:pt idx="5">
                  <c:v>30/06/2017</c:v>
                </c:pt>
                <c:pt idx="6">
                  <c:v>30/07/2017</c:v>
                </c:pt>
                <c:pt idx="7">
                  <c:v>30/08/2017</c:v>
                </c:pt>
                <c:pt idx="8">
                  <c:v>30/09/2017</c:v>
                </c:pt>
                <c:pt idx="9">
                  <c:v>30/10/2017</c:v>
                </c:pt>
                <c:pt idx="10">
                  <c:v>30/11/2017</c:v>
                </c:pt>
                <c:pt idx="11">
                  <c:v>31/12/2017</c:v>
                </c:pt>
                <c:pt idx="12">
                  <c:v>31/01/2018</c:v>
                </c:pt>
                <c:pt idx="13">
                  <c:v>28/02/2018</c:v>
                </c:pt>
                <c:pt idx="14">
                  <c:v>30/03/2018</c:v>
                </c:pt>
                <c:pt idx="15">
                  <c:v>30/04/2018</c:v>
                </c:pt>
                <c:pt idx="16">
                  <c:v>30/05/2018</c:v>
                </c:pt>
                <c:pt idx="17">
                  <c:v>30/06/2018</c:v>
                </c:pt>
                <c:pt idx="18">
                  <c:v>30/07/2018</c:v>
                </c:pt>
                <c:pt idx="19">
                  <c:v>30/08/2018</c:v>
                </c:pt>
                <c:pt idx="20">
                  <c:v>30/09/2018</c:v>
                </c:pt>
              </c:strCache>
            </c:strRef>
          </c:cat>
          <c:val>
            <c:numRef>
              <c:f>Hoja5!$C$33:$C$54</c:f>
              <c:numCache>
                <c:formatCode>_-* #,##0.00_-;\-* #,##0.00_-;_-* "-"_-;_-@_-</c:formatCode>
                <c:ptCount val="21"/>
                <c:pt idx="0">
                  <c:v>7.1</c:v>
                </c:pt>
                <c:pt idx="1">
                  <c:v>7.43</c:v>
                </c:pt>
                <c:pt idx="2">
                  <c:v>6.19</c:v>
                </c:pt>
                <c:pt idx="3">
                  <c:v>5.75</c:v>
                </c:pt>
                <c:pt idx="4">
                  <c:v>6.4</c:v>
                </c:pt>
                <c:pt idx="5">
                  <c:v>5.87</c:v>
                </c:pt>
                <c:pt idx="6">
                  <c:v>5.83</c:v>
                </c:pt>
                <c:pt idx="7">
                  <c:v>5.03</c:v>
                </c:pt>
                <c:pt idx="8">
                  <c:v>4.05</c:v>
                </c:pt>
                <c:pt idx="9">
                  <c:v>3.41</c:v>
                </c:pt>
                <c:pt idx="10">
                  <c:v>3.45</c:v>
                </c:pt>
                <c:pt idx="11">
                  <c:v>3.51</c:v>
                </c:pt>
                <c:pt idx="12">
                  <c:v>4.0999999999999996</c:v>
                </c:pt>
                <c:pt idx="13">
                  <c:v>3.59</c:v>
                </c:pt>
                <c:pt idx="14">
                  <c:v>2.73</c:v>
                </c:pt>
                <c:pt idx="15">
                  <c:v>2.5</c:v>
                </c:pt>
                <c:pt idx="16">
                  <c:v>2.4700000000000002</c:v>
                </c:pt>
                <c:pt idx="17">
                  <c:v>2.84</c:v>
                </c:pt>
                <c:pt idx="18">
                  <c:v>3.23</c:v>
                </c:pt>
                <c:pt idx="19">
                  <c:v>3.97</c:v>
                </c:pt>
                <c:pt idx="20">
                  <c:v>4.6900000000000004</c:v>
                </c:pt>
              </c:numCache>
            </c:numRef>
          </c:val>
          <c:smooth val="0"/>
          <c:extLst>
            <c:ext xmlns:c16="http://schemas.microsoft.com/office/drawing/2014/chart" uri="{C3380CC4-5D6E-409C-BE32-E72D297353CC}">
              <c16:uniqueId val="{00000001-4323-418E-9A07-3EBE2E0E1F32}"/>
            </c:ext>
          </c:extLst>
        </c:ser>
        <c:ser>
          <c:idx val="2"/>
          <c:order val="2"/>
          <c:tx>
            <c:strRef>
              <c:f>Hoja5!$D$31:$D$32</c:f>
              <c:strCache>
                <c:ptCount val="1"/>
                <c:pt idx="0">
                  <c:v>Vida Plena</c:v>
                </c:pt>
              </c:strCache>
            </c:strRef>
          </c:tx>
          <c:spPr>
            <a:ln w="28575" cap="rnd">
              <a:solidFill>
                <a:schemeClr val="accent3"/>
              </a:solidFill>
              <a:round/>
            </a:ln>
            <a:effectLst/>
          </c:spPr>
          <c:marker>
            <c:symbol val="none"/>
          </c:marker>
          <c:cat>
            <c:strRef>
              <c:f>Hoja5!$A$33:$A$54</c:f>
              <c:strCache>
                <c:ptCount val="21"/>
                <c:pt idx="0">
                  <c:v>30/01/2017</c:v>
                </c:pt>
                <c:pt idx="1">
                  <c:v>28/02/2017</c:v>
                </c:pt>
                <c:pt idx="2">
                  <c:v>30/03/2017</c:v>
                </c:pt>
                <c:pt idx="3">
                  <c:v>30/04/2017</c:v>
                </c:pt>
                <c:pt idx="4">
                  <c:v>30/05/2017</c:v>
                </c:pt>
                <c:pt idx="5">
                  <c:v>30/06/2017</c:v>
                </c:pt>
                <c:pt idx="6">
                  <c:v>30/07/2017</c:v>
                </c:pt>
                <c:pt idx="7">
                  <c:v>30/08/2017</c:v>
                </c:pt>
                <c:pt idx="8">
                  <c:v>30/09/2017</c:v>
                </c:pt>
                <c:pt idx="9">
                  <c:v>30/10/2017</c:v>
                </c:pt>
                <c:pt idx="10">
                  <c:v>30/11/2017</c:v>
                </c:pt>
                <c:pt idx="11">
                  <c:v>31/12/2017</c:v>
                </c:pt>
                <c:pt idx="12">
                  <c:v>31/01/2018</c:v>
                </c:pt>
                <c:pt idx="13">
                  <c:v>28/02/2018</c:v>
                </c:pt>
                <c:pt idx="14">
                  <c:v>30/03/2018</c:v>
                </c:pt>
                <c:pt idx="15">
                  <c:v>30/04/2018</c:v>
                </c:pt>
                <c:pt idx="16">
                  <c:v>30/05/2018</c:v>
                </c:pt>
                <c:pt idx="17">
                  <c:v>30/06/2018</c:v>
                </c:pt>
                <c:pt idx="18">
                  <c:v>30/07/2018</c:v>
                </c:pt>
                <c:pt idx="19">
                  <c:v>30/08/2018</c:v>
                </c:pt>
                <c:pt idx="20">
                  <c:v>30/09/2018</c:v>
                </c:pt>
              </c:strCache>
            </c:strRef>
          </c:cat>
          <c:val>
            <c:numRef>
              <c:f>Hoja5!$D$33:$D$54</c:f>
              <c:numCache>
                <c:formatCode>_-* #,##0.00_-;\-* #,##0.00_-;_-* "-"_-;_-@_-</c:formatCode>
                <c:ptCount val="21"/>
                <c:pt idx="0">
                  <c:v>6.51</c:v>
                </c:pt>
                <c:pt idx="1">
                  <c:v>6.52</c:v>
                </c:pt>
                <c:pt idx="2">
                  <c:v>5.63</c:v>
                </c:pt>
                <c:pt idx="3">
                  <c:v>5.78</c:v>
                </c:pt>
                <c:pt idx="4">
                  <c:v>6.35</c:v>
                </c:pt>
                <c:pt idx="5">
                  <c:v>6</c:v>
                </c:pt>
                <c:pt idx="6">
                  <c:v>6.44</c:v>
                </c:pt>
                <c:pt idx="7">
                  <c:v>6.63</c:v>
                </c:pt>
                <c:pt idx="8">
                  <c:v>5.83</c:v>
                </c:pt>
                <c:pt idx="9">
                  <c:v>5.15</c:v>
                </c:pt>
                <c:pt idx="10">
                  <c:v>4.92</c:v>
                </c:pt>
                <c:pt idx="11">
                  <c:v>4.96</c:v>
                </c:pt>
                <c:pt idx="12">
                  <c:v>5.36</c:v>
                </c:pt>
                <c:pt idx="13">
                  <c:v>5.41</c:v>
                </c:pt>
                <c:pt idx="14">
                  <c:v>4.84</c:v>
                </c:pt>
                <c:pt idx="15">
                  <c:v>4.96</c:v>
                </c:pt>
                <c:pt idx="16">
                  <c:v>5.0999999999999996</c:v>
                </c:pt>
                <c:pt idx="17">
                  <c:v>5.39</c:v>
                </c:pt>
                <c:pt idx="18">
                  <c:v>5.41</c:v>
                </c:pt>
                <c:pt idx="19">
                  <c:v>5.28</c:v>
                </c:pt>
                <c:pt idx="20">
                  <c:v>5.52</c:v>
                </c:pt>
              </c:numCache>
            </c:numRef>
          </c:val>
          <c:smooth val="0"/>
          <c:extLst>
            <c:ext xmlns:c16="http://schemas.microsoft.com/office/drawing/2014/chart" uri="{C3380CC4-5D6E-409C-BE32-E72D297353CC}">
              <c16:uniqueId val="{00000002-4323-418E-9A07-3EBE2E0E1F32}"/>
            </c:ext>
          </c:extLst>
        </c:ser>
        <c:ser>
          <c:idx val="3"/>
          <c:order val="3"/>
          <c:tx>
            <c:strRef>
              <c:f>Hoja5!$E$31:$E$32</c:f>
              <c:strCache>
                <c:ptCount val="1"/>
                <c:pt idx="0">
                  <c:v>BAC SJ Pensiones</c:v>
                </c:pt>
              </c:strCache>
            </c:strRef>
          </c:tx>
          <c:spPr>
            <a:ln w="28575" cap="rnd">
              <a:solidFill>
                <a:schemeClr val="accent4"/>
              </a:solidFill>
              <a:round/>
            </a:ln>
            <a:effectLst/>
          </c:spPr>
          <c:marker>
            <c:symbol val="none"/>
          </c:marker>
          <c:cat>
            <c:strRef>
              <c:f>Hoja5!$A$33:$A$54</c:f>
              <c:strCache>
                <c:ptCount val="21"/>
                <c:pt idx="0">
                  <c:v>30/01/2017</c:v>
                </c:pt>
                <c:pt idx="1">
                  <c:v>28/02/2017</c:v>
                </c:pt>
                <c:pt idx="2">
                  <c:v>30/03/2017</c:v>
                </c:pt>
                <c:pt idx="3">
                  <c:v>30/04/2017</c:v>
                </c:pt>
                <c:pt idx="4">
                  <c:v>30/05/2017</c:v>
                </c:pt>
                <c:pt idx="5">
                  <c:v>30/06/2017</c:v>
                </c:pt>
                <c:pt idx="6">
                  <c:v>30/07/2017</c:v>
                </c:pt>
                <c:pt idx="7">
                  <c:v>30/08/2017</c:v>
                </c:pt>
                <c:pt idx="8">
                  <c:v>30/09/2017</c:v>
                </c:pt>
                <c:pt idx="9">
                  <c:v>30/10/2017</c:v>
                </c:pt>
                <c:pt idx="10">
                  <c:v>30/11/2017</c:v>
                </c:pt>
                <c:pt idx="11">
                  <c:v>31/12/2017</c:v>
                </c:pt>
                <c:pt idx="12">
                  <c:v>31/01/2018</c:v>
                </c:pt>
                <c:pt idx="13">
                  <c:v>28/02/2018</c:v>
                </c:pt>
                <c:pt idx="14">
                  <c:v>30/03/2018</c:v>
                </c:pt>
                <c:pt idx="15">
                  <c:v>30/04/2018</c:v>
                </c:pt>
                <c:pt idx="16">
                  <c:v>30/05/2018</c:v>
                </c:pt>
                <c:pt idx="17">
                  <c:v>30/06/2018</c:v>
                </c:pt>
                <c:pt idx="18">
                  <c:v>30/07/2018</c:v>
                </c:pt>
                <c:pt idx="19">
                  <c:v>30/08/2018</c:v>
                </c:pt>
                <c:pt idx="20">
                  <c:v>30/09/2018</c:v>
                </c:pt>
              </c:strCache>
            </c:strRef>
          </c:cat>
          <c:val>
            <c:numRef>
              <c:f>Hoja5!$E$33:$E$54</c:f>
              <c:numCache>
                <c:formatCode>_-* #,##0.00_-;\-* #,##0.00_-;_-* "-"_-;_-@_-</c:formatCode>
                <c:ptCount val="21"/>
                <c:pt idx="0">
                  <c:v>6.11</c:v>
                </c:pt>
                <c:pt idx="1">
                  <c:v>5.77</c:v>
                </c:pt>
                <c:pt idx="2">
                  <c:v>5.01</c:v>
                </c:pt>
                <c:pt idx="3">
                  <c:v>4.92</c:v>
                </c:pt>
                <c:pt idx="4">
                  <c:v>5.22</c:v>
                </c:pt>
                <c:pt idx="5">
                  <c:v>4.9400000000000004</c:v>
                </c:pt>
                <c:pt idx="6">
                  <c:v>5.42</c:v>
                </c:pt>
                <c:pt idx="7">
                  <c:v>5.12</c:v>
                </c:pt>
                <c:pt idx="8">
                  <c:v>3.97</c:v>
                </c:pt>
                <c:pt idx="9">
                  <c:v>3.08</c:v>
                </c:pt>
                <c:pt idx="10">
                  <c:v>2.77</c:v>
                </c:pt>
                <c:pt idx="11">
                  <c:v>2.93</c:v>
                </c:pt>
                <c:pt idx="12">
                  <c:v>3.56</c:v>
                </c:pt>
                <c:pt idx="13">
                  <c:v>3.65</c:v>
                </c:pt>
                <c:pt idx="14">
                  <c:v>3.13</c:v>
                </c:pt>
                <c:pt idx="15">
                  <c:v>3.14</c:v>
                </c:pt>
                <c:pt idx="16">
                  <c:v>3.3</c:v>
                </c:pt>
                <c:pt idx="17">
                  <c:v>3.59</c:v>
                </c:pt>
                <c:pt idx="18">
                  <c:v>3.58</c:v>
                </c:pt>
                <c:pt idx="19">
                  <c:v>3.82</c:v>
                </c:pt>
                <c:pt idx="20">
                  <c:v>4.5999999999999996</c:v>
                </c:pt>
              </c:numCache>
            </c:numRef>
          </c:val>
          <c:smooth val="0"/>
          <c:extLst>
            <c:ext xmlns:c16="http://schemas.microsoft.com/office/drawing/2014/chart" uri="{C3380CC4-5D6E-409C-BE32-E72D297353CC}">
              <c16:uniqueId val="{00000003-4323-418E-9A07-3EBE2E0E1F32}"/>
            </c:ext>
          </c:extLst>
        </c:ser>
        <c:ser>
          <c:idx val="4"/>
          <c:order val="4"/>
          <c:tx>
            <c:strRef>
              <c:f>Hoja5!$F$31:$F$32</c:f>
              <c:strCache>
                <c:ptCount val="1"/>
                <c:pt idx="0">
                  <c:v>BCR Pensión</c:v>
                </c:pt>
              </c:strCache>
            </c:strRef>
          </c:tx>
          <c:spPr>
            <a:ln w="28575" cap="rnd">
              <a:solidFill>
                <a:schemeClr val="accent5"/>
              </a:solidFill>
              <a:round/>
            </a:ln>
            <a:effectLst/>
          </c:spPr>
          <c:marker>
            <c:symbol val="none"/>
          </c:marker>
          <c:cat>
            <c:strRef>
              <c:f>Hoja5!$A$33:$A$54</c:f>
              <c:strCache>
                <c:ptCount val="21"/>
                <c:pt idx="0">
                  <c:v>30/01/2017</c:v>
                </c:pt>
                <c:pt idx="1">
                  <c:v>28/02/2017</c:v>
                </c:pt>
                <c:pt idx="2">
                  <c:v>30/03/2017</c:v>
                </c:pt>
                <c:pt idx="3">
                  <c:v>30/04/2017</c:v>
                </c:pt>
                <c:pt idx="4">
                  <c:v>30/05/2017</c:v>
                </c:pt>
                <c:pt idx="5">
                  <c:v>30/06/2017</c:v>
                </c:pt>
                <c:pt idx="6">
                  <c:v>30/07/2017</c:v>
                </c:pt>
                <c:pt idx="7">
                  <c:v>30/08/2017</c:v>
                </c:pt>
                <c:pt idx="8">
                  <c:v>30/09/2017</c:v>
                </c:pt>
                <c:pt idx="9">
                  <c:v>30/10/2017</c:v>
                </c:pt>
                <c:pt idx="10">
                  <c:v>30/11/2017</c:v>
                </c:pt>
                <c:pt idx="11">
                  <c:v>31/12/2017</c:v>
                </c:pt>
                <c:pt idx="12">
                  <c:v>31/01/2018</c:v>
                </c:pt>
                <c:pt idx="13">
                  <c:v>28/02/2018</c:v>
                </c:pt>
                <c:pt idx="14">
                  <c:v>30/03/2018</c:v>
                </c:pt>
                <c:pt idx="15">
                  <c:v>30/04/2018</c:v>
                </c:pt>
                <c:pt idx="16">
                  <c:v>30/05/2018</c:v>
                </c:pt>
                <c:pt idx="17">
                  <c:v>30/06/2018</c:v>
                </c:pt>
                <c:pt idx="18">
                  <c:v>30/07/2018</c:v>
                </c:pt>
                <c:pt idx="19">
                  <c:v>30/08/2018</c:v>
                </c:pt>
                <c:pt idx="20">
                  <c:v>30/09/2018</c:v>
                </c:pt>
              </c:strCache>
            </c:strRef>
          </c:cat>
          <c:val>
            <c:numRef>
              <c:f>Hoja5!$F$33:$F$54</c:f>
              <c:numCache>
                <c:formatCode>_-* #,##0.00_-;\-* #,##0.00_-;_-* "-"_-;_-@_-</c:formatCode>
                <c:ptCount val="21"/>
                <c:pt idx="0">
                  <c:v>6.93</c:v>
                </c:pt>
                <c:pt idx="1">
                  <c:v>6.54</c:v>
                </c:pt>
                <c:pt idx="2">
                  <c:v>5.63</c:v>
                </c:pt>
                <c:pt idx="3">
                  <c:v>5.51</c:v>
                </c:pt>
                <c:pt idx="4">
                  <c:v>5.82</c:v>
                </c:pt>
                <c:pt idx="5">
                  <c:v>5.29</c:v>
                </c:pt>
                <c:pt idx="6">
                  <c:v>5.66</c:v>
                </c:pt>
                <c:pt idx="7">
                  <c:v>5.69</c:v>
                </c:pt>
                <c:pt idx="8">
                  <c:v>4.79</c:v>
                </c:pt>
                <c:pt idx="9">
                  <c:v>3.92</c:v>
                </c:pt>
                <c:pt idx="10">
                  <c:v>3.57</c:v>
                </c:pt>
                <c:pt idx="11">
                  <c:v>3.59</c:v>
                </c:pt>
                <c:pt idx="12">
                  <c:v>3.91</c:v>
                </c:pt>
                <c:pt idx="13">
                  <c:v>4.04</c:v>
                </c:pt>
                <c:pt idx="14">
                  <c:v>3.59</c:v>
                </c:pt>
                <c:pt idx="15">
                  <c:v>3.63</c:v>
                </c:pt>
                <c:pt idx="16">
                  <c:v>3.67</c:v>
                </c:pt>
                <c:pt idx="17">
                  <c:v>4.1399999999999997</c:v>
                </c:pt>
                <c:pt idx="18">
                  <c:v>4.3099999999999996</c:v>
                </c:pt>
                <c:pt idx="19">
                  <c:v>4.17</c:v>
                </c:pt>
                <c:pt idx="20">
                  <c:v>4.4000000000000004</c:v>
                </c:pt>
              </c:numCache>
            </c:numRef>
          </c:val>
          <c:smooth val="0"/>
          <c:extLst>
            <c:ext xmlns:c16="http://schemas.microsoft.com/office/drawing/2014/chart" uri="{C3380CC4-5D6E-409C-BE32-E72D297353CC}">
              <c16:uniqueId val="{00000004-4323-418E-9A07-3EBE2E0E1F32}"/>
            </c:ext>
          </c:extLst>
        </c:ser>
        <c:ser>
          <c:idx val="5"/>
          <c:order val="5"/>
          <c:tx>
            <c:strRef>
              <c:f>Hoja5!$G$31:$G$32</c:f>
              <c:strCache>
                <c:ptCount val="1"/>
                <c:pt idx="0">
                  <c:v>CCSS-OPC</c:v>
                </c:pt>
              </c:strCache>
            </c:strRef>
          </c:tx>
          <c:spPr>
            <a:ln w="28575" cap="rnd">
              <a:solidFill>
                <a:schemeClr val="accent6"/>
              </a:solidFill>
              <a:round/>
            </a:ln>
            <a:effectLst/>
          </c:spPr>
          <c:marker>
            <c:symbol val="none"/>
          </c:marker>
          <c:cat>
            <c:strRef>
              <c:f>Hoja5!$A$33:$A$54</c:f>
              <c:strCache>
                <c:ptCount val="21"/>
                <c:pt idx="0">
                  <c:v>30/01/2017</c:v>
                </c:pt>
                <c:pt idx="1">
                  <c:v>28/02/2017</c:v>
                </c:pt>
                <c:pt idx="2">
                  <c:v>30/03/2017</c:v>
                </c:pt>
                <c:pt idx="3">
                  <c:v>30/04/2017</c:v>
                </c:pt>
                <c:pt idx="4">
                  <c:v>30/05/2017</c:v>
                </c:pt>
                <c:pt idx="5">
                  <c:v>30/06/2017</c:v>
                </c:pt>
                <c:pt idx="6">
                  <c:v>30/07/2017</c:v>
                </c:pt>
                <c:pt idx="7">
                  <c:v>30/08/2017</c:v>
                </c:pt>
                <c:pt idx="8">
                  <c:v>30/09/2017</c:v>
                </c:pt>
                <c:pt idx="9">
                  <c:v>30/10/2017</c:v>
                </c:pt>
                <c:pt idx="10">
                  <c:v>30/11/2017</c:v>
                </c:pt>
                <c:pt idx="11">
                  <c:v>31/12/2017</c:v>
                </c:pt>
                <c:pt idx="12">
                  <c:v>31/01/2018</c:v>
                </c:pt>
                <c:pt idx="13">
                  <c:v>28/02/2018</c:v>
                </c:pt>
                <c:pt idx="14">
                  <c:v>30/03/2018</c:v>
                </c:pt>
                <c:pt idx="15">
                  <c:v>30/04/2018</c:v>
                </c:pt>
                <c:pt idx="16">
                  <c:v>30/05/2018</c:v>
                </c:pt>
                <c:pt idx="17">
                  <c:v>30/06/2018</c:v>
                </c:pt>
                <c:pt idx="18">
                  <c:v>30/07/2018</c:v>
                </c:pt>
                <c:pt idx="19">
                  <c:v>30/08/2018</c:v>
                </c:pt>
                <c:pt idx="20">
                  <c:v>30/09/2018</c:v>
                </c:pt>
              </c:strCache>
            </c:strRef>
          </c:cat>
          <c:val>
            <c:numRef>
              <c:f>Hoja5!$G$33:$G$54</c:f>
              <c:numCache>
                <c:formatCode>_-* #,##0.00_-;\-* #,##0.00_-;_-* "-"_-;_-@_-</c:formatCode>
                <c:ptCount val="21"/>
                <c:pt idx="0">
                  <c:v>8.36</c:v>
                </c:pt>
                <c:pt idx="1">
                  <c:v>8.56</c:v>
                </c:pt>
                <c:pt idx="2">
                  <c:v>7.5</c:v>
                </c:pt>
                <c:pt idx="3">
                  <c:v>7.03</c:v>
                </c:pt>
                <c:pt idx="4">
                  <c:v>7.7</c:v>
                </c:pt>
                <c:pt idx="5">
                  <c:v>7.17</c:v>
                </c:pt>
                <c:pt idx="6">
                  <c:v>7.47</c:v>
                </c:pt>
                <c:pt idx="7">
                  <c:v>6.94</c:v>
                </c:pt>
                <c:pt idx="8">
                  <c:v>5.69</c:v>
                </c:pt>
                <c:pt idx="9">
                  <c:v>4.72</c:v>
                </c:pt>
                <c:pt idx="10">
                  <c:v>4.3</c:v>
                </c:pt>
                <c:pt idx="11">
                  <c:v>4.47</c:v>
                </c:pt>
                <c:pt idx="12">
                  <c:v>5.08</c:v>
                </c:pt>
                <c:pt idx="13">
                  <c:v>4.6900000000000004</c:v>
                </c:pt>
                <c:pt idx="14">
                  <c:v>4.01</c:v>
                </c:pt>
                <c:pt idx="15">
                  <c:v>3.68</c:v>
                </c:pt>
                <c:pt idx="16">
                  <c:v>3.22</c:v>
                </c:pt>
                <c:pt idx="17">
                  <c:v>3.52</c:v>
                </c:pt>
                <c:pt idx="18">
                  <c:v>3.58</c:v>
                </c:pt>
                <c:pt idx="19">
                  <c:v>3.97</c:v>
                </c:pt>
                <c:pt idx="20">
                  <c:v>4.62</c:v>
                </c:pt>
              </c:numCache>
            </c:numRef>
          </c:val>
          <c:smooth val="0"/>
          <c:extLst>
            <c:ext xmlns:c16="http://schemas.microsoft.com/office/drawing/2014/chart" uri="{C3380CC4-5D6E-409C-BE32-E72D297353CC}">
              <c16:uniqueId val="{00000005-4323-418E-9A07-3EBE2E0E1F32}"/>
            </c:ext>
          </c:extLst>
        </c:ser>
        <c:dLbls>
          <c:showLegendKey val="0"/>
          <c:showVal val="0"/>
          <c:showCatName val="0"/>
          <c:showSerName val="0"/>
          <c:showPercent val="0"/>
          <c:showBubbleSize val="0"/>
        </c:dLbls>
        <c:smooth val="0"/>
        <c:axId val="654728560"/>
        <c:axId val="1043187712"/>
      </c:lineChart>
      <c:catAx>
        <c:axId val="654728560"/>
        <c:scaling>
          <c:orientation val="minMax"/>
        </c:scaling>
        <c:delete val="0"/>
        <c:axPos val="b"/>
        <c:numFmt formatCode="mm/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R"/>
          </a:p>
        </c:txPr>
        <c:crossAx val="1043187712"/>
        <c:crosses val="autoZero"/>
        <c:auto val="1"/>
        <c:lblAlgn val="ctr"/>
        <c:lblOffset val="100"/>
        <c:tickLblSkip val="4"/>
        <c:tickMarkSkip val="1"/>
        <c:noMultiLvlLbl val="0"/>
      </c:catAx>
      <c:valAx>
        <c:axId val="1043187712"/>
        <c:scaling>
          <c:orientation val="minMax"/>
          <c:min val="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R"/>
                  <a:t>Porcentaje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R"/>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65472856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extLst>
    <c:ext xmlns:c14="http://schemas.microsoft.com/office/drawing/2007/8/2/chart" uri="{781A3756-C4B2-4CAC-9D66-4F8BD8637D16}">
      <c14:pivotOptions>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2AB0DC814BF8D4DA8F53531F2584D5A" ma:contentTypeVersion="13" ma:contentTypeDescription="Crear nuevo documento." ma:contentTypeScope="" ma:versionID="7991db3c705c75602d8717f84570625d">
  <xsd:schema xmlns:xsd="http://www.w3.org/2001/XMLSchema" xmlns:xs="http://www.w3.org/2001/XMLSchema" xmlns:p="http://schemas.microsoft.com/office/2006/metadata/properties" xmlns:ns2="abcd77d0-6cc8-47bc-9c9c-502c201b5bcf" xmlns:ns3="0f01b33b-af6d-466e-808f-b63681c2fce0" xmlns:ns4="b0165f23-38c6-4bfa-a027-891af1b4e757" targetNamespace="http://schemas.microsoft.com/office/2006/metadata/properties" ma:root="true" ma:fieldsID="c7465c27dcd3f331f654603be7f415d4" ns2:_="" ns3:_="" ns4:_="">
    <xsd:import namespace="abcd77d0-6cc8-47bc-9c9c-502c201b5bcf"/>
    <xsd:import namespace="0f01b33b-af6d-466e-808f-b63681c2fce0"/>
    <xsd:import namespace="b0165f23-38c6-4bfa-a027-891af1b4e757"/>
    <xsd:element name="properties">
      <xsd:complexType>
        <xsd:sequence>
          <xsd:element name="documentManagement">
            <xsd:complexType>
              <xsd:all>
                <xsd:element ref="ns2:SharedWithUsers" minOccurs="0"/>
                <xsd:element ref="ns2: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d77d0-6cc8-47bc-9c9c-502c201b5bcf"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1b33b-af6d-466e-808f-b63681c2fce0" elementFormDefault="qualified">
    <xsd:import namespace="http://schemas.microsoft.com/office/2006/documentManagement/types"/>
    <xsd:import namespace="http://schemas.microsoft.com/office/infopath/2007/PartnerControls"/>
    <xsd:element name="SharedWithDetails" ma:index="10" nillable="true" ma:displayName="Detalles de uso compartido" ma:description="" ma:internalName="SharedWithDetails" ma:readOnly="true">
      <xsd:simpleType>
        <xsd:restriction base="dms:Note">
          <xsd:maxLength value="255"/>
        </xsd:restriction>
      </xsd:simple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0165f23-38c6-4bfa-a027-891af1b4e75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D67A1-122C-4D99-80E5-12DF993E9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d77d0-6cc8-47bc-9c9c-502c201b5bcf"/>
    <ds:schemaRef ds:uri="0f01b33b-af6d-466e-808f-b63681c2fce0"/>
    <ds:schemaRef ds:uri="b0165f23-38c6-4bfa-a027-891af1b4e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D2BEB-3750-4985-8CEC-93B53988B2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171E57-EA24-4666-8C06-DFF8E355096D}">
  <ds:schemaRefs>
    <ds:schemaRef ds:uri="http://schemas.microsoft.com/sharepoint/v3/contenttype/forms"/>
  </ds:schemaRefs>
</ds:datastoreItem>
</file>

<file path=customXml/itemProps4.xml><?xml version="1.0" encoding="utf-8"?>
<ds:datastoreItem xmlns:ds="http://schemas.openxmlformats.org/officeDocument/2006/customXml" ds:itemID="{814EEA9E-5543-4A67-A55D-3F3E5965D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5052</Words>
  <Characters>27789</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II Trimestre 2018 InformeCONASSIF</vt:lpstr>
    </vt:vector>
  </TitlesOfParts>
  <Company/>
  <LinksUpToDate>false</LinksUpToDate>
  <CharactersWithSpaces>32776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Trimestre 2018 InformeCONASSIF</dc:title>
  <dc:subject/>
  <dc:creator>Rudy Corrales Vega</dc:creator>
  <cp:keywords/>
  <dc:description/>
  <cp:lastModifiedBy>VILLALOBOS ARROYO ALLAN STEVEN</cp:lastModifiedBy>
  <cp:revision>2</cp:revision>
  <dcterms:created xsi:type="dcterms:W3CDTF">2019-02-06T21:08:00Z</dcterms:created>
  <dcterms:modified xsi:type="dcterms:W3CDTF">2019-02-06T21:08:00Z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0x01010042AB0DC814BF8D4DA8F53531F2584D5A</vt:lpwstr>
  </property>
</Properties>
</file>