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1124" w14:textId="77777777" w:rsidR="004C5B85" w:rsidRPr="00B72A57" w:rsidRDefault="00081470" w:rsidP="00AB1521">
      <w:pPr>
        <w:spacing w:after="0" w:line="240" w:lineRule="auto"/>
        <w:jc w:val="both"/>
        <w:rPr>
          <w:rFonts w:asciiTheme="majorHAnsi" w:hAnsiTheme="majorHAnsi" w:cs="Times New Roman"/>
        </w:rPr>
      </w:pPr>
      <w:r w:rsidRPr="00B72A57">
        <w:rPr>
          <w:rFonts w:asciiTheme="majorHAnsi" w:hAnsiTheme="majorHAnsi" w:cs="Times New Roman"/>
          <w:noProof/>
          <w:lang w:val="es-CR" w:eastAsia="es-CR"/>
        </w:rPr>
        <w:drawing>
          <wp:anchor distT="0" distB="0" distL="114300" distR="114300" simplePos="0" relativeHeight="251658241" behindDoc="0" locked="0" layoutInCell="1" allowOverlap="1" wp14:anchorId="7D1C7510" wp14:editId="47C3EF7B">
            <wp:simplePos x="1076325" y="895350"/>
            <wp:positionH relativeFrom="margin">
              <wp:align>left</wp:align>
            </wp:positionH>
            <wp:positionV relativeFrom="margin">
              <wp:align>center</wp:align>
            </wp:positionV>
            <wp:extent cx="1910392" cy="738963"/>
            <wp:effectExtent l="0" t="0" r="0" b="4445"/>
            <wp:wrapSquare wrapText="bothSides"/>
            <wp:docPr id="8" name="Imagen 8" descr="Logos_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Logos_Transparentes-01.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392" cy="738963"/>
                    </a:xfrm>
                    <a:prstGeom prst="rect">
                      <a:avLst/>
                    </a:prstGeom>
                  </pic:spPr>
                </pic:pic>
              </a:graphicData>
            </a:graphic>
          </wp:anchor>
        </w:drawing>
      </w:r>
      <w:r w:rsidRPr="00B72A57">
        <w:rPr>
          <w:rFonts w:asciiTheme="majorHAnsi" w:hAnsiTheme="majorHAnsi" w:cs="Times New Roman"/>
          <w:noProof/>
          <w:lang w:val="es-CR" w:eastAsia="es-CR"/>
        </w:rPr>
        <mc:AlternateContent>
          <mc:Choice Requires="wps">
            <w:drawing>
              <wp:anchor distT="0" distB="0" distL="457200" distR="118745" simplePos="0" relativeHeight="251658240" behindDoc="0" locked="0" layoutInCell="0" allowOverlap="1" wp14:anchorId="42C72783" wp14:editId="6D43A0A8">
                <wp:simplePos x="0" y="0"/>
                <wp:positionH relativeFrom="margin">
                  <wp:posOffset>2491740</wp:posOffset>
                </wp:positionH>
                <wp:positionV relativeFrom="paragraph">
                  <wp:posOffset>-23495</wp:posOffset>
                </wp:positionV>
                <wp:extent cx="3743325" cy="827786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827786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672A6659" w14:textId="77777777" w:rsidR="00734BA3" w:rsidRPr="00C26828" w:rsidRDefault="00734BA3" w:rsidP="00081470">
                            <w:pPr>
                              <w:pBdr>
                                <w:left w:val="single" w:sz="4" w:space="9" w:color="4F81BD" w:themeColor="accent1"/>
                              </w:pBdr>
                              <w:rPr>
                                <w:rFonts w:asciiTheme="majorHAnsi" w:eastAsiaTheme="majorEastAsia" w:hAnsiTheme="majorHAnsi" w:cstheme="majorBidi"/>
                                <w:sz w:val="40"/>
                                <w:szCs w:val="40"/>
                              </w:rPr>
                            </w:pPr>
                          </w:p>
                          <w:p w14:paraId="0A37501D" w14:textId="77777777" w:rsidR="00734BA3" w:rsidRPr="00C26828" w:rsidRDefault="00734BA3" w:rsidP="00081470">
                            <w:pPr>
                              <w:pBdr>
                                <w:left w:val="single" w:sz="4" w:space="9" w:color="4F81BD" w:themeColor="accent1"/>
                              </w:pBdr>
                              <w:rPr>
                                <w:rFonts w:asciiTheme="majorHAnsi" w:eastAsiaTheme="majorEastAsia" w:hAnsiTheme="majorHAnsi" w:cstheme="majorBidi"/>
                                <w:sz w:val="40"/>
                                <w:szCs w:val="40"/>
                              </w:rPr>
                            </w:pPr>
                          </w:p>
                          <w:p w14:paraId="5DAB6C7B" w14:textId="77777777" w:rsidR="00734BA3" w:rsidRPr="00C26828" w:rsidRDefault="00734BA3" w:rsidP="00081470">
                            <w:pPr>
                              <w:pBdr>
                                <w:left w:val="single" w:sz="4" w:space="9" w:color="4F81BD" w:themeColor="accent1"/>
                              </w:pBdr>
                              <w:rPr>
                                <w:rFonts w:asciiTheme="majorHAnsi" w:eastAsiaTheme="majorEastAsia" w:hAnsiTheme="majorHAnsi" w:cstheme="majorBidi"/>
                                <w:sz w:val="40"/>
                                <w:szCs w:val="40"/>
                              </w:rPr>
                            </w:pPr>
                          </w:p>
                          <w:p w14:paraId="02EB378F" w14:textId="77777777" w:rsidR="00734BA3" w:rsidRPr="00C26828" w:rsidRDefault="00734BA3" w:rsidP="00081470">
                            <w:pPr>
                              <w:pBdr>
                                <w:left w:val="single" w:sz="4" w:space="9" w:color="4F81BD" w:themeColor="accent1"/>
                              </w:pBdr>
                              <w:rPr>
                                <w:rFonts w:asciiTheme="majorHAnsi" w:eastAsiaTheme="majorEastAsia" w:hAnsiTheme="majorHAnsi" w:cstheme="majorBidi"/>
                                <w:sz w:val="40"/>
                                <w:szCs w:val="40"/>
                              </w:rPr>
                            </w:pPr>
                          </w:p>
                          <w:p w14:paraId="3D7C8131" w14:textId="77777777" w:rsidR="00734BA3" w:rsidRDefault="00734BA3" w:rsidP="00081470">
                            <w:pPr>
                              <w:pBdr>
                                <w:left w:val="single" w:sz="4" w:space="9" w:color="4F81BD" w:themeColor="accent1"/>
                              </w:pBdr>
                              <w:jc w:val="center"/>
                              <w:rPr>
                                <w:rFonts w:asciiTheme="majorHAnsi" w:eastAsiaTheme="majorEastAsia" w:hAnsiTheme="majorHAnsi" w:cstheme="majorBidi"/>
                                <w:b/>
                                <w:sz w:val="48"/>
                                <w:szCs w:val="40"/>
                              </w:rPr>
                            </w:pPr>
                            <w:r>
                              <w:rPr>
                                <w:rFonts w:asciiTheme="majorHAnsi" w:eastAsiaTheme="majorEastAsia" w:hAnsiTheme="majorHAnsi" w:cstheme="majorBidi"/>
                                <w:b/>
                                <w:sz w:val="48"/>
                                <w:szCs w:val="40"/>
                              </w:rPr>
                              <w:t xml:space="preserve">EXTRACTO </w:t>
                            </w:r>
                          </w:p>
                          <w:p w14:paraId="3627229A" w14:textId="5363FA0C" w:rsidR="00734BA3" w:rsidRPr="00C26828" w:rsidRDefault="00734BA3"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INFORME DE </w:t>
                            </w:r>
                          </w:p>
                          <w:p w14:paraId="324741E2" w14:textId="77777777" w:rsidR="00734BA3" w:rsidRPr="00C26828" w:rsidRDefault="00734BA3"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COYUNTURA Y </w:t>
                            </w:r>
                          </w:p>
                          <w:p w14:paraId="77A84AA7" w14:textId="77777777" w:rsidR="00734BA3" w:rsidRPr="00C26828" w:rsidRDefault="00734BA3"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SUPERVISIÓN DEL </w:t>
                            </w:r>
                          </w:p>
                          <w:p w14:paraId="3933AD62" w14:textId="77777777" w:rsidR="00734BA3" w:rsidRPr="00C26828" w:rsidRDefault="00734BA3"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SECTOR PENSIONES</w:t>
                            </w:r>
                          </w:p>
                          <w:p w14:paraId="6A05A809" w14:textId="77777777" w:rsidR="00734BA3" w:rsidRPr="00C26828" w:rsidRDefault="00734BA3" w:rsidP="00081470">
                            <w:pPr>
                              <w:pBdr>
                                <w:left w:val="single" w:sz="4" w:space="9" w:color="4F81BD" w:themeColor="accent1"/>
                              </w:pBdr>
                              <w:jc w:val="right"/>
                              <w:rPr>
                                <w:rFonts w:asciiTheme="majorHAnsi" w:eastAsiaTheme="majorEastAsia" w:hAnsiTheme="majorHAnsi" w:cstheme="majorBidi"/>
                                <w:sz w:val="32"/>
                                <w:szCs w:val="40"/>
                              </w:rPr>
                            </w:pPr>
                          </w:p>
                          <w:p w14:paraId="5A39BBE3" w14:textId="77777777" w:rsidR="00734BA3" w:rsidRPr="00C26828" w:rsidRDefault="00734BA3" w:rsidP="00081470">
                            <w:pPr>
                              <w:pBdr>
                                <w:left w:val="single" w:sz="4" w:space="9" w:color="4F81BD" w:themeColor="accent1"/>
                              </w:pBdr>
                              <w:jc w:val="right"/>
                              <w:rPr>
                                <w:rFonts w:asciiTheme="majorHAnsi" w:eastAsiaTheme="majorEastAsia" w:hAnsiTheme="majorHAnsi" w:cstheme="majorBidi"/>
                                <w:sz w:val="32"/>
                                <w:szCs w:val="40"/>
                              </w:rPr>
                            </w:pPr>
                          </w:p>
                          <w:p w14:paraId="41C8F396" w14:textId="77777777" w:rsidR="00734BA3" w:rsidRPr="00C26828" w:rsidRDefault="00734BA3" w:rsidP="00081470">
                            <w:pPr>
                              <w:pBdr>
                                <w:left w:val="single" w:sz="4" w:space="9" w:color="4F81BD" w:themeColor="accent1"/>
                              </w:pBdr>
                              <w:jc w:val="right"/>
                              <w:rPr>
                                <w:rFonts w:asciiTheme="majorHAnsi" w:eastAsiaTheme="majorEastAsia" w:hAnsiTheme="majorHAnsi" w:cstheme="majorBidi"/>
                                <w:sz w:val="32"/>
                                <w:szCs w:val="40"/>
                              </w:rPr>
                            </w:pPr>
                          </w:p>
                          <w:p w14:paraId="72A3D3EC" w14:textId="77777777" w:rsidR="00734BA3" w:rsidRPr="00C26828" w:rsidRDefault="00734BA3" w:rsidP="00081470">
                            <w:pPr>
                              <w:pBdr>
                                <w:left w:val="single" w:sz="4" w:space="9" w:color="4F81BD" w:themeColor="accent1"/>
                              </w:pBdr>
                              <w:jc w:val="right"/>
                              <w:rPr>
                                <w:rFonts w:asciiTheme="majorHAnsi" w:eastAsiaTheme="majorEastAsia" w:hAnsiTheme="majorHAnsi" w:cstheme="majorBidi"/>
                                <w:sz w:val="32"/>
                                <w:szCs w:val="40"/>
                              </w:rPr>
                            </w:pPr>
                          </w:p>
                          <w:p w14:paraId="7F69D3BA" w14:textId="77777777" w:rsidR="00734BA3" w:rsidRPr="00AC2538" w:rsidRDefault="00734BA3" w:rsidP="00081470">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y situación de los entes supervisados </w:t>
                            </w:r>
                          </w:p>
                          <w:p w14:paraId="37F234C8" w14:textId="77777777" w:rsidR="00734BA3" w:rsidRPr="00AC2538" w:rsidRDefault="00734BA3"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Cuarto</w:t>
                            </w:r>
                            <w:r w:rsidRPr="00AC2538">
                              <w:rPr>
                                <w:rFonts w:asciiTheme="majorHAnsi" w:eastAsiaTheme="majorEastAsia" w:hAnsiTheme="majorHAnsi" w:cstheme="majorBidi"/>
                                <w:sz w:val="32"/>
                                <w:szCs w:val="40"/>
                              </w:rPr>
                              <w:t xml:space="preserve"> Trimestre</w:t>
                            </w:r>
                          </w:p>
                          <w:p w14:paraId="5C61D62B" w14:textId="77777777" w:rsidR="00734BA3" w:rsidRPr="00AC2538" w:rsidRDefault="00734BA3" w:rsidP="006D24E2">
                            <w:pPr>
                              <w:pBdr>
                                <w:left w:val="single" w:sz="4" w:space="9" w:color="4F81BD" w:themeColor="accent1"/>
                              </w:pBdr>
                              <w:jc w:val="center"/>
                            </w:pPr>
                            <w:r w:rsidRPr="00AC2538">
                              <w:rPr>
                                <w:rFonts w:asciiTheme="majorHAnsi" w:eastAsiaTheme="majorEastAsia" w:hAnsiTheme="majorHAnsi" w:cstheme="majorBidi"/>
                                <w:sz w:val="32"/>
                                <w:szCs w:val="40"/>
                              </w:rPr>
                              <w:t>2018</w:t>
                            </w:r>
                          </w:p>
                          <w:p w14:paraId="0D0B940D"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0E27B00A"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60061E4C"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44EAFD9C"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2173CF62"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AC2538">
                              <w:rPr>
                                <w:rFonts w:asciiTheme="majorHAnsi" w:eastAsiaTheme="majorEastAsia" w:hAnsiTheme="majorHAnsi" w:cstheme="majorBidi"/>
                                <w:szCs w:val="40"/>
                              </w:rPr>
                              <w:t>Superintendencia de Pensiones</w:t>
                            </w:r>
                          </w:p>
                          <w:p w14:paraId="62811148"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AC2538">
                              <w:rPr>
                                <w:rFonts w:asciiTheme="majorHAnsi" w:eastAsiaTheme="majorEastAsia" w:hAnsiTheme="majorHAnsi" w:cstheme="majorBidi"/>
                                <w:szCs w:val="40"/>
                              </w:rPr>
                              <w:t>San José, Costa Rica</w:t>
                            </w:r>
                          </w:p>
                          <w:p w14:paraId="4252F8CB" w14:textId="77777777" w:rsidR="00734BA3" w:rsidRPr="00C26828" w:rsidRDefault="003C088A"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2" w:history="1">
                              <w:r w:rsidR="00734BA3" w:rsidRPr="00C26828">
                                <w:rPr>
                                  <w:rStyle w:val="Hipervnculo"/>
                                  <w:rFonts w:asciiTheme="majorHAnsi" w:eastAsiaTheme="majorEastAsia" w:hAnsiTheme="majorHAnsi" w:cstheme="majorBidi"/>
                                  <w:color w:val="auto"/>
                                  <w:szCs w:val="40"/>
                                </w:rPr>
                                <w:t>http://www.</w:t>
                              </w:r>
                              <w:r w:rsidR="00734BA3">
                                <w:rPr>
                                  <w:rStyle w:val="Hipervnculo"/>
                                  <w:rFonts w:asciiTheme="majorHAnsi" w:eastAsiaTheme="majorEastAsia" w:hAnsiTheme="majorHAnsi" w:cstheme="majorBidi"/>
                                  <w:color w:val="auto"/>
                                  <w:szCs w:val="40"/>
                                </w:rPr>
                                <w:t>Supen</w:t>
                              </w:r>
                              <w:r w:rsidR="00734BA3" w:rsidRPr="00C26828">
                                <w:rPr>
                                  <w:rStyle w:val="Hipervnculo"/>
                                  <w:rFonts w:asciiTheme="majorHAnsi" w:eastAsiaTheme="majorEastAsia" w:hAnsiTheme="majorHAnsi" w:cstheme="majorBidi"/>
                                  <w:color w:val="auto"/>
                                  <w:szCs w:val="40"/>
                                </w:rPr>
                                <w:t>.fi.cr</w:t>
                              </w:r>
                            </w:hyperlink>
                            <w:r w:rsidR="00734BA3" w:rsidRPr="00C26828">
                              <w:rPr>
                                <w:rFonts w:asciiTheme="majorHAnsi" w:eastAsiaTheme="majorEastAsia" w:hAnsiTheme="majorHAnsi" w:cstheme="majorBidi"/>
                                <w:szCs w:val="40"/>
                              </w:rPr>
                              <w:t xml:space="preserve"> </w:t>
                            </w:r>
                          </w:p>
                          <w:p w14:paraId="4B94D5A5" w14:textId="77777777" w:rsidR="00734BA3" w:rsidRPr="00C26828" w:rsidRDefault="00734BA3" w:rsidP="00081470">
                            <w:pPr>
                              <w:pBdr>
                                <w:left w:val="single" w:sz="4" w:space="9" w:color="4F81BD" w:themeColor="accent1"/>
                              </w:pBd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C72783" id="Autoforma 14" o:spid="_x0000_s1026" style="position:absolute;left:0;text-align:left;margin-left:196.2pt;margin-top:-1.85pt;width:294.75pt;height:651.8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" o:allowincell="f" filled="f" stroked="f" strokeweight="1.25pt">
                <v:textbox inset=",7.2pt,,7.2pt">
                  <w:txbxContent>
                    <w:p w14:paraId="672A6659" w14:textId="77777777" w:rsidR="00734BA3" w:rsidRPr="00C26828" w:rsidRDefault="00734BA3" w:rsidP="00081470">
                      <w:pPr>
                        <w:pBdr>
                          <w:left w:val="single" w:sz="4" w:space="9" w:color="4F81BD" w:themeColor="accent1"/>
                        </w:pBdr>
                        <w:rPr>
                          <w:rFonts w:asciiTheme="majorHAnsi" w:eastAsiaTheme="majorEastAsia" w:hAnsiTheme="majorHAnsi" w:cstheme="majorBidi"/>
                          <w:sz w:val="40"/>
                          <w:szCs w:val="40"/>
                        </w:rPr>
                      </w:pPr>
                    </w:p>
                    <w:p w14:paraId="0A37501D" w14:textId="77777777" w:rsidR="00734BA3" w:rsidRPr="00C26828" w:rsidRDefault="00734BA3" w:rsidP="00081470">
                      <w:pPr>
                        <w:pBdr>
                          <w:left w:val="single" w:sz="4" w:space="9" w:color="4F81BD" w:themeColor="accent1"/>
                        </w:pBdr>
                        <w:rPr>
                          <w:rFonts w:asciiTheme="majorHAnsi" w:eastAsiaTheme="majorEastAsia" w:hAnsiTheme="majorHAnsi" w:cstheme="majorBidi"/>
                          <w:sz w:val="40"/>
                          <w:szCs w:val="40"/>
                        </w:rPr>
                      </w:pPr>
                    </w:p>
                    <w:p w14:paraId="5DAB6C7B" w14:textId="77777777" w:rsidR="00734BA3" w:rsidRPr="00C26828" w:rsidRDefault="00734BA3" w:rsidP="00081470">
                      <w:pPr>
                        <w:pBdr>
                          <w:left w:val="single" w:sz="4" w:space="9" w:color="4F81BD" w:themeColor="accent1"/>
                        </w:pBdr>
                        <w:rPr>
                          <w:rFonts w:asciiTheme="majorHAnsi" w:eastAsiaTheme="majorEastAsia" w:hAnsiTheme="majorHAnsi" w:cstheme="majorBidi"/>
                          <w:sz w:val="40"/>
                          <w:szCs w:val="40"/>
                        </w:rPr>
                      </w:pPr>
                    </w:p>
                    <w:p w14:paraId="02EB378F" w14:textId="77777777" w:rsidR="00734BA3" w:rsidRPr="00C26828" w:rsidRDefault="00734BA3" w:rsidP="00081470">
                      <w:pPr>
                        <w:pBdr>
                          <w:left w:val="single" w:sz="4" w:space="9" w:color="4F81BD" w:themeColor="accent1"/>
                        </w:pBdr>
                        <w:rPr>
                          <w:rFonts w:asciiTheme="majorHAnsi" w:eastAsiaTheme="majorEastAsia" w:hAnsiTheme="majorHAnsi" w:cstheme="majorBidi"/>
                          <w:sz w:val="40"/>
                          <w:szCs w:val="40"/>
                        </w:rPr>
                      </w:pPr>
                    </w:p>
                    <w:p w14:paraId="3D7C8131" w14:textId="77777777" w:rsidR="00734BA3" w:rsidRDefault="00734BA3" w:rsidP="00081470">
                      <w:pPr>
                        <w:pBdr>
                          <w:left w:val="single" w:sz="4" w:space="9" w:color="4F81BD" w:themeColor="accent1"/>
                        </w:pBdr>
                        <w:jc w:val="center"/>
                        <w:rPr>
                          <w:rFonts w:asciiTheme="majorHAnsi" w:eastAsiaTheme="majorEastAsia" w:hAnsiTheme="majorHAnsi" w:cstheme="majorBidi"/>
                          <w:b/>
                          <w:sz w:val="48"/>
                          <w:szCs w:val="40"/>
                        </w:rPr>
                      </w:pPr>
                      <w:r>
                        <w:rPr>
                          <w:rFonts w:asciiTheme="majorHAnsi" w:eastAsiaTheme="majorEastAsia" w:hAnsiTheme="majorHAnsi" w:cstheme="majorBidi"/>
                          <w:b/>
                          <w:sz w:val="48"/>
                          <w:szCs w:val="40"/>
                        </w:rPr>
                        <w:t xml:space="preserve">EXTRACTO </w:t>
                      </w:r>
                    </w:p>
                    <w:p w14:paraId="3627229A" w14:textId="5363FA0C" w:rsidR="00734BA3" w:rsidRPr="00C26828" w:rsidRDefault="00734BA3"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INFORME DE </w:t>
                      </w:r>
                    </w:p>
                    <w:p w14:paraId="324741E2" w14:textId="77777777" w:rsidR="00734BA3" w:rsidRPr="00C26828" w:rsidRDefault="00734BA3"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COYUNTURA Y </w:t>
                      </w:r>
                    </w:p>
                    <w:p w14:paraId="77A84AA7" w14:textId="77777777" w:rsidR="00734BA3" w:rsidRPr="00C26828" w:rsidRDefault="00734BA3"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 xml:space="preserve">SUPERVISIÓN DEL </w:t>
                      </w:r>
                    </w:p>
                    <w:p w14:paraId="3933AD62" w14:textId="77777777" w:rsidR="00734BA3" w:rsidRPr="00C26828" w:rsidRDefault="00734BA3" w:rsidP="00081470">
                      <w:pPr>
                        <w:pBdr>
                          <w:left w:val="single" w:sz="4" w:space="9" w:color="4F81BD" w:themeColor="accent1"/>
                        </w:pBdr>
                        <w:jc w:val="center"/>
                        <w:rPr>
                          <w:rFonts w:asciiTheme="majorHAnsi" w:eastAsiaTheme="majorEastAsia" w:hAnsiTheme="majorHAnsi" w:cstheme="majorBidi"/>
                          <w:b/>
                          <w:sz w:val="48"/>
                          <w:szCs w:val="40"/>
                        </w:rPr>
                      </w:pPr>
                      <w:r w:rsidRPr="00C26828">
                        <w:rPr>
                          <w:rFonts w:asciiTheme="majorHAnsi" w:eastAsiaTheme="majorEastAsia" w:hAnsiTheme="majorHAnsi" w:cstheme="majorBidi"/>
                          <w:b/>
                          <w:sz w:val="48"/>
                          <w:szCs w:val="40"/>
                        </w:rPr>
                        <w:t>SECTOR PENSIONES</w:t>
                      </w:r>
                    </w:p>
                    <w:p w14:paraId="6A05A809" w14:textId="77777777" w:rsidR="00734BA3" w:rsidRPr="00C26828" w:rsidRDefault="00734BA3" w:rsidP="00081470">
                      <w:pPr>
                        <w:pBdr>
                          <w:left w:val="single" w:sz="4" w:space="9" w:color="4F81BD" w:themeColor="accent1"/>
                        </w:pBdr>
                        <w:jc w:val="right"/>
                        <w:rPr>
                          <w:rFonts w:asciiTheme="majorHAnsi" w:eastAsiaTheme="majorEastAsia" w:hAnsiTheme="majorHAnsi" w:cstheme="majorBidi"/>
                          <w:sz w:val="32"/>
                          <w:szCs w:val="40"/>
                        </w:rPr>
                      </w:pPr>
                    </w:p>
                    <w:p w14:paraId="5A39BBE3" w14:textId="77777777" w:rsidR="00734BA3" w:rsidRPr="00C26828" w:rsidRDefault="00734BA3" w:rsidP="00081470">
                      <w:pPr>
                        <w:pBdr>
                          <w:left w:val="single" w:sz="4" w:space="9" w:color="4F81BD" w:themeColor="accent1"/>
                        </w:pBdr>
                        <w:jc w:val="right"/>
                        <w:rPr>
                          <w:rFonts w:asciiTheme="majorHAnsi" w:eastAsiaTheme="majorEastAsia" w:hAnsiTheme="majorHAnsi" w:cstheme="majorBidi"/>
                          <w:sz w:val="32"/>
                          <w:szCs w:val="40"/>
                        </w:rPr>
                      </w:pPr>
                    </w:p>
                    <w:p w14:paraId="41C8F396" w14:textId="77777777" w:rsidR="00734BA3" w:rsidRPr="00C26828" w:rsidRDefault="00734BA3" w:rsidP="00081470">
                      <w:pPr>
                        <w:pBdr>
                          <w:left w:val="single" w:sz="4" w:space="9" w:color="4F81BD" w:themeColor="accent1"/>
                        </w:pBdr>
                        <w:jc w:val="right"/>
                        <w:rPr>
                          <w:rFonts w:asciiTheme="majorHAnsi" w:eastAsiaTheme="majorEastAsia" w:hAnsiTheme="majorHAnsi" w:cstheme="majorBidi"/>
                          <w:sz w:val="32"/>
                          <w:szCs w:val="40"/>
                        </w:rPr>
                      </w:pPr>
                    </w:p>
                    <w:p w14:paraId="72A3D3EC" w14:textId="77777777" w:rsidR="00734BA3" w:rsidRPr="00C26828" w:rsidRDefault="00734BA3" w:rsidP="00081470">
                      <w:pPr>
                        <w:pBdr>
                          <w:left w:val="single" w:sz="4" w:space="9" w:color="4F81BD" w:themeColor="accent1"/>
                        </w:pBdr>
                        <w:jc w:val="right"/>
                        <w:rPr>
                          <w:rFonts w:asciiTheme="majorHAnsi" w:eastAsiaTheme="majorEastAsia" w:hAnsiTheme="majorHAnsi" w:cstheme="majorBidi"/>
                          <w:sz w:val="32"/>
                          <w:szCs w:val="40"/>
                        </w:rPr>
                      </w:pPr>
                    </w:p>
                    <w:p w14:paraId="7F69D3BA" w14:textId="77777777" w:rsidR="00734BA3" w:rsidRPr="00AC2538" w:rsidRDefault="00734BA3" w:rsidP="00081470">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y situación de los entes supervisados </w:t>
                      </w:r>
                    </w:p>
                    <w:p w14:paraId="37F234C8" w14:textId="77777777" w:rsidR="00734BA3" w:rsidRPr="00AC2538" w:rsidRDefault="00734BA3" w:rsidP="00081470">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Cuarto</w:t>
                      </w:r>
                      <w:r w:rsidRPr="00AC2538">
                        <w:rPr>
                          <w:rFonts w:asciiTheme="majorHAnsi" w:eastAsiaTheme="majorEastAsia" w:hAnsiTheme="majorHAnsi" w:cstheme="majorBidi"/>
                          <w:sz w:val="32"/>
                          <w:szCs w:val="40"/>
                        </w:rPr>
                        <w:t xml:space="preserve"> Trimestre</w:t>
                      </w:r>
                    </w:p>
                    <w:p w14:paraId="5C61D62B" w14:textId="77777777" w:rsidR="00734BA3" w:rsidRPr="00AC2538" w:rsidRDefault="00734BA3" w:rsidP="006D24E2">
                      <w:pPr>
                        <w:pBdr>
                          <w:left w:val="single" w:sz="4" w:space="9" w:color="4F81BD" w:themeColor="accent1"/>
                        </w:pBdr>
                        <w:jc w:val="center"/>
                      </w:pPr>
                      <w:r w:rsidRPr="00AC2538">
                        <w:rPr>
                          <w:rFonts w:asciiTheme="majorHAnsi" w:eastAsiaTheme="majorEastAsia" w:hAnsiTheme="majorHAnsi" w:cstheme="majorBidi"/>
                          <w:sz w:val="32"/>
                          <w:szCs w:val="40"/>
                        </w:rPr>
                        <w:t>2018</w:t>
                      </w:r>
                    </w:p>
                    <w:p w14:paraId="0D0B940D"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0E27B00A"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60061E4C"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44EAFD9C"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p>
                    <w:p w14:paraId="2173CF62"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AC2538">
                        <w:rPr>
                          <w:rFonts w:asciiTheme="majorHAnsi" w:eastAsiaTheme="majorEastAsia" w:hAnsiTheme="majorHAnsi" w:cstheme="majorBidi"/>
                          <w:szCs w:val="40"/>
                        </w:rPr>
                        <w:t>Superintendencia de Pensiones</w:t>
                      </w:r>
                    </w:p>
                    <w:p w14:paraId="62811148" w14:textId="77777777" w:rsidR="00734BA3" w:rsidRPr="00AC2538" w:rsidRDefault="00734BA3" w:rsidP="00081470">
                      <w:pPr>
                        <w:pBdr>
                          <w:left w:val="single" w:sz="4" w:space="9" w:color="4F81BD" w:themeColor="accent1"/>
                        </w:pBdr>
                        <w:spacing w:after="0" w:line="240" w:lineRule="auto"/>
                        <w:jc w:val="center"/>
                        <w:rPr>
                          <w:rFonts w:asciiTheme="majorHAnsi" w:eastAsiaTheme="majorEastAsia" w:hAnsiTheme="majorHAnsi" w:cstheme="majorBidi"/>
                          <w:szCs w:val="40"/>
                        </w:rPr>
                      </w:pPr>
                      <w:r w:rsidRPr="00AC2538">
                        <w:rPr>
                          <w:rFonts w:asciiTheme="majorHAnsi" w:eastAsiaTheme="majorEastAsia" w:hAnsiTheme="majorHAnsi" w:cstheme="majorBidi"/>
                          <w:szCs w:val="40"/>
                        </w:rPr>
                        <w:t>San José, Costa Rica</w:t>
                      </w:r>
                    </w:p>
                    <w:p w14:paraId="4252F8CB" w14:textId="77777777" w:rsidR="00734BA3" w:rsidRPr="00C26828" w:rsidRDefault="003C088A" w:rsidP="00081470">
                      <w:pPr>
                        <w:pBdr>
                          <w:left w:val="single" w:sz="4" w:space="9" w:color="4F81BD" w:themeColor="accent1"/>
                        </w:pBdr>
                        <w:spacing w:after="0" w:line="240" w:lineRule="auto"/>
                        <w:jc w:val="center"/>
                        <w:rPr>
                          <w:rFonts w:asciiTheme="majorHAnsi" w:eastAsiaTheme="majorEastAsia" w:hAnsiTheme="majorHAnsi" w:cstheme="majorBidi"/>
                          <w:szCs w:val="40"/>
                        </w:rPr>
                      </w:pPr>
                      <w:hyperlink r:id="rId13" w:history="1">
                        <w:r w:rsidR="00734BA3" w:rsidRPr="00C26828">
                          <w:rPr>
                            <w:rStyle w:val="Hipervnculo"/>
                            <w:rFonts w:asciiTheme="majorHAnsi" w:eastAsiaTheme="majorEastAsia" w:hAnsiTheme="majorHAnsi" w:cstheme="majorBidi"/>
                            <w:color w:val="auto"/>
                            <w:szCs w:val="40"/>
                          </w:rPr>
                          <w:t>http://www.</w:t>
                        </w:r>
                        <w:r w:rsidR="00734BA3">
                          <w:rPr>
                            <w:rStyle w:val="Hipervnculo"/>
                            <w:rFonts w:asciiTheme="majorHAnsi" w:eastAsiaTheme="majorEastAsia" w:hAnsiTheme="majorHAnsi" w:cstheme="majorBidi"/>
                            <w:color w:val="auto"/>
                            <w:szCs w:val="40"/>
                          </w:rPr>
                          <w:t>Supen</w:t>
                        </w:r>
                        <w:r w:rsidR="00734BA3" w:rsidRPr="00C26828">
                          <w:rPr>
                            <w:rStyle w:val="Hipervnculo"/>
                            <w:rFonts w:asciiTheme="majorHAnsi" w:eastAsiaTheme="majorEastAsia" w:hAnsiTheme="majorHAnsi" w:cstheme="majorBidi"/>
                            <w:color w:val="auto"/>
                            <w:szCs w:val="40"/>
                          </w:rPr>
                          <w:t>.fi.cr</w:t>
                        </w:r>
                      </w:hyperlink>
                      <w:r w:rsidR="00734BA3" w:rsidRPr="00C26828">
                        <w:rPr>
                          <w:rFonts w:asciiTheme="majorHAnsi" w:eastAsiaTheme="majorEastAsia" w:hAnsiTheme="majorHAnsi" w:cstheme="majorBidi"/>
                          <w:szCs w:val="40"/>
                        </w:rPr>
                        <w:t xml:space="preserve"> </w:t>
                      </w:r>
                    </w:p>
                    <w:p w14:paraId="4B94D5A5" w14:textId="77777777" w:rsidR="00734BA3" w:rsidRPr="00C26828" w:rsidRDefault="00734BA3" w:rsidP="00081470">
                      <w:pPr>
                        <w:pBdr>
                          <w:left w:val="single" w:sz="4" w:space="9" w:color="4F81BD" w:themeColor="accent1"/>
                        </w:pBdr>
                      </w:pPr>
                    </w:p>
                  </w:txbxContent>
                </v:textbox>
                <w10:wrap type="square" anchorx="margin"/>
              </v:rect>
            </w:pict>
          </mc:Fallback>
        </mc:AlternateContent>
      </w:r>
      <w:r w:rsidRPr="00B72A57">
        <w:rPr>
          <w:rFonts w:asciiTheme="majorHAnsi" w:hAnsiTheme="majorHAnsi" w:cs="Times New Roman"/>
        </w:rPr>
        <w:br w:type="page"/>
      </w:r>
    </w:p>
    <w:p w14:paraId="37043B74" w14:textId="77777777" w:rsidR="00081470" w:rsidRPr="00B72A57" w:rsidRDefault="2310806D" w:rsidP="00822872">
      <w:pPr>
        <w:pStyle w:val="Textoindependienteprimerasangra2"/>
        <w:keepNext/>
        <w:widowControl w:val="0"/>
        <w:spacing w:after="0" w:line="240" w:lineRule="auto"/>
        <w:ind w:left="0" w:firstLine="0"/>
        <w:jc w:val="both"/>
        <w:rPr>
          <w:rStyle w:val="Hipervnculo"/>
          <w:rFonts w:asciiTheme="majorHAnsi" w:hAnsiTheme="majorHAnsi" w:cs="Times New Roman"/>
          <w:color w:val="auto"/>
        </w:rPr>
      </w:pPr>
      <w:r w:rsidRPr="00B72A57">
        <w:rPr>
          <w:rFonts w:asciiTheme="majorHAnsi" w:hAnsiTheme="majorHAnsi" w:cs="Times New Roman"/>
        </w:rPr>
        <w:lastRenderedPageBreak/>
        <w:t>El Informe de Coyuntura y Supervisión del Sistema Nacional de Pensiones, se elabora para atender lo dispuesto en el artículo 38, inciso n) de la Ley N°7523, Régimen Privado de Pensiones Complementarias. 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w:t>
      </w:r>
      <w:r w:rsidR="000C1A53" w:rsidRPr="00B72A57">
        <w:rPr>
          <w:rFonts w:asciiTheme="majorHAnsi" w:hAnsiTheme="majorHAnsi" w:cs="Times New Roman"/>
        </w:rPr>
        <w:t>ale</w:t>
      </w:r>
      <w:r w:rsidRPr="00B72A57">
        <w:rPr>
          <w:rFonts w:asciiTheme="majorHAnsi" w:hAnsiTheme="majorHAnsi" w:cs="Times New Roman"/>
        </w:rPr>
        <w:t xml:space="preserv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r w:rsidRPr="00B72A57">
          <w:rPr>
            <w:rStyle w:val="Hipervnculo"/>
            <w:rFonts w:asciiTheme="majorHAnsi" w:hAnsiTheme="majorHAnsi" w:cs="Times New Roman"/>
            <w:color w:val="548DD4" w:themeColor="text2" w:themeTint="99"/>
          </w:rPr>
          <w:t>Supen@Supen.fi.cr</w:t>
        </w:r>
      </w:hyperlink>
    </w:p>
    <w:p w14:paraId="1FC39945" w14:textId="77777777" w:rsidR="00D1240C" w:rsidRPr="00B72A57" w:rsidRDefault="00D1240C" w:rsidP="00AB1521">
      <w:pPr>
        <w:tabs>
          <w:tab w:val="left" w:pos="1056"/>
        </w:tabs>
        <w:spacing w:after="0" w:line="240" w:lineRule="auto"/>
        <w:rPr>
          <w:rFonts w:asciiTheme="majorHAnsi" w:hAnsiTheme="majorHAnsi" w:cs="Times New Roman"/>
        </w:rPr>
      </w:pPr>
    </w:p>
    <w:p w14:paraId="0562CB0E" w14:textId="77777777" w:rsidR="00041D06" w:rsidRPr="00B72A57" w:rsidRDefault="00041D06" w:rsidP="00AB1521">
      <w:pPr>
        <w:spacing w:after="0" w:line="240" w:lineRule="auto"/>
        <w:rPr>
          <w:rFonts w:asciiTheme="majorHAnsi" w:hAnsiTheme="majorHAnsi" w:cs="Times New Roman"/>
          <w:b/>
        </w:rPr>
      </w:pPr>
    </w:p>
    <w:p w14:paraId="34CE0A41" w14:textId="77777777" w:rsidR="007D0BC7" w:rsidRPr="00B72A57" w:rsidRDefault="007D0BC7" w:rsidP="00AB1521">
      <w:pPr>
        <w:spacing w:line="240" w:lineRule="auto"/>
        <w:rPr>
          <w:rFonts w:asciiTheme="majorHAnsi" w:hAnsiTheme="majorHAnsi" w:cs="Times New Roman"/>
          <w:color w:val="FF0000"/>
        </w:rPr>
      </w:pPr>
      <w:r w:rsidRPr="00B72A57">
        <w:rPr>
          <w:rFonts w:asciiTheme="majorHAnsi" w:hAnsiTheme="majorHAnsi" w:cs="Times New Roman"/>
          <w:color w:val="FF0000"/>
        </w:rPr>
        <w:br w:type="page"/>
      </w:r>
    </w:p>
    <w:p w14:paraId="6EC93065" w14:textId="77777777" w:rsidR="00D335F1" w:rsidRPr="003E3001" w:rsidRDefault="00D335F1" w:rsidP="00AB1521">
      <w:pPr>
        <w:pStyle w:val="Ttulo"/>
      </w:pPr>
      <w:r w:rsidRPr="003E3001">
        <w:lastRenderedPageBreak/>
        <w:t>Índice</w:t>
      </w:r>
    </w:p>
    <w:p w14:paraId="62EBF3C5" w14:textId="77777777" w:rsidR="00D335F1" w:rsidRPr="00822872" w:rsidRDefault="00D335F1" w:rsidP="00D335F1">
      <w:pPr>
        <w:rPr>
          <w:highlight w:val="yellow"/>
        </w:rPr>
      </w:pPr>
    </w:p>
    <w:p w14:paraId="1DFE336A" w14:textId="470A1499" w:rsidR="00F35D6B" w:rsidRDefault="00D335F1">
      <w:pPr>
        <w:pStyle w:val="TDC1"/>
        <w:rPr>
          <w:rFonts w:asciiTheme="minorHAnsi" w:eastAsiaTheme="minorEastAsia" w:hAnsiTheme="minorHAnsi"/>
          <w:b w:val="0"/>
          <w:bCs w:val="0"/>
          <w:caps w:val="0"/>
          <w:noProof/>
          <w:sz w:val="22"/>
          <w:szCs w:val="22"/>
          <w:lang w:val="en-US" w:eastAsia="ja-JP"/>
        </w:rPr>
      </w:pPr>
      <w:r w:rsidRPr="44381A19">
        <w:rPr>
          <w:highlight w:val="yellow"/>
        </w:rPr>
        <w:fldChar w:fldCharType="begin"/>
      </w:r>
      <w:r w:rsidRPr="00822872">
        <w:rPr>
          <w:highlight w:val="yellow"/>
        </w:rPr>
        <w:instrText xml:space="preserve"> TOC \o "1-1" \h \z \u </w:instrText>
      </w:r>
      <w:r w:rsidRPr="44381A19">
        <w:rPr>
          <w:highlight w:val="yellow"/>
        </w:rPr>
        <w:fldChar w:fldCharType="separate"/>
      </w:r>
      <w:hyperlink w:anchor="_Toc19518059" w:history="1">
        <w:r w:rsidR="00F35D6B" w:rsidRPr="004830B3">
          <w:rPr>
            <w:rStyle w:val="Hipervnculo"/>
            <w:rFonts w:cstheme="minorHAnsi"/>
            <w:noProof/>
          </w:rPr>
          <w:t>Desempeño del Sector Pensiones</w:t>
        </w:r>
        <w:r w:rsidR="00F35D6B">
          <w:rPr>
            <w:noProof/>
            <w:webHidden/>
          </w:rPr>
          <w:tab/>
        </w:r>
        <w:r w:rsidR="00F35D6B">
          <w:rPr>
            <w:noProof/>
            <w:webHidden/>
          </w:rPr>
          <w:fldChar w:fldCharType="begin"/>
        </w:r>
        <w:r w:rsidR="00F35D6B">
          <w:rPr>
            <w:noProof/>
            <w:webHidden/>
          </w:rPr>
          <w:instrText xml:space="preserve"> PAGEREF _Toc19518059 \h </w:instrText>
        </w:r>
        <w:r w:rsidR="00F35D6B">
          <w:rPr>
            <w:noProof/>
            <w:webHidden/>
          </w:rPr>
        </w:r>
        <w:r w:rsidR="00F35D6B">
          <w:rPr>
            <w:noProof/>
            <w:webHidden/>
          </w:rPr>
          <w:fldChar w:fldCharType="separate"/>
        </w:r>
        <w:r w:rsidR="00F35D6B">
          <w:rPr>
            <w:noProof/>
            <w:webHidden/>
          </w:rPr>
          <w:t>5</w:t>
        </w:r>
        <w:r w:rsidR="00F35D6B">
          <w:rPr>
            <w:noProof/>
            <w:webHidden/>
          </w:rPr>
          <w:fldChar w:fldCharType="end"/>
        </w:r>
      </w:hyperlink>
    </w:p>
    <w:p w14:paraId="3C07302A" w14:textId="47020EA9" w:rsidR="00F35D6B" w:rsidRDefault="00F35D6B">
      <w:pPr>
        <w:pStyle w:val="TDC1"/>
        <w:rPr>
          <w:rFonts w:asciiTheme="minorHAnsi" w:eastAsiaTheme="minorEastAsia" w:hAnsiTheme="minorHAnsi"/>
          <w:b w:val="0"/>
          <w:bCs w:val="0"/>
          <w:caps w:val="0"/>
          <w:noProof/>
          <w:sz w:val="22"/>
          <w:szCs w:val="22"/>
          <w:lang w:val="en-US" w:eastAsia="ja-JP"/>
        </w:rPr>
      </w:pPr>
      <w:hyperlink w:anchor="_Toc19518060" w:history="1">
        <w:r w:rsidRPr="004830B3">
          <w:rPr>
            <w:rStyle w:val="Hipervnculo"/>
            <w:rFonts w:cstheme="minorHAnsi"/>
            <w:noProof/>
          </w:rPr>
          <w:t>Supervisión Basada en Riesgo</w:t>
        </w:r>
        <w:r>
          <w:rPr>
            <w:noProof/>
            <w:webHidden/>
          </w:rPr>
          <w:tab/>
        </w:r>
        <w:r>
          <w:rPr>
            <w:noProof/>
            <w:webHidden/>
          </w:rPr>
          <w:fldChar w:fldCharType="begin"/>
        </w:r>
        <w:r>
          <w:rPr>
            <w:noProof/>
            <w:webHidden/>
          </w:rPr>
          <w:instrText xml:space="preserve"> PAGEREF _Toc19518060 \h </w:instrText>
        </w:r>
        <w:r>
          <w:rPr>
            <w:noProof/>
            <w:webHidden/>
          </w:rPr>
        </w:r>
        <w:r>
          <w:rPr>
            <w:noProof/>
            <w:webHidden/>
          </w:rPr>
          <w:fldChar w:fldCharType="separate"/>
        </w:r>
        <w:r>
          <w:rPr>
            <w:noProof/>
            <w:webHidden/>
          </w:rPr>
          <w:t>27</w:t>
        </w:r>
        <w:r>
          <w:rPr>
            <w:noProof/>
            <w:webHidden/>
          </w:rPr>
          <w:fldChar w:fldCharType="end"/>
        </w:r>
      </w:hyperlink>
    </w:p>
    <w:p w14:paraId="7ACFA01C" w14:textId="3F52022C" w:rsidR="00F35D6B" w:rsidRDefault="00F35D6B">
      <w:pPr>
        <w:pStyle w:val="TDC1"/>
        <w:rPr>
          <w:rFonts w:asciiTheme="minorHAnsi" w:eastAsiaTheme="minorEastAsia" w:hAnsiTheme="minorHAnsi"/>
          <w:b w:val="0"/>
          <w:bCs w:val="0"/>
          <w:caps w:val="0"/>
          <w:noProof/>
          <w:sz w:val="22"/>
          <w:szCs w:val="22"/>
          <w:lang w:val="en-US" w:eastAsia="ja-JP"/>
        </w:rPr>
      </w:pPr>
      <w:hyperlink w:anchor="_Toc19518061" w:history="1">
        <w:r w:rsidRPr="004830B3">
          <w:rPr>
            <w:rStyle w:val="Hipervnculo"/>
            <w:rFonts w:cstheme="minorHAnsi"/>
            <w:noProof/>
          </w:rPr>
          <w:t>Normativa en Proceso para aprobación del Superintendente</w:t>
        </w:r>
        <w:r>
          <w:rPr>
            <w:noProof/>
            <w:webHidden/>
          </w:rPr>
          <w:tab/>
        </w:r>
        <w:r>
          <w:rPr>
            <w:noProof/>
            <w:webHidden/>
          </w:rPr>
          <w:fldChar w:fldCharType="begin"/>
        </w:r>
        <w:r>
          <w:rPr>
            <w:noProof/>
            <w:webHidden/>
          </w:rPr>
          <w:instrText xml:space="preserve"> PAGEREF _Toc19518061 \h </w:instrText>
        </w:r>
        <w:r>
          <w:rPr>
            <w:noProof/>
            <w:webHidden/>
          </w:rPr>
        </w:r>
        <w:r>
          <w:rPr>
            <w:noProof/>
            <w:webHidden/>
          </w:rPr>
          <w:fldChar w:fldCharType="separate"/>
        </w:r>
        <w:r>
          <w:rPr>
            <w:noProof/>
            <w:webHidden/>
          </w:rPr>
          <w:t>28</w:t>
        </w:r>
        <w:r>
          <w:rPr>
            <w:noProof/>
            <w:webHidden/>
          </w:rPr>
          <w:fldChar w:fldCharType="end"/>
        </w:r>
      </w:hyperlink>
    </w:p>
    <w:p w14:paraId="6D98A12B" w14:textId="38A0F56D" w:rsidR="00C215C6" w:rsidRDefault="00D335F1" w:rsidP="00D335F1">
      <w:r w:rsidRPr="44381A19">
        <w:fldChar w:fldCharType="end"/>
      </w:r>
    </w:p>
    <w:p w14:paraId="3FE9F23F" w14:textId="77777777" w:rsidR="00D335F1" w:rsidRDefault="00D335F1" w:rsidP="006739D2">
      <w:pPr>
        <w:spacing w:after="0" w:line="240" w:lineRule="auto"/>
        <w:rPr>
          <w:rFonts w:asciiTheme="majorHAnsi" w:eastAsiaTheme="majorEastAsia" w:hAnsiTheme="majorHAnsi" w:cstheme="majorBidi"/>
          <w:spacing w:val="-10"/>
          <w:kern w:val="28"/>
          <w:sz w:val="56"/>
          <w:szCs w:val="56"/>
        </w:rPr>
      </w:pPr>
      <w:r>
        <w:br w:type="page"/>
      </w:r>
    </w:p>
    <w:p w14:paraId="715555DF" w14:textId="77777777" w:rsidR="007D0BC7" w:rsidRPr="008F5D99" w:rsidRDefault="007D0BC7" w:rsidP="00C215C6">
      <w:pPr>
        <w:pStyle w:val="Ttulo1"/>
        <w:rPr>
          <w:rStyle w:val="eop"/>
          <w:rFonts w:asciiTheme="majorHAnsi" w:hAnsiTheme="majorHAnsi" w:cstheme="minorHAnsi"/>
        </w:rPr>
      </w:pPr>
      <w:bookmarkStart w:id="0" w:name="_Toc530737635"/>
      <w:bookmarkStart w:id="1" w:name="_Toc19518059"/>
      <w:r w:rsidRPr="008F5D99">
        <w:rPr>
          <w:rFonts w:asciiTheme="majorHAnsi" w:hAnsiTheme="majorHAnsi" w:cstheme="minorHAnsi"/>
        </w:rPr>
        <w:lastRenderedPageBreak/>
        <w:t>Desempeño del Sector Pensiones</w:t>
      </w:r>
      <w:bookmarkEnd w:id="0"/>
      <w:bookmarkEnd w:id="1"/>
    </w:p>
    <w:p w14:paraId="1F72F646" w14:textId="77777777" w:rsidR="007D0BC7" w:rsidRPr="008F5D99" w:rsidRDefault="007D0BC7" w:rsidP="00AB1521">
      <w:pPr>
        <w:spacing w:after="0" w:line="240" w:lineRule="auto"/>
        <w:jc w:val="both"/>
        <w:rPr>
          <w:rFonts w:asciiTheme="majorHAnsi" w:hAnsiTheme="majorHAnsi" w:cstheme="minorHAnsi"/>
        </w:rPr>
      </w:pPr>
    </w:p>
    <w:p w14:paraId="2962B88A" w14:textId="77777777" w:rsidR="007D0BC7" w:rsidRPr="008F5D99" w:rsidRDefault="007D0BC7" w:rsidP="00C215C6">
      <w:pPr>
        <w:pStyle w:val="Ttulo2"/>
        <w:rPr>
          <w:rFonts w:cstheme="minorHAnsi"/>
        </w:rPr>
      </w:pPr>
      <w:bookmarkStart w:id="2" w:name="_Toc530733755"/>
      <w:r w:rsidRPr="008F5D99">
        <w:rPr>
          <w:rFonts w:cstheme="minorHAnsi"/>
        </w:rPr>
        <w:t>Activos Administrados</w:t>
      </w:r>
      <w:bookmarkEnd w:id="2"/>
    </w:p>
    <w:p w14:paraId="08CE6F91" w14:textId="77777777" w:rsidR="007D0BC7" w:rsidRPr="008F5D99" w:rsidRDefault="007D0BC7" w:rsidP="00D03A51">
      <w:pPr>
        <w:spacing w:after="0" w:line="240" w:lineRule="auto"/>
        <w:jc w:val="both"/>
        <w:rPr>
          <w:rFonts w:asciiTheme="majorHAnsi" w:hAnsiTheme="majorHAnsi" w:cstheme="minorHAnsi"/>
        </w:rPr>
      </w:pPr>
    </w:p>
    <w:p w14:paraId="086FE963" w14:textId="31C13533" w:rsidR="007D0BC7" w:rsidRPr="008F5D99" w:rsidRDefault="007D0BC7" w:rsidP="3373A143">
      <w:pPr>
        <w:spacing w:after="0" w:line="240" w:lineRule="auto"/>
        <w:jc w:val="both"/>
        <w:rPr>
          <w:rFonts w:asciiTheme="majorHAnsi" w:hAnsiTheme="majorHAnsi"/>
        </w:rPr>
      </w:pPr>
      <w:r w:rsidRPr="3373A143">
        <w:rPr>
          <w:rFonts w:asciiTheme="majorHAnsi" w:hAnsiTheme="majorHAnsi"/>
        </w:rPr>
        <w:t>El Sistema Nacional de Pensiones (SNP) más el Fondo de Capitalización Laboral (FCL) cuentan</w:t>
      </w:r>
      <w:r w:rsidR="001853AE" w:rsidRPr="3373A143">
        <w:rPr>
          <w:rFonts w:asciiTheme="majorHAnsi" w:hAnsiTheme="majorHAnsi"/>
        </w:rPr>
        <w:t>,</w:t>
      </w:r>
      <w:r w:rsidRPr="3373A143">
        <w:rPr>
          <w:rFonts w:asciiTheme="majorHAnsi" w:hAnsiTheme="majorHAnsi"/>
        </w:rPr>
        <w:t xml:space="preserve"> a </w:t>
      </w:r>
      <w:r w:rsidR="0078552F" w:rsidRPr="3373A143">
        <w:rPr>
          <w:rFonts w:asciiTheme="majorHAnsi" w:hAnsiTheme="majorHAnsi"/>
        </w:rPr>
        <w:t>dic</w:t>
      </w:r>
      <w:r w:rsidRPr="3373A143">
        <w:rPr>
          <w:rFonts w:asciiTheme="majorHAnsi" w:hAnsiTheme="majorHAnsi"/>
        </w:rPr>
        <w:t>iembre</w:t>
      </w:r>
      <w:r w:rsidR="001853AE" w:rsidRPr="3373A143">
        <w:rPr>
          <w:rFonts w:asciiTheme="majorHAnsi" w:hAnsiTheme="majorHAnsi"/>
        </w:rPr>
        <w:t>,</w:t>
      </w:r>
      <w:r w:rsidRPr="3373A143">
        <w:rPr>
          <w:rFonts w:asciiTheme="majorHAnsi" w:hAnsiTheme="majorHAnsi"/>
        </w:rPr>
        <w:t xml:space="preserve"> con recursos administrados por un total de </w:t>
      </w:r>
      <w:r w:rsidR="00822872" w:rsidRPr="3373A143">
        <w:rPr>
          <w:rFonts w:asciiTheme="majorHAnsi" w:hAnsiTheme="majorHAnsi"/>
        </w:rPr>
        <w:t>13,</w:t>
      </w:r>
      <w:r w:rsidR="0082106A" w:rsidRPr="3373A143">
        <w:rPr>
          <w:rFonts w:asciiTheme="majorHAnsi" w:hAnsiTheme="majorHAnsi"/>
        </w:rPr>
        <w:t>2</w:t>
      </w:r>
      <w:r w:rsidRPr="3373A143">
        <w:rPr>
          <w:rFonts w:asciiTheme="majorHAnsi" w:hAnsiTheme="majorHAnsi"/>
        </w:rPr>
        <w:t xml:space="preserve"> billones de colones, esto corresponde al 38,</w:t>
      </w:r>
      <w:r w:rsidR="0082106A" w:rsidRPr="3373A143">
        <w:rPr>
          <w:rFonts w:asciiTheme="majorHAnsi" w:hAnsiTheme="majorHAnsi"/>
        </w:rPr>
        <w:t>1</w:t>
      </w:r>
      <w:r w:rsidRPr="3373A143">
        <w:rPr>
          <w:rFonts w:asciiTheme="majorHAnsi" w:hAnsiTheme="majorHAnsi"/>
        </w:rPr>
        <w:t>% del Producto Interno Bruto</w:t>
      </w:r>
      <w:r w:rsidR="00B46253" w:rsidRPr="3373A143">
        <w:rPr>
          <w:rStyle w:val="Refdenotaalpie"/>
          <w:rFonts w:asciiTheme="majorHAnsi" w:hAnsiTheme="majorHAnsi"/>
        </w:rPr>
        <w:footnoteReference w:id="2"/>
      </w:r>
      <w:r w:rsidRPr="3373A143">
        <w:rPr>
          <w:rFonts w:asciiTheme="majorHAnsi" w:hAnsiTheme="majorHAnsi"/>
        </w:rPr>
        <w:t xml:space="preserve">. El </w:t>
      </w:r>
      <w:r w:rsidR="00B46253" w:rsidRPr="3373A143">
        <w:rPr>
          <w:rFonts w:asciiTheme="majorHAnsi" w:hAnsiTheme="majorHAnsi"/>
        </w:rPr>
        <w:t>p</w:t>
      </w:r>
      <w:r w:rsidRPr="3373A143">
        <w:rPr>
          <w:rFonts w:asciiTheme="majorHAnsi" w:hAnsiTheme="majorHAnsi"/>
        </w:rPr>
        <w:t xml:space="preserve">rimer </w:t>
      </w:r>
      <w:r w:rsidR="00B46253" w:rsidRPr="3373A143">
        <w:rPr>
          <w:rFonts w:asciiTheme="majorHAnsi" w:hAnsiTheme="majorHAnsi"/>
        </w:rPr>
        <w:t>p</w:t>
      </w:r>
      <w:r w:rsidRPr="3373A143">
        <w:rPr>
          <w:rFonts w:asciiTheme="majorHAnsi" w:hAnsiTheme="majorHAnsi"/>
        </w:rPr>
        <w:t>ilar admin</w:t>
      </w:r>
      <w:r w:rsidR="001853AE" w:rsidRPr="3373A143">
        <w:rPr>
          <w:rFonts w:asciiTheme="majorHAnsi" w:hAnsiTheme="majorHAnsi"/>
        </w:rPr>
        <w:t>istra 5,</w:t>
      </w:r>
      <w:r w:rsidR="00822872" w:rsidRPr="3373A143">
        <w:rPr>
          <w:rFonts w:asciiTheme="majorHAnsi" w:hAnsiTheme="majorHAnsi"/>
        </w:rPr>
        <w:t xml:space="preserve">7 </w:t>
      </w:r>
      <w:r w:rsidR="001853AE" w:rsidRPr="3373A143">
        <w:rPr>
          <w:rFonts w:asciiTheme="majorHAnsi" w:hAnsiTheme="majorHAnsi"/>
        </w:rPr>
        <w:t xml:space="preserve">billones de colones, mientras </w:t>
      </w:r>
      <w:r w:rsidRPr="3373A143">
        <w:rPr>
          <w:rFonts w:asciiTheme="majorHAnsi" w:hAnsiTheme="majorHAnsi"/>
        </w:rPr>
        <w:t>el segundo y tercer pilar administran 6,</w:t>
      </w:r>
      <w:r w:rsidR="00822872" w:rsidRPr="3373A143">
        <w:rPr>
          <w:rFonts w:asciiTheme="majorHAnsi" w:hAnsiTheme="majorHAnsi"/>
        </w:rPr>
        <w:t>8</w:t>
      </w:r>
      <w:r w:rsidRPr="3373A143">
        <w:rPr>
          <w:rFonts w:asciiTheme="majorHAnsi" w:hAnsiTheme="majorHAnsi"/>
        </w:rPr>
        <w:t xml:space="preserve"> billones de colones, el restante </w:t>
      </w:r>
      <w:r w:rsidR="001853AE" w:rsidRPr="3373A143">
        <w:rPr>
          <w:rFonts w:asciiTheme="majorHAnsi" w:hAnsiTheme="majorHAnsi"/>
        </w:rPr>
        <w:t>(</w:t>
      </w:r>
      <w:r w:rsidRPr="3373A143">
        <w:rPr>
          <w:rFonts w:asciiTheme="majorHAnsi" w:hAnsiTheme="majorHAnsi"/>
        </w:rPr>
        <w:t>0,</w:t>
      </w:r>
      <w:r w:rsidR="00822872" w:rsidRPr="3373A143">
        <w:rPr>
          <w:rFonts w:asciiTheme="majorHAnsi" w:hAnsiTheme="majorHAnsi"/>
        </w:rPr>
        <w:t>6</w:t>
      </w:r>
      <w:r w:rsidRPr="3373A143">
        <w:rPr>
          <w:rFonts w:asciiTheme="majorHAnsi" w:hAnsiTheme="majorHAnsi"/>
        </w:rPr>
        <w:t xml:space="preserve"> </w:t>
      </w:r>
      <w:r w:rsidR="001853AE" w:rsidRPr="3373A143">
        <w:rPr>
          <w:rFonts w:asciiTheme="majorHAnsi" w:hAnsiTheme="majorHAnsi"/>
        </w:rPr>
        <w:t xml:space="preserve">billones de colones) </w:t>
      </w:r>
      <w:r w:rsidRPr="3373A143">
        <w:rPr>
          <w:rFonts w:asciiTheme="majorHAnsi" w:hAnsiTheme="majorHAnsi"/>
        </w:rPr>
        <w:t>corresponde al FCL.</w:t>
      </w:r>
    </w:p>
    <w:p w14:paraId="61CDCEAD" w14:textId="77777777" w:rsidR="00C14332" w:rsidRPr="008F5D99" w:rsidRDefault="00C14332" w:rsidP="00AB1521">
      <w:pPr>
        <w:spacing w:after="0" w:line="240" w:lineRule="auto"/>
        <w:jc w:val="both"/>
        <w:rPr>
          <w:rFonts w:asciiTheme="majorHAnsi" w:hAnsiTheme="majorHAnsi" w:cstheme="minorHAnsi"/>
        </w:rPr>
      </w:pPr>
    </w:p>
    <w:p w14:paraId="4BF1E326" w14:textId="77777777" w:rsidR="0033676D" w:rsidRPr="0033676D" w:rsidRDefault="0033676D" w:rsidP="0033676D">
      <w:pPr>
        <w:keepNext/>
        <w:spacing w:after="0" w:line="240" w:lineRule="auto"/>
        <w:jc w:val="center"/>
        <w:rPr>
          <w:rFonts w:asciiTheme="majorHAnsi" w:hAnsiTheme="majorHAnsi" w:cstheme="minorHAnsi"/>
        </w:rPr>
      </w:pPr>
      <w:r w:rsidRPr="0033676D">
        <w:rPr>
          <w:rFonts w:asciiTheme="majorHAnsi" w:hAnsiTheme="majorHAnsi" w:cstheme="minorHAnsi"/>
        </w:rPr>
        <w:t xml:space="preserve">Gráfico </w:t>
      </w:r>
      <w:r w:rsidRPr="0033676D">
        <w:rPr>
          <w:rFonts w:asciiTheme="majorHAnsi" w:hAnsiTheme="majorHAnsi" w:cstheme="minorHAnsi"/>
        </w:rPr>
        <w:fldChar w:fldCharType="begin"/>
      </w:r>
      <w:r w:rsidRPr="0033676D">
        <w:rPr>
          <w:rFonts w:asciiTheme="majorHAnsi" w:hAnsiTheme="majorHAnsi" w:cstheme="minorHAnsi"/>
        </w:rPr>
        <w:instrText xml:space="preserve"> SEQ Gráfico \* ARABIC </w:instrText>
      </w:r>
      <w:r w:rsidRPr="0033676D">
        <w:rPr>
          <w:rFonts w:asciiTheme="majorHAnsi" w:hAnsiTheme="majorHAnsi" w:cstheme="minorHAnsi"/>
        </w:rPr>
        <w:fldChar w:fldCharType="separate"/>
      </w:r>
      <w:r>
        <w:rPr>
          <w:rFonts w:asciiTheme="majorHAnsi" w:hAnsiTheme="majorHAnsi" w:cstheme="minorHAnsi"/>
          <w:noProof/>
        </w:rPr>
        <w:t>1</w:t>
      </w:r>
      <w:r w:rsidRPr="0033676D">
        <w:rPr>
          <w:rFonts w:asciiTheme="majorHAnsi" w:hAnsiTheme="majorHAnsi" w:cstheme="minorHAnsi"/>
        </w:rPr>
        <w:fldChar w:fldCharType="end"/>
      </w:r>
    </w:p>
    <w:p w14:paraId="4FC28FE8" w14:textId="77777777" w:rsidR="00C14332" w:rsidRPr="008F5D99" w:rsidRDefault="00C14332" w:rsidP="00C14332">
      <w:pPr>
        <w:spacing w:after="0" w:line="240" w:lineRule="auto"/>
        <w:jc w:val="center"/>
        <w:rPr>
          <w:rFonts w:asciiTheme="majorHAnsi" w:hAnsiTheme="majorHAnsi" w:cstheme="minorHAnsi"/>
        </w:rPr>
      </w:pPr>
      <w:r w:rsidRPr="008F5D99">
        <w:rPr>
          <w:rFonts w:asciiTheme="majorHAnsi" w:hAnsiTheme="majorHAnsi" w:cstheme="minorHAnsi"/>
        </w:rPr>
        <w:t>Activo del Sistema Nacional de Pensiones</w:t>
      </w:r>
    </w:p>
    <w:p w14:paraId="6F78E08C" w14:textId="77777777" w:rsidR="00C14332" w:rsidRPr="008F5D99" w:rsidRDefault="00C14332" w:rsidP="00C14332">
      <w:pPr>
        <w:spacing w:after="0" w:line="240" w:lineRule="auto"/>
        <w:jc w:val="center"/>
        <w:rPr>
          <w:rFonts w:asciiTheme="majorHAnsi" w:hAnsiTheme="majorHAnsi" w:cstheme="minorHAnsi"/>
        </w:rPr>
      </w:pPr>
      <w:r w:rsidRPr="008F5D99">
        <w:rPr>
          <w:rFonts w:asciiTheme="majorHAnsi" w:hAnsiTheme="majorHAnsi" w:cstheme="minorHAnsi"/>
        </w:rPr>
        <w:t>como porcentaje el Producto Interno Bruto</w:t>
      </w:r>
    </w:p>
    <w:p w14:paraId="76C8CFE0" w14:textId="77777777" w:rsidR="00C14332" w:rsidRDefault="00EB575C" w:rsidP="00C14332">
      <w:pPr>
        <w:spacing w:after="0" w:line="240" w:lineRule="auto"/>
        <w:jc w:val="center"/>
        <w:rPr>
          <w:rFonts w:asciiTheme="majorHAnsi" w:hAnsiTheme="majorHAnsi" w:cstheme="minorHAnsi"/>
        </w:rPr>
      </w:pPr>
      <w:r>
        <w:rPr>
          <w:rFonts w:asciiTheme="majorHAnsi" w:hAnsiTheme="majorHAnsi" w:cstheme="minorHAnsi"/>
        </w:rPr>
        <w:t>D</w:t>
      </w:r>
      <w:r w:rsidR="00C14332" w:rsidRPr="008F5D99">
        <w:rPr>
          <w:rFonts w:asciiTheme="majorHAnsi" w:hAnsiTheme="majorHAnsi" w:cstheme="minorHAnsi"/>
        </w:rPr>
        <w:t>iciembre de cada año</w:t>
      </w:r>
    </w:p>
    <w:p w14:paraId="7337116F" w14:textId="77777777" w:rsidR="00B46253" w:rsidRPr="008F5D99" w:rsidRDefault="00B46253" w:rsidP="00B46253">
      <w:pPr>
        <w:spacing w:after="0" w:line="240" w:lineRule="auto"/>
        <w:jc w:val="center"/>
        <w:rPr>
          <w:rFonts w:asciiTheme="majorHAnsi" w:hAnsiTheme="majorHAnsi" w:cstheme="minorHAnsi"/>
        </w:rPr>
      </w:pPr>
      <w:r w:rsidRPr="008F5D99">
        <w:rPr>
          <w:rFonts w:asciiTheme="majorHAnsi" w:hAnsiTheme="majorHAnsi" w:cstheme="minorHAnsi"/>
        </w:rPr>
        <w:t>En billones de colones</w:t>
      </w:r>
      <w:r w:rsidR="00EB575C">
        <w:rPr>
          <w:rFonts w:asciiTheme="majorHAnsi" w:hAnsiTheme="majorHAnsi" w:cstheme="minorHAnsi"/>
        </w:rPr>
        <w:t xml:space="preserve"> costarricenses</w:t>
      </w:r>
    </w:p>
    <w:p w14:paraId="6BB9E253" w14:textId="77777777" w:rsidR="004E49EC" w:rsidRPr="008F5D99" w:rsidRDefault="004E49EC" w:rsidP="004E49EC">
      <w:pPr>
        <w:spacing w:after="20" w:line="240" w:lineRule="auto"/>
        <w:jc w:val="center"/>
        <w:rPr>
          <w:rFonts w:asciiTheme="majorHAnsi" w:hAnsiTheme="majorHAnsi" w:cstheme="minorHAnsi"/>
        </w:rPr>
      </w:pPr>
      <w:r w:rsidRPr="008F5D99">
        <w:rPr>
          <w:rFonts w:asciiTheme="majorHAnsi" w:hAnsiTheme="majorHAnsi" w:cstheme="minorHAnsi"/>
          <w:noProof/>
        </w:rPr>
        <w:drawing>
          <wp:inline distT="0" distB="0" distL="0" distR="0" wp14:anchorId="4E4E164A" wp14:editId="24B9E6DB">
            <wp:extent cx="4572000" cy="2743200"/>
            <wp:effectExtent l="0" t="0" r="0" b="0"/>
            <wp:docPr id="3" name="Gráfico 3">
              <a:extLst xmlns:a="http://schemas.openxmlformats.org/drawingml/2006/main">
                <a:ext uri="{FF2B5EF4-FFF2-40B4-BE49-F238E27FC236}">
                  <a16:creationId xmlns:a16="http://schemas.microsoft.com/office/drawing/2014/main" id="{FE125FBB-C49E-4E33-A4E0-4C00119F9E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E9868E" w14:textId="77777777" w:rsidR="004E49EC" w:rsidRPr="009B7058" w:rsidRDefault="004E49EC" w:rsidP="00C14332">
      <w:pPr>
        <w:spacing w:after="0" w:line="240" w:lineRule="auto"/>
        <w:ind w:left="851" w:right="900"/>
        <w:jc w:val="both"/>
        <w:rPr>
          <w:rFonts w:asciiTheme="majorHAnsi" w:hAnsiTheme="majorHAnsi" w:cstheme="minorHAnsi"/>
          <w:sz w:val="20"/>
        </w:rPr>
      </w:pPr>
      <w:r w:rsidRPr="009B7058">
        <w:rPr>
          <w:rFonts w:asciiTheme="majorHAnsi" w:hAnsiTheme="majorHAnsi" w:cstheme="minorHAnsi"/>
          <w:sz w:val="20"/>
        </w:rPr>
        <w:t>Fuente: Elaboración de SUPEN con datos suministrados por los fondos</w:t>
      </w:r>
    </w:p>
    <w:p w14:paraId="0212E08C" w14:textId="77777777" w:rsidR="004E49EC" w:rsidRPr="009B7058" w:rsidRDefault="004E49EC" w:rsidP="00C14332">
      <w:pPr>
        <w:spacing w:after="0" w:line="240" w:lineRule="auto"/>
        <w:ind w:left="851" w:right="900"/>
        <w:jc w:val="both"/>
        <w:rPr>
          <w:rFonts w:asciiTheme="majorHAnsi" w:hAnsiTheme="majorHAnsi" w:cstheme="minorHAnsi"/>
          <w:sz w:val="20"/>
        </w:rPr>
      </w:pPr>
      <w:r w:rsidRPr="009B7058">
        <w:rPr>
          <w:rFonts w:asciiTheme="majorHAnsi" w:hAnsiTheme="majorHAnsi" w:cstheme="minorHAnsi"/>
          <w:sz w:val="20"/>
        </w:rPr>
        <w:t>*</w:t>
      </w:r>
      <w:r w:rsidR="00C14332" w:rsidRPr="009B7058">
        <w:rPr>
          <w:rFonts w:asciiTheme="majorHAnsi" w:hAnsiTheme="majorHAnsi" w:cstheme="minorHAnsi"/>
          <w:sz w:val="20"/>
        </w:rPr>
        <w:t xml:space="preserve"> </w:t>
      </w:r>
      <w:r w:rsidRPr="009B7058">
        <w:rPr>
          <w:rFonts w:asciiTheme="majorHAnsi" w:hAnsiTheme="majorHAnsi" w:cstheme="minorHAnsi"/>
          <w:sz w:val="20"/>
        </w:rPr>
        <w:t>El activo del IVM y PJ utilizado es a noviembre, último dato disponible a la fecha de elaboración del informe.</w:t>
      </w:r>
    </w:p>
    <w:p w14:paraId="23DE523C" w14:textId="77777777" w:rsidR="007D0BC7" w:rsidRPr="008F5D99" w:rsidRDefault="007D0BC7" w:rsidP="00AB1521">
      <w:pPr>
        <w:spacing w:after="0" w:line="240" w:lineRule="auto"/>
        <w:jc w:val="both"/>
        <w:rPr>
          <w:rFonts w:asciiTheme="majorHAnsi" w:hAnsiTheme="majorHAnsi" w:cstheme="minorHAnsi"/>
        </w:rPr>
      </w:pPr>
    </w:p>
    <w:p w14:paraId="619DBB1B" w14:textId="77777777" w:rsidR="007D0BC7" w:rsidRPr="008F5D99" w:rsidRDefault="23EB6D18" w:rsidP="00AB1521">
      <w:pPr>
        <w:spacing w:after="0" w:line="240" w:lineRule="auto"/>
        <w:jc w:val="both"/>
        <w:rPr>
          <w:rFonts w:asciiTheme="majorHAnsi" w:hAnsiTheme="majorHAnsi" w:cstheme="minorHAnsi"/>
        </w:rPr>
      </w:pPr>
      <w:r w:rsidRPr="008F5D99">
        <w:rPr>
          <w:rFonts w:asciiTheme="majorHAnsi" w:hAnsiTheme="majorHAnsi" w:cstheme="minorHAnsi"/>
        </w:rPr>
        <w:t xml:space="preserve">A pesar del continuo crecimiento de todos los pilares del sistema de pensiones, la importancia relativa de cada uno de ellos ha cambiado en los </w:t>
      </w:r>
      <w:r w:rsidR="006B50F2" w:rsidRPr="008F5D99">
        <w:rPr>
          <w:rFonts w:asciiTheme="majorHAnsi" w:hAnsiTheme="majorHAnsi" w:cstheme="minorHAnsi"/>
        </w:rPr>
        <w:t>últimos años. La participación</w:t>
      </w:r>
      <w:r w:rsidRPr="008F5D99">
        <w:rPr>
          <w:rFonts w:asciiTheme="majorHAnsi" w:hAnsiTheme="majorHAnsi" w:cstheme="minorHAnsi"/>
        </w:rPr>
        <w:t xml:space="preserve"> dentro del sistema de los recursos administrados correspondientes el Régimen Obligatorio de Pensiones Com</w:t>
      </w:r>
      <w:r w:rsidR="002A15B1" w:rsidRPr="008F5D99">
        <w:rPr>
          <w:rFonts w:asciiTheme="majorHAnsi" w:hAnsiTheme="majorHAnsi" w:cstheme="minorHAnsi"/>
        </w:rPr>
        <w:t>plementarias (ROP) y Regímenes Ocupacionales C</w:t>
      </w:r>
      <w:r w:rsidRPr="008F5D99">
        <w:rPr>
          <w:rFonts w:asciiTheme="majorHAnsi" w:hAnsiTheme="majorHAnsi" w:cstheme="minorHAnsi"/>
        </w:rPr>
        <w:t xml:space="preserve">omplementarios es cada vez más relevante. A </w:t>
      </w:r>
      <w:r w:rsidR="0078552F">
        <w:rPr>
          <w:rFonts w:asciiTheme="majorHAnsi" w:hAnsiTheme="majorHAnsi" w:cstheme="minorHAnsi"/>
        </w:rPr>
        <w:t>dic</w:t>
      </w:r>
      <w:r w:rsidRPr="008F5D99">
        <w:rPr>
          <w:rFonts w:asciiTheme="majorHAnsi" w:hAnsiTheme="majorHAnsi" w:cstheme="minorHAnsi"/>
        </w:rPr>
        <w:t xml:space="preserve">iembre 2018 el denominado segundo pilar representaba </w:t>
      </w:r>
      <w:r w:rsidR="00082124" w:rsidRPr="008F5D99">
        <w:rPr>
          <w:rFonts w:asciiTheme="majorHAnsi" w:hAnsiTheme="majorHAnsi" w:cstheme="minorHAnsi"/>
        </w:rPr>
        <w:t>49,</w:t>
      </w:r>
      <w:r w:rsidR="00B46253">
        <w:rPr>
          <w:rFonts w:asciiTheme="majorHAnsi" w:hAnsiTheme="majorHAnsi" w:cstheme="minorHAnsi"/>
        </w:rPr>
        <w:t>2</w:t>
      </w:r>
      <w:r w:rsidRPr="008F5D99">
        <w:rPr>
          <w:rFonts w:asciiTheme="majorHAnsi" w:hAnsiTheme="majorHAnsi" w:cstheme="minorHAnsi"/>
        </w:rPr>
        <w:t xml:space="preserve">% del total de sistema (incluyendo FCL). Este comportamiento es reflejo de los diferentes estados de madurez de los regímenes. En el caso de primer pilar, si bien es cierto tiene importantes aportaciones, también lo es el hecho de que se pagan beneficios. </w:t>
      </w:r>
    </w:p>
    <w:p w14:paraId="52E56223" w14:textId="77777777" w:rsidR="0078552F" w:rsidRDefault="0078552F" w:rsidP="0033676D">
      <w:pPr>
        <w:spacing w:after="0" w:line="240" w:lineRule="auto"/>
        <w:jc w:val="center"/>
        <w:rPr>
          <w:rFonts w:asciiTheme="majorHAnsi" w:hAnsiTheme="majorHAnsi" w:cstheme="minorHAnsi"/>
        </w:rPr>
      </w:pPr>
      <w:r>
        <w:rPr>
          <w:rFonts w:asciiTheme="majorHAnsi" w:hAnsiTheme="majorHAnsi" w:cstheme="minorHAnsi"/>
        </w:rPr>
        <w:br w:type="page"/>
      </w:r>
    </w:p>
    <w:p w14:paraId="7E760243" w14:textId="77777777" w:rsidR="00852DD8" w:rsidRPr="008F5D99" w:rsidRDefault="0033676D" w:rsidP="0033676D">
      <w:pPr>
        <w:spacing w:after="0" w:line="240" w:lineRule="auto"/>
        <w:jc w:val="center"/>
        <w:rPr>
          <w:rFonts w:asciiTheme="majorHAnsi" w:hAnsiTheme="majorHAnsi" w:cstheme="minorHAnsi"/>
        </w:rPr>
      </w:pPr>
      <w:r w:rsidRPr="0033676D">
        <w:rPr>
          <w:rFonts w:asciiTheme="majorHAnsi" w:hAnsiTheme="majorHAnsi" w:cstheme="minorHAnsi"/>
        </w:rPr>
        <w:lastRenderedPageBreak/>
        <w:t xml:space="preserve">Cuadro </w:t>
      </w:r>
      <w:r w:rsidRPr="0033676D">
        <w:rPr>
          <w:rFonts w:asciiTheme="majorHAnsi" w:hAnsiTheme="majorHAnsi" w:cstheme="minorHAnsi"/>
        </w:rPr>
        <w:fldChar w:fldCharType="begin"/>
      </w:r>
      <w:r w:rsidRPr="0033676D">
        <w:rPr>
          <w:rFonts w:asciiTheme="majorHAnsi" w:hAnsiTheme="majorHAnsi" w:cstheme="minorHAnsi"/>
        </w:rPr>
        <w:instrText xml:space="preserve"> SEQ Cuadro \* ARABIC </w:instrText>
      </w:r>
      <w:r w:rsidRPr="0033676D">
        <w:rPr>
          <w:rFonts w:asciiTheme="majorHAnsi" w:hAnsiTheme="majorHAnsi" w:cstheme="minorHAnsi"/>
        </w:rPr>
        <w:fldChar w:fldCharType="separate"/>
      </w:r>
      <w:r w:rsidR="00947FD6">
        <w:rPr>
          <w:rFonts w:asciiTheme="majorHAnsi" w:hAnsiTheme="majorHAnsi" w:cstheme="minorHAnsi"/>
          <w:noProof/>
        </w:rPr>
        <w:t>1</w:t>
      </w:r>
      <w:r w:rsidRPr="0033676D">
        <w:rPr>
          <w:rFonts w:asciiTheme="majorHAnsi" w:hAnsiTheme="majorHAnsi" w:cstheme="minorHAnsi"/>
        </w:rPr>
        <w:fldChar w:fldCharType="end"/>
      </w:r>
    </w:p>
    <w:p w14:paraId="5D7E6387"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SNP: Activos Administrados</w:t>
      </w:r>
    </w:p>
    <w:p w14:paraId="3E09FB79" w14:textId="77777777" w:rsidR="007D0BC7" w:rsidRPr="008F5D99" w:rsidRDefault="008760FD" w:rsidP="00AB1521">
      <w:pPr>
        <w:spacing w:after="0" w:line="240" w:lineRule="auto"/>
        <w:jc w:val="center"/>
        <w:rPr>
          <w:rFonts w:asciiTheme="majorHAnsi" w:hAnsiTheme="majorHAnsi" w:cstheme="minorHAnsi"/>
        </w:rPr>
      </w:pPr>
      <w:r w:rsidRPr="008F5D99">
        <w:rPr>
          <w:rFonts w:asciiTheme="majorHAnsi" w:hAnsiTheme="majorHAnsi" w:cstheme="minorHAnsi"/>
        </w:rPr>
        <w:t>Dic</w:t>
      </w:r>
      <w:r w:rsidR="007D0BC7" w:rsidRPr="008F5D99">
        <w:rPr>
          <w:rFonts w:asciiTheme="majorHAnsi" w:hAnsiTheme="majorHAnsi" w:cstheme="minorHAnsi"/>
        </w:rPr>
        <w:t>iembre de cada año</w:t>
      </w:r>
    </w:p>
    <w:p w14:paraId="730E327A" w14:textId="77777777" w:rsidR="008760FD" w:rsidRPr="008F5D99" w:rsidRDefault="008760FD" w:rsidP="00AB1521">
      <w:pPr>
        <w:spacing w:after="0" w:line="240" w:lineRule="auto"/>
        <w:jc w:val="center"/>
        <w:rPr>
          <w:rFonts w:asciiTheme="majorHAnsi" w:hAnsiTheme="majorHAnsi" w:cstheme="minorHAnsi"/>
        </w:rPr>
      </w:pPr>
      <w:r w:rsidRPr="008F5D99">
        <w:rPr>
          <w:rFonts w:asciiTheme="majorHAnsi" w:hAnsiTheme="majorHAnsi" w:cstheme="minorHAnsi"/>
        </w:rPr>
        <w:t>Billones de colones costarricenses</w:t>
      </w:r>
    </w:p>
    <w:tbl>
      <w:tblPr>
        <w:tblW w:w="9374" w:type="dxa"/>
        <w:jc w:val="center"/>
        <w:tblLayout w:type="fixed"/>
        <w:tblCellMar>
          <w:left w:w="70" w:type="dxa"/>
          <w:right w:w="70" w:type="dxa"/>
        </w:tblCellMar>
        <w:tblLook w:val="04A0" w:firstRow="1" w:lastRow="0" w:firstColumn="1" w:lastColumn="0" w:noHBand="0" w:noVBand="1"/>
      </w:tblPr>
      <w:tblGrid>
        <w:gridCol w:w="761"/>
        <w:gridCol w:w="940"/>
        <w:gridCol w:w="869"/>
        <w:gridCol w:w="1116"/>
        <w:gridCol w:w="869"/>
        <w:gridCol w:w="832"/>
        <w:gridCol w:w="869"/>
        <w:gridCol w:w="551"/>
        <w:gridCol w:w="942"/>
        <w:gridCol w:w="756"/>
        <w:gridCol w:w="869"/>
      </w:tblGrid>
      <w:tr w:rsidR="008760FD" w:rsidRPr="008F5D99" w14:paraId="436AD745" w14:textId="77777777" w:rsidTr="0E4CD856">
        <w:trPr>
          <w:trHeight w:val="169"/>
          <w:jc w:val="center"/>
        </w:trPr>
        <w:tc>
          <w:tcPr>
            <w:tcW w:w="761" w:type="dxa"/>
            <w:tcBorders>
              <w:top w:val="single" w:sz="4" w:space="0" w:color="auto"/>
              <w:left w:val="nil"/>
              <w:bottom w:val="double" w:sz="6" w:space="0" w:color="auto"/>
              <w:right w:val="nil"/>
            </w:tcBorders>
            <w:shd w:val="clear" w:color="auto" w:fill="auto"/>
            <w:noWrap/>
            <w:vAlign w:val="center"/>
            <w:hideMark/>
          </w:tcPr>
          <w:p w14:paraId="6D7CADB1" w14:textId="77777777" w:rsidR="00313A0F" w:rsidRPr="008F5D99" w:rsidRDefault="00313A0F" w:rsidP="00127E00">
            <w:pPr>
              <w:spacing w:after="0" w:line="240" w:lineRule="auto"/>
              <w:rPr>
                <w:rFonts w:asciiTheme="majorHAnsi" w:eastAsia="Times New Roman" w:hAnsiTheme="majorHAnsi" w:cstheme="minorHAnsi"/>
                <w:b/>
                <w:color w:val="000000"/>
                <w:lang w:val="es-CR" w:eastAsia="es-CR"/>
              </w:rPr>
            </w:pPr>
            <w:r w:rsidRPr="008F5D99">
              <w:rPr>
                <w:rFonts w:asciiTheme="majorHAnsi" w:eastAsia="Times New Roman" w:hAnsiTheme="majorHAnsi" w:cstheme="minorHAnsi"/>
                <w:b/>
                <w:color w:val="000000"/>
                <w:lang w:val="es-CR" w:eastAsia="es-CR"/>
              </w:rPr>
              <w:t>Año</w:t>
            </w:r>
          </w:p>
        </w:tc>
        <w:tc>
          <w:tcPr>
            <w:tcW w:w="940" w:type="dxa"/>
            <w:tcBorders>
              <w:top w:val="single" w:sz="4" w:space="0" w:color="auto"/>
              <w:left w:val="nil"/>
              <w:bottom w:val="double" w:sz="6" w:space="0" w:color="auto"/>
              <w:right w:val="nil"/>
            </w:tcBorders>
            <w:shd w:val="clear" w:color="auto" w:fill="auto"/>
            <w:noWrap/>
            <w:vAlign w:val="center"/>
            <w:hideMark/>
          </w:tcPr>
          <w:p w14:paraId="582E990A" w14:textId="77777777" w:rsidR="00313A0F" w:rsidRPr="008F5D99" w:rsidRDefault="00313A0F" w:rsidP="008760FD">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Primer Pilar</w:t>
            </w:r>
          </w:p>
        </w:tc>
        <w:tc>
          <w:tcPr>
            <w:tcW w:w="869" w:type="dxa"/>
            <w:tcBorders>
              <w:top w:val="single" w:sz="4" w:space="0" w:color="auto"/>
              <w:left w:val="nil"/>
              <w:bottom w:val="double" w:sz="6" w:space="0" w:color="auto"/>
              <w:right w:val="nil"/>
            </w:tcBorders>
            <w:shd w:val="clear" w:color="auto" w:fill="auto"/>
            <w:noWrap/>
            <w:vAlign w:val="center"/>
            <w:hideMark/>
          </w:tcPr>
          <w:p w14:paraId="4660E56C" w14:textId="77777777" w:rsidR="00313A0F" w:rsidRPr="008F5D99" w:rsidRDefault="00313A0F" w:rsidP="00313A0F">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w:t>
            </w:r>
          </w:p>
        </w:tc>
        <w:tc>
          <w:tcPr>
            <w:tcW w:w="1116" w:type="dxa"/>
            <w:tcBorders>
              <w:top w:val="single" w:sz="4" w:space="0" w:color="auto"/>
              <w:left w:val="nil"/>
              <w:bottom w:val="double" w:sz="6" w:space="0" w:color="auto"/>
              <w:right w:val="nil"/>
            </w:tcBorders>
            <w:shd w:val="clear" w:color="auto" w:fill="auto"/>
            <w:noWrap/>
            <w:vAlign w:val="center"/>
            <w:hideMark/>
          </w:tcPr>
          <w:p w14:paraId="6650947A" w14:textId="77777777" w:rsidR="00313A0F" w:rsidRPr="008F5D99" w:rsidRDefault="00313A0F" w:rsidP="008760FD">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Segundo Pilar</w:t>
            </w:r>
          </w:p>
        </w:tc>
        <w:tc>
          <w:tcPr>
            <w:tcW w:w="869" w:type="dxa"/>
            <w:tcBorders>
              <w:top w:val="single" w:sz="4" w:space="0" w:color="auto"/>
              <w:left w:val="nil"/>
              <w:bottom w:val="double" w:sz="6" w:space="0" w:color="auto"/>
              <w:right w:val="nil"/>
            </w:tcBorders>
            <w:shd w:val="clear" w:color="auto" w:fill="auto"/>
            <w:noWrap/>
            <w:vAlign w:val="center"/>
            <w:hideMark/>
          </w:tcPr>
          <w:p w14:paraId="442E6BC8" w14:textId="77777777" w:rsidR="00313A0F" w:rsidRPr="008F5D99" w:rsidRDefault="00313A0F" w:rsidP="00313A0F">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w:t>
            </w:r>
          </w:p>
        </w:tc>
        <w:tc>
          <w:tcPr>
            <w:tcW w:w="832" w:type="dxa"/>
            <w:tcBorders>
              <w:top w:val="single" w:sz="4" w:space="0" w:color="auto"/>
              <w:left w:val="nil"/>
              <w:bottom w:val="double" w:sz="6" w:space="0" w:color="auto"/>
              <w:right w:val="nil"/>
            </w:tcBorders>
            <w:shd w:val="clear" w:color="auto" w:fill="auto"/>
            <w:noWrap/>
            <w:vAlign w:val="center"/>
            <w:hideMark/>
          </w:tcPr>
          <w:p w14:paraId="333B28FA" w14:textId="77777777" w:rsidR="00313A0F" w:rsidRPr="008F5D99" w:rsidRDefault="00313A0F" w:rsidP="008760FD">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Tercer Pilar</w:t>
            </w:r>
          </w:p>
        </w:tc>
        <w:tc>
          <w:tcPr>
            <w:tcW w:w="869" w:type="dxa"/>
            <w:tcBorders>
              <w:top w:val="single" w:sz="4" w:space="0" w:color="auto"/>
              <w:left w:val="nil"/>
              <w:bottom w:val="double" w:sz="6" w:space="0" w:color="auto"/>
              <w:right w:val="nil"/>
            </w:tcBorders>
            <w:shd w:val="clear" w:color="auto" w:fill="auto"/>
            <w:noWrap/>
            <w:vAlign w:val="center"/>
            <w:hideMark/>
          </w:tcPr>
          <w:p w14:paraId="171B9790" w14:textId="77777777" w:rsidR="00313A0F" w:rsidRPr="008F5D99" w:rsidRDefault="00313A0F" w:rsidP="00313A0F">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w:t>
            </w:r>
          </w:p>
        </w:tc>
        <w:tc>
          <w:tcPr>
            <w:tcW w:w="551" w:type="dxa"/>
            <w:tcBorders>
              <w:top w:val="single" w:sz="4" w:space="0" w:color="auto"/>
              <w:left w:val="nil"/>
              <w:bottom w:val="double" w:sz="6" w:space="0" w:color="auto"/>
              <w:right w:val="nil"/>
            </w:tcBorders>
            <w:shd w:val="clear" w:color="auto" w:fill="auto"/>
            <w:noWrap/>
            <w:vAlign w:val="center"/>
            <w:hideMark/>
          </w:tcPr>
          <w:p w14:paraId="4541E6DF" w14:textId="77777777" w:rsidR="00313A0F" w:rsidRPr="008F5D99" w:rsidRDefault="008760FD" w:rsidP="008760FD">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FCL</w:t>
            </w:r>
          </w:p>
        </w:tc>
        <w:tc>
          <w:tcPr>
            <w:tcW w:w="942" w:type="dxa"/>
            <w:tcBorders>
              <w:top w:val="single" w:sz="4" w:space="0" w:color="auto"/>
              <w:left w:val="nil"/>
              <w:bottom w:val="double" w:sz="6" w:space="0" w:color="auto"/>
              <w:right w:val="nil"/>
            </w:tcBorders>
            <w:shd w:val="clear" w:color="auto" w:fill="auto"/>
            <w:noWrap/>
            <w:vAlign w:val="center"/>
            <w:hideMark/>
          </w:tcPr>
          <w:p w14:paraId="5923175B" w14:textId="77777777" w:rsidR="00313A0F" w:rsidRPr="008F5D99" w:rsidRDefault="00313A0F" w:rsidP="00313A0F">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w:t>
            </w:r>
          </w:p>
        </w:tc>
        <w:tc>
          <w:tcPr>
            <w:tcW w:w="756" w:type="dxa"/>
            <w:tcBorders>
              <w:top w:val="single" w:sz="4" w:space="0" w:color="auto"/>
              <w:left w:val="nil"/>
              <w:bottom w:val="double" w:sz="6" w:space="0" w:color="auto"/>
              <w:right w:val="nil"/>
            </w:tcBorders>
            <w:shd w:val="clear" w:color="auto" w:fill="auto"/>
            <w:noWrap/>
            <w:vAlign w:val="center"/>
            <w:hideMark/>
          </w:tcPr>
          <w:p w14:paraId="46FE0C09" w14:textId="77777777" w:rsidR="00313A0F" w:rsidRPr="003E3001" w:rsidRDefault="00313A0F" w:rsidP="008760FD">
            <w:pPr>
              <w:spacing w:after="0" w:line="240" w:lineRule="auto"/>
              <w:jc w:val="right"/>
              <w:rPr>
                <w:rFonts w:asciiTheme="majorHAnsi" w:eastAsia="Times New Roman" w:hAnsiTheme="majorHAnsi" w:cstheme="minorHAnsi"/>
                <w:b/>
                <w:bCs/>
                <w:color w:val="000000"/>
                <w:lang w:val="es-CR" w:eastAsia="es-CR"/>
              </w:rPr>
            </w:pPr>
            <w:r w:rsidRPr="003E3001">
              <w:rPr>
                <w:rFonts w:asciiTheme="majorHAnsi" w:eastAsia="Times New Roman" w:hAnsiTheme="majorHAnsi" w:cstheme="minorHAnsi"/>
                <w:b/>
                <w:bCs/>
                <w:color w:val="000000"/>
                <w:lang w:val="es-CR" w:eastAsia="es-CR"/>
              </w:rPr>
              <w:t>Total</w:t>
            </w:r>
          </w:p>
        </w:tc>
        <w:tc>
          <w:tcPr>
            <w:tcW w:w="869" w:type="dxa"/>
            <w:tcBorders>
              <w:top w:val="single" w:sz="4" w:space="0" w:color="auto"/>
              <w:left w:val="nil"/>
              <w:bottom w:val="double" w:sz="6" w:space="0" w:color="auto"/>
              <w:right w:val="nil"/>
            </w:tcBorders>
            <w:shd w:val="clear" w:color="auto" w:fill="auto"/>
            <w:noWrap/>
            <w:vAlign w:val="center"/>
            <w:hideMark/>
          </w:tcPr>
          <w:p w14:paraId="39308D09" w14:textId="77777777" w:rsidR="00313A0F" w:rsidRPr="003E3001" w:rsidRDefault="00313A0F" w:rsidP="00313A0F">
            <w:pPr>
              <w:spacing w:after="0" w:line="240" w:lineRule="auto"/>
              <w:jc w:val="center"/>
              <w:rPr>
                <w:rFonts w:asciiTheme="majorHAnsi" w:eastAsia="Times New Roman" w:hAnsiTheme="majorHAnsi" w:cstheme="minorHAnsi"/>
                <w:b/>
                <w:bCs/>
                <w:color w:val="000000"/>
                <w:lang w:val="es-CR" w:eastAsia="es-CR"/>
              </w:rPr>
            </w:pPr>
            <w:r w:rsidRPr="003E3001">
              <w:rPr>
                <w:rFonts w:asciiTheme="majorHAnsi" w:eastAsia="Times New Roman" w:hAnsiTheme="majorHAnsi" w:cstheme="minorHAnsi"/>
                <w:b/>
                <w:bCs/>
                <w:color w:val="000000"/>
                <w:lang w:val="es-CR" w:eastAsia="es-CR"/>
              </w:rPr>
              <w:t>∆</w:t>
            </w:r>
          </w:p>
        </w:tc>
      </w:tr>
      <w:tr w:rsidR="00B46253" w:rsidRPr="008F5D99" w14:paraId="3BD2154C" w14:textId="77777777" w:rsidTr="0E4CD856">
        <w:trPr>
          <w:trHeight w:val="169"/>
          <w:jc w:val="center"/>
        </w:trPr>
        <w:tc>
          <w:tcPr>
            <w:tcW w:w="761" w:type="dxa"/>
            <w:tcBorders>
              <w:top w:val="nil"/>
              <w:left w:val="nil"/>
              <w:bottom w:val="nil"/>
              <w:right w:val="nil"/>
            </w:tcBorders>
            <w:shd w:val="clear" w:color="auto" w:fill="auto"/>
            <w:noWrap/>
            <w:vAlign w:val="bottom"/>
            <w:hideMark/>
          </w:tcPr>
          <w:p w14:paraId="749D3916" w14:textId="77777777" w:rsidR="00B46253" w:rsidRPr="008F5D99" w:rsidRDefault="00B46253" w:rsidP="00B46253">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2014</w:t>
            </w:r>
          </w:p>
        </w:tc>
        <w:tc>
          <w:tcPr>
            <w:tcW w:w="940" w:type="dxa"/>
            <w:tcBorders>
              <w:top w:val="nil"/>
              <w:left w:val="nil"/>
              <w:bottom w:val="nil"/>
              <w:right w:val="nil"/>
            </w:tcBorders>
            <w:shd w:val="clear" w:color="auto" w:fill="auto"/>
            <w:noWrap/>
            <w:vAlign w:val="bottom"/>
            <w:hideMark/>
          </w:tcPr>
          <w:p w14:paraId="5565341A"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3,66 </w:t>
            </w:r>
          </w:p>
        </w:tc>
        <w:tc>
          <w:tcPr>
            <w:tcW w:w="869" w:type="dxa"/>
            <w:tcBorders>
              <w:top w:val="nil"/>
              <w:left w:val="nil"/>
              <w:bottom w:val="nil"/>
              <w:right w:val="nil"/>
            </w:tcBorders>
            <w:shd w:val="clear" w:color="auto" w:fill="auto"/>
            <w:noWrap/>
            <w:vAlign w:val="bottom"/>
            <w:hideMark/>
          </w:tcPr>
          <w:p w14:paraId="3AE8CE7E"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10,18%</w:t>
            </w:r>
          </w:p>
        </w:tc>
        <w:tc>
          <w:tcPr>
            <w:tcW w:w="1116" w:type="dxa"/>
            <w:tcBorders>
              <w:top w:val="nil"/>
              <w:left w:val="nil"/>
              <w:bottom w:val="nil"/>
              <w:right w:val="nil"/>
            </w:tcBorders>
            <w:shd w:val="clear" w:color="auto" w:fill="auto"/>
            <w:noWrap/>
            <w:vAlign w:val="bottom"/>
            <w:hideMark/>
          </w:tcPr>
          <w:p w14:paraId="404456EB"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3,89 </w:t>
            </w:r>
          </w:p>
        </w:tc>
        <w:tc>
          <w:tcPr>
            <w:tcW w:w="869" w:type="dxa"/>
            <w:tcBorders>
              <w:top w:val="nil"/>
              <w:left w:val="nil"/>
              <w:bottom w:val="nil"/>
              <w:right w:val="nil"/>
            </w:tcBorders>
            <w:shd w:val="clear" w:color="auto" w:fill="auto"/>
            <w:noWrap/>
            <w:vAlign w:val="bottom"/>
            <w:hideMark/>
          </w:tcPr>
          <w:p w14:paraId="53A75942"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15,69%</w:t>
            </w:r>
          </w:p>
        </w:tc>
        <w:tc>
          <w:tcPr>
            <w:tcW w:w="832" w:type="dxa"/>
            <w:tcBorders>
              <w:top w:val="nil"/>
              <w:left w:val="nil"/>
              <w:bottom w:val="nil"/>
              <w:right w:val="nil"/>
            </w:tcBorders>
            <w:shd w:val="clear" w:color="auto" w:fill="auto"/>
            <w:noWrap/>
            <w:vAlign w:val="bottom"/>
            <w:hideMark/>
          </w:tcPr>
          <w:p w14:paraId="131C5B5B"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0,22 </w:t>
            </w:r>
          </w:p>
        </w:tc>
        <w:tc>
          <w:tcPr>
            <w:tcW w:w="869" w:type="dxa"/>
            <w:tcBorders>
              <w:top w:val="nil"/>
              <w:left w:val="nil"/>
              <w:bottom w:val="nil"/>
              <w:right w:val="nil"/>
            </w:tcBorders>
            <w:shd w:val="clear" w:color="auto" w:fill="auto"/>
            <w:noWrap/>
            <w:vAlign w:val="bottom"/>
            <w:hideMark/>
          </w:tcPr>
          <w:p w14:paraId="55055533"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7,67%</w:t>
            </w:r>
          </w:p>
        </w:tc>
        <w:tc>
          <w:tcPr>
            <w:tcW w:w="551" w:type="dxa"/>
            <w:tcBorders>
              <w:top w:val="nil"/>
              <w:left w:val="nil"/>
              <w:bottom w:val="nil"/>
              <w:right w:val="nil"/>
            </w:tcBorders>
            <w:shd w:val="clear" w:color="auto" w:fill="auto"/>
            <w:noWrap/>
            <w:vAlign w:val="bottom"/>
            <w:hideMark/>
          </w:tcPr>
          <w:p w14:paraId="1BEE6181"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0,53 </w:t>
            </w:r>
          </w:p>
        </w:tc>
        <w:tc>
          <w:tcPr>
            <w:tcW w:w="942" w:type="dxa"/>
            <w:tcBorders>
              <w:top w:val="nil"/>
              <w:left w:val="nil"/>
              <w:bottom w:val="nil"/>
              <w:right w:val="nil"/>
            </w:tcBorders>
            <w:shd w:val="clear" w:color="auto" w:fill="auto"/>
            <w:noWrap/>
            <w:vAlign w:val="bottom"/>
            <w:hideMark/>
          </w:tcPr>
          <w:p w14:paraId="251E5C8B"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15,37%</w:t>
            </w:r>
          </w:p>
        </w:tc>
        <w:tc>
          <w:tcPr>
            <w:tcW w:w="756" w:type="dxa"/>
            <w:tcBorders>
              <w:top w:val="nil"/>
              <w:left w:val="nil"/>
              <w:bottom w:val="nil"/>
              <w:right w:val="nil"/>
            </w:tcBorders>
            <w:shd w:val="clear" w:color="auto" w:fill="auto"/>
            <w:noWrap/>
            <w:hideMark/>
          </w:tcPr>
          <w:p w14:paraId="0FF6FE4B"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 xml:space="preserve"> 8,31 </w:t>
            </w:r>
          </w:p>
        </w:tc>
        <w:tc>
          <w:tcPr>
            <w:tcW w:w="869" w:type="dxa"/>
            <w:tcBorders>
              <w:top w:val="nil"/>
              <w:left w:val="nil"/>
              <w:bottom w:val="nil"/>
              <w:right w:val="nil"/>
            </w:tcBorders>
            <w:shd w:val="clear" w:color="auto" w:fill="auto"/>
            <w:noWrap/>
            <w:hideMark/>
          </w:tcPr>
          <w:p w14:paraId="31D3AE0E"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12,96%</w:t>
            </w:r>
          </w:p>
        </w:tc>
      </w:tr>
      <w:tr w:rsidR="00B46253" w:rsidRPr="008F5D99" w14:paraId="2674589C" w14:textId="77777777" w:rsidTr="0E4CD856">
        <w:trPr>
          <w:trHeight w:val="161"/>
          <w:jc w:val="center"/>
        </w:trPr>
        <w:tc>
          <w:tcPr>
            <w:tcW w:w="761" w:type="dxa"/>
            <w:tcBorders>
              <w:top w:val="nil"/>
              <w:left w:val="nil"/>
              <w:bottom w:val="nil"/>
              <w:right w:val="nil"/>
            </w:tcBorders>
            <w:shd w:val="clear" w:color="auto" w:fill="auto"/>
            <w:noWrap/>
            <w:vAlign w:val="bottom"/>
            <w:hideMark/>
          </w:tcPr>
          <w:p w14:paraId="022AE731" w14:textId="77777777" w:rsidR="00B46253" w:rsidRPr="008F5D99" w:rsidRDefault="00B46253" w:rsidP="00B46253">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2015</w:t>
            </w:r>
          </w:p>
        </w:tc>
        <w:tc>
          <w:tcPr>
            <w:tcW w:w="940" w:type="dxa"/>
            <w:tcBorders>
              <w:top w:val="nil"/>
              <w:left w:val="nil"/>
              <w:bottom w:val="nil"/>
              <w:right w:val="nil"/>
            </w:tcBorders>
            <w:shd w:val="clear" w:color="auto" w:fill="auto"/>
            <w:noWrap/>
            <w:vAlign w:val="bottom"/>
            <w:hideMark/>
          </w:tcPr>
          <w:p w14:paraId="3332BED1"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4,08 </w:t>
            </w:r>
          </w:p>
        </w:tc>
        <w:tc>
          <w:tcPr>
            <w:tcW w:w="869" w:type="dxa"/>
            <w:tcBorders>
              <w:top w:val="nil"/>
              <w:left w:val="nil"/>
              <w:bottom w:val="nil"/>
              <w:right w:val="nil"/>
            </w:tcBorders>
            <w:shd w:val="clear" w:color="auto" w:fill="auto"/>
            <w:noWrap/>
            <w:vAlign w:val="bottom"/>
            <w:hideMark/>
          </w:tcPr>
          <w:p w14:paraId="65B9AC97"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11,30%</w:t>
            </w:r>
          </w:p>
        </w:tc>
        <w:tc>
          <w:tcPr>
            <w:tcW w:w="1116" w:type="dxa"/>
            <w:tcBorders>
              <w:top w:val="nil"/>
              <w:left w:val="nil"/>
              <w:bottom w:val="nil"/>
              <w:right w:val="nil"/>
            </w:tcBorders>
            <w:shd w:val="clear" w:color="auto" w:fill="auto"/>
            <w:noWrap/>
            <w:vAlign w:val="bottom"/>
            <w:hideMark/>
          </w:tcPr>
          <w:p w14:paraId="6CD01E1D"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4,62 </w:t>
            </w:r>
          </w:p>
        </w:tc>
        <w:tc>
          <w:tcPr>
            <w:tcW w:w="869" w:type="dxa"/>
            <w:tcBorders>
              <w:top w:val="nil"/>
              <w:left w:val="nil"/>
              <w:bottom w:val="nil"/>
              <w:right w:val="nil"/>
            </w:tcBorders>
            <w:shd w:val="clear" w:color="auto" w:fill="auto"/>
            <w:noWrap/>
            <w:vAlign w:val="bottom"/>
            <w:hideMark/>
          </w:tcPr>
          <w:p w14:paraId="4BE47A1A"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18,66%</w:t>
            </w:r>
          </w:p>
        </w:tc>
        <w:tc>
          <w:tcPr>
            <w:tcW w:w="832" w:type="dxa"/>
            <w:tcBorders>
              <w:top w:val="nil"/>
              <w:left w:val="nil"/>
              <w:bottom w:val="nil"/>
              <w:right w:val="nil"/>
            </w:tcBorders>
            <w:shd w:val="clear" w:color="auto" w:fill="auto"/>
            <w:noWrap/>
            <w:vAlign w:val="bottom"/>
            <w:hideMark/>
          </w:tcPr>
          <w:p w14:paraId="2CA20157"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0,25 </w:t>
            </w:r>
          </w:p>
        </w:tc>
        <w:tc>
          <w:tcPr>
            <w:tcW w:w="869" w:type="dxa"/>
            <w:tcBorders>
              <w:top w:val="nil"/>
              <w:left w:val="nil"/>
              <w:bottom w:val="nil"/>
              <w:right w:val="nil"/>
            </w:tcBorders>
            <w:shd w:val="clear" w:color="auto" w:fill="auto"/>
            <w:noWrap/>
            <w:vAlign w:val="bottom"/>
            <w:hideMark/>
          </w:tcPr>
          <w:p w14:paraId="3D346615"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14,42%</w:t>
            </w:r>
          </w:p>
        </w:tc>
        <w:tc>
          <w:tcPr>
            <w:tcW w:w="551" w:type="dxa"/>
            <w:tcBorders>
              <w:top w:val="nil"/>
              <w:left w:val="nil"/>
              <w:bottom w:val="nil"/>
              <w:right w:val="nil"/>
            </w:tcBorders>
            <w:shd w:val="clear" w:color="auto" w:fill="auto"/>
            <w:noWrap/>
            <w:vAlign w:val="bottom"/>
            <w:hideMark/>
          </w:tcPr>
          <w:p w14:paraId="060390A1"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0,63 </w:t>
            </w:r>
          </w:p>
        </w:tc>
        <w:tc>
          <w:tcPr>
            <w:tcW w:w="942" w:type="dxa"/>
            <w:tcBorders>
              <w:top w:val="nil"/>
              <w:left w:val="nil"/>
              <w:bottom w:val="nil"/>
              <w:right w:val="nil"/>
            </w:tcBorders>
            <w:shd w:val="clear" w:color="auto" w:fill="auto"/>
            <w:noWrap/>
            <w:vAlign w:val="bottom"/>
            <w:hideMark/>
          </w:tcPr>
          <w:p w14:paraId="332C9F82"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17,85%</w:t>
            </w:r>
          </w:p>
        </w:tc>
        <w:tc>
          <w:tcPr>
            <w:tcW w:w="756" w:type="dxa"/>
            <w:tcBorders>
              <w:top w:val="nil"/>
              <w:left w:val="nil"/>
              <w:bottom w:val="nil"/>
              <w:right w:val="nil"/>
            </w:tcBorders>
            <w:shd w:val="clear" w:color="auto" w:fill="auto"/>
            <w:noWrap/>
            <w:hideMark/>
          </w:tcPr>
          <w:p w14:paraId="22F8F05F"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 xml:space="preserve"> 9,57 </w:t>
            </w:r>
          </w:p>
        </w:tc>
        <w:tc>
          <w:tcPr>
            <w:tcW w:w="869" w:type="dxa"/>
            <w:tcBorders>
              <w:top w:val="nil"/>
              <w:left w:val="nil"/>
              <w:bottom w:val="nil"/>
              <w:right w:val="nil"/>
            </w:tcBorders>
            <w:shd w:val="clear" w:color="auto" w:fill="auto"/>
            <w:noWrap/>
            <w:hideMark/>
          </w:tcPr>
          <w:p w14:paraId="5C2627FC"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15,25%</w:t>
            </w:r>
          </w:p>
        </w:tc>
      </w:tr>
      <w:tr w:rsidR="00B46253" w:rsidRPr="008F5D99" w14:paraId="20332658" w14:textId="77777777" w:rsidTr="0E4CD856">
        <w:trPr>
          <w:trHeight w:val="161"/>
          <w:jc w:val="center"/>
        </w:trPr>
        <w:tc>
          <w:tcPr>
            <w:tcW w:w="761" w:type="dxa"/>
            <w:tcBorders>
              <w:top w:val="nil"/>
              <w:left w:val="nil"/>
              <w:bottom w:val="nil"/>
              <w:right w:val="nil"/>
            </w:tcBorders>
            <w:shd w:val="clear" w:color="auto" w:fill="auto"/>
            <w:noWrap/>
            <w:vAlign w:val="bottom"/>
            <w:hideMark/>
          </w:tcPr>
          <w:p w14:paraId="7D1E0FE1" w14:textId="77777777" w:rsidR="00B46253" w:rsidRPr="008F5D99" w:rsidRDefault="00B46253" w:rsidP="00B46253">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2016</w:t>
            </w:r>
          </w:p>
        </w:tc>
        <w:tc>
          <w:tcPr>
            <w:tcW w:w="940" w:type="dxa"/>
            <w:tcBorders>
              <w:top w:val="nil"/>
              <w:left w:val="nil"/>
              <w:bottom w:val="nil"/>
              <w:right w:val="nil"/>
            </w:tcBorders>
            <w:shd w:val="clear" w:color="auto" w:fill="auto"/>
            <w:noWrap/>
            <w:vAlign w:val="bottom"/>
            <w:hideMark/>
          </w:tcPr>
          <w:p w14:paraId="3BEA7E90"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4,56 </w:t>
            </w:r>
          </w:p>
        </w:tc>
        <w:tc>
          <w:tcPr>
            <w:tcW w:w="869" w:type="dxa"/>
            <w:tcBorders>
              <w:top w:val="nil"/>
              <w:left w:val="nil"/>
              <w:bottom w:val="nil"/>
              <w:right w:val="nil"/>
            </w:tcBorders>
            <w:shd w:val="clear" w:color="auto" w:fill="auto"/>
            <w:noWrap/>
            <w:vAlign w:val="bottom"/>
            <w:hideMark/>
          </w:tcPr>
          <w:p w14:paraId="75429BA2"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11,84%</w:t>
            </w:r>
          </w:p>
        </w:tc>
        <w:tc>
          <w:tcPr>
            <w:tcW w:w="1116" w:type="dxa"/>
            <w:tcBorders>
              <w:top w:val="nil"/>
              <w:left w:val="nil"/>
              <w:bottom w:val="nil"/>
              <w:right w:val="nil"/>
            </w:tcBorders>
            <w:shd w:val="clear" w:color="auto" w:fill="auto"/>
            <w:noWrap/>
            <w:vAlign w:val="bottom"/>
            <w:hideMark/>
          </w:tcPr>
          <w:p w14:paraId="6B1E3919"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5,25 </w:t>
            </w:r>
          </w:p>
        </w:tc>
        <w:tc>
          <w:tcPr>
            <w:tcW w:w="869" w:type="dxa"/>
            <w:tcBorders>
              <w:top w:val="nil"/>
              <w:left w:val="nil"/>
              <w:bottom w:val="nil"/>
              <w:right w:val="nil"/>
            </w:tcBorders>
            <w:shd w:val="clear" w:color="auto" w:fill="auto"/>
            <w:noWrap/>
            <w:vAlign w:val="bottom"/>
            <w:hideMark/>
          </w:tcPr>
          <w:p w14:paraId="0F564230"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13,54%</w:t>
            </w:r>
          </w:p>
        </w:tc>
        <w:tc>
          <w:tcPr>
            <w:tcW w:w="832" w:type="dxa"/>
            <w:tcBorders>
              <w:top w:val="nil"/>
              <w:left w:val="nil"/>
              <w:bottom w:val="nil"/>
              <w:right w:val="nil"/>
            </w:tcBorders>
            <w:shd w:val="clear" w:color="auto" w:fill="auto"/>
            <w:noWrap/>
            <w:vAlign w:val="bottom"/>
            <w:hideMark/>
          </w:tcPr>
          <w:p w14:paraId="3F3E0659"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0,29 </w:t>
            </w:r>
          </w:p>
        </w:tc>
        <w:tc>
          <w:tcPr>
            <w:tcW w:w="869" w:type="dxa"/>
            <w:tcBorders>
              <w:top w:val="nil"/>
              <w:left w:val="nil"/>
              <w:bottom w:val="nil"/>
              <w:right w:val="nil"/>
            </w:tcBorders>
            <w:shd w:val="clear" w:color="auto" w:fill="auto"/>
            <w:noWrap/>
            <w:vAlign w:val="bottom"/>
            <w:hideMark/>
          </w:tcPr>
          <w:p w14:paraId="46B989C1"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15,01%</w:t>
            </w:r>
          </w:p>
        </w:tc>
        <w:tc>
          <w:tcPr>
            <w:tcW w:w="551" w:type="dxa"/>
            <w:tcBorders>
              <w:top w:val="nil"/>
              <w:left w:val="nil"/>
              <w:bottom w:val="nil"/>
              <w:right w:val="nil"/>
            </w:tcBorders>
            <w:shd w:val="clear" w:color="auto" w:fill="auto"/>
            <w:noWrap/>
            <w:vAlign w:val="bottom"/>
            <w:hideMark/>
          </w:tcPr>
          <w:p w14:paraId="3659FBFD"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0,50 </w:t>
            </w:r>
          </w:p>
        </w:tc>
        <w:tc>
          <w:tcPr>
            <w:tcW w:w="942" w:type="dxa"/>
            <w:tcBorders>
              <w:top w:val="nil"/>
              <w:left w:val="nil"/>
              <w:bottom w:val="nil"/>
              <w:right w:val="nil"/>
            </w:tcBorders>
            <w:shd w:val="clear" w:color="auto" w:fill="auto"/>
            <w:noWrap/>
            <w:vAlign w:val="bottom"/>
            <w:hideMark/>
          </w:tcPr>
          <w:p w14:paraId="3E84C8CB"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-20,28%</w:t>
            </w:r>
          </w:p>
        </w:tc>
        <w:tc>
          <w:tcPr>
            <w:tcW w:w="756" w:type="dxa"/>
            <w:tcBorders>
              <w:top w:val="nil"/>
              <w:left w:val="nil"/>
              <w:bottom w:val="nil"/>
              <w:right w:val="nil"/>
            </w:tcBorders>
            <w:shd w:val="clear" w:color="auto" w:fill="auto"/>
            <w:noWrap/>
            <w:hideMark/>
          </w:tcPr>
          <w:p w14:paraId="030693B9"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 xml:space="preserve"> 10,59 </w:t>
            </w:r>
          </w:p>
        </w:tc>
        <w:tc>
          <w:tcPr>
            <w:tcW w:w="869" w:type="dxa"/>
            <w:tcBorders>
              <w:top w:val="nil"/>
              <w:left w:val="nil"/>
              <w:bottom w:val="nil"/>
              <w:right w:val="nil"/>
            </w:tcBorders>
            <w:shd w:val="clear" w:color="auto" w:fill="auto"/>
            <w:noWrap/>
            <w:hideMark/>
          </w:tcPr>
          <w:p w14:paraId="086B9F5E"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10,64%</w:t>
            </w:r>
          </w:p>
        </w:tc>
      </w:tr>
      <w:tr w:rsidR="00B46253" w:rsidRPr="008F5D99" w14:paraId="5E647C88" w14:textId="77777777" w:rsidTr="0E4CD856">
        <w:trPr>
          <w:trHeight w:val="161"/>
          <w:jc w:val="center"/>
        </w:trPr>
        <w:tc>
          <w:tcPr>
            <w:tcW w:w="761" w:type="dxa"/>
            <w:tcBorders>
              <w:top w:val="nil"/>
              <w:left w:val="nil"/>
              <w:bottom w:val="nil"/>
              <w:right w:val="nil"/>
            </w:tcBorders>
            <w:shd w:val="clear" w:color="auto" w:fill="auto"/>
            <w:noWrap/>
            <w:vAlign w:val="bottom"/>
            <w:hideMark/>
          </w:tcPr>
          <w:p w14:paraId="7CFB5A06" w14:textId="77777777" w:rsidR="00B46253" w:rsidRPr="008F5D99" w:rsidRDefault="00B46253" w:rsidP="00B46253">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2017</w:t>
            </w:r>
          </w:p>
        </w:tc>
        <w:tc>
          <w:tcPr>
            <w:tcW w:w="940" w:type="dxa"/>
            <w:tcBorders>
              <w:top w:val="nil"/>
              <w:left w:val="nil"/>
              <w:bottom w:val="nil"/>
              <w:right w:val="nil"/>
            </w:tcBorders>
            <w:shd w:val="clear" w:color="auto" w:fill="auto"/>
            <w:noWrap/>
            <w:vAlign w:val="bottom"/>
            <w:hideMark/>
          </w:tcPr>
          <w:p w14:paraId="7F9F41D8"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5,07 </w:t>
            </w:r>
          </w:p>
        </w:tc>
        <w:tc>
          <w:tcPr>
            <w:tcW w:w="869" w:type="dxa"/>
            <w:tcBorders>
              <w:top w:val="nil"/>
              <w:left w:val="nil"/>
              <w:bottom w:val="nil"/>
              <w:right w:val="nil"/>
            </w:tcBorders>
            <w:shd w:val="clear" w:color="auto" w:fill="auto"/>
            <w:noWrap/>
            <w:vAlign w:val="bottom"/>
            <w:hideMark/>
          </w:tcPr>
          <w:p w14:paraId="14C4FC88"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11,23%</w:t>
            </w:r>
          </w:p>
        </w:tc>
        <w:tc>
          <w:tcPr>
            <w:tcW w:w="1116" w:type="dxa"/>
            <w:tcBorders>
              <w:top w:val="nil"/>
              <w:left w:val="nil"/>
              <w:bottom w:val="nil"/>
              <w:right w:val="nil"/>
            </w:tcBorders>
            <w:shd w:val="clear" w:color="auto" w:fill="auto"/>
            <w:noWrap/>
            <w:vAlign w:val="bottom"/>
            <w:hideMark/>
          </w:tcPr>
          <w:p w14:paraId="7A1F9C2A"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5,85 </w:t>
            </w:r>
          </w:p>
        </w:tc>
        <w:tc>
          <w:tcPr>
            <w:tcW w:w="869" w:type="dxa"/>
            <w:tcBorders>
              <w:top w:val="nil"/>
              <w:left w:val="nil"/>
              <w:bottom w:val="nil"/>
              <w:right w:val="nil"/>
            </w:tcBorders>
            <w:shd w:val="clear" w:color="auto" w:fill="auto"/>
            <w:noWrap/>
            <w:vAlign w:val="bottom"/>
            <w:hideMark/>
          </w:tcPr>
          <w:p w14:paraId="6388B927"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11,55%</w:t>
            </w:r>
          </w:p>
        </w:tc>
        <w:tc>
          <w:tcPr>
            <w:tcW w:w="832" w:type="dxa"/>
            <w:tcBorders>
              <w:top w:val="nil"/>
              <w:left w:val="nil"/>
              <w:bottom w:val="nil"/>
              <w:right w:val="nil"/>
            </w:tcBorders>
            <w:shd w:val="clear" w:color="auto" w:fill="auto"/>
            <w:noWrap/>
            <w:vAlign w:val="bottom"/>
            <w:hideMark/>
          </w:tcPr>
          <w:p w14:paraId="7AFD85A2"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0,32 </w:t>
            </w:r>
          </w:p>
        </w:tc>
        <w:tc>
          <w:tcPr>
            <w:tcW w:w="869" w:type="dxa"/>
            <w:tcBorders>
              <w:top w:val="nil"/>
              <w:left w:val="nil"/>
              <w:bottom w:val="nil"/>
              <w:right w:val="nil"/>
            </w:tcBorders>
            <w:shd w:val="clear" w:color="auto" w:fill="auto"/>
            <w:noWrap/>
            <w:vAlign w:val="bottom"/>
            <w:hideMark/>
          </w:tcPr>
          <w:p w14:paraId="0BD5A93B"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10,38%</w:t>
            </w:r>
          </w:p>
        </w:tc>
        <w:tc>
          <w:tcPr>
            <w:tcW w:w="551" w:type="dxa"/>
            <w:tcBorders>
              <w:top w:val="nil"/>
              <w:left w:val="nil"/>
              <w:bottom w:val="nil"/>
              <w:right w:val="nil"/>
            </w:tcBorders>
            <w:shd w:val="clear" w:color="auto" w:fill="auto"/>
            <w:noWrap/>
            <w:vAlign w:val="bottom"/>
            <w:hideMark/>
          </w:tcPr>
          <w:p w14:paraId="1EBDB257"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0,57 </w:t>
            </w:r>
          </w:p>
        </w:tc>
        <w:tc>
          <w:tcPr>
            <w:tcW w:w="942" w:type="dxa"/>
            <w:tcBorders>
              <w:top w:val="nil"/>
              <w:left w:val="nil"/>
              <w:bottom w:val="nil"/>
              <w:right w:val="nil"/>
            </w:tcBorders>
            <w:shd w:val="clear" w:color="auto" w:fill="auto"/>
            <w:noWrap/>
            <w:vAlign w:val="bottom"/>
            <w:hideMark/>
          </w:tcPr>
          <w:p w14:paraId="55E66F22"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14,06%</w:t>
            </w:r>
          </w:p>
        </w:tc>
        <w:tc>
          <w:tcPr>
            <w:tcW w:w="756" w:type="dxa"/>
            <w:tcBorders>
              <w:top w:val="nil"/>
              <w:left w:val="nil"/>
              <w:bottom w:val="nil"/>
              <w:right w:val="nil"/>
            </w:tcBorders>
            <w:shd w:val="clear" w:color="auto" w:fill="auto"/>
            <w:noWrap/>
            <w:hideMark/>
          </w:tcPr>
          <w:p w14:paraId="4A7A3841"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 xml:space="preserve"> 11,81 </w:t>
            </w:r>
          </w:p>
        </w:tc>
        <w:tc>
          <w:tcPr>
            <w:tcW w:w="869" w:type="dxa"/>
            <w:tcBorders>
              <w:top w:val="nil"/>
              <w:left w:val="nil"/>
              <w:bottom w:val="nil"/>
              <w:right w:val="nil"/>
            </w:tcBorders>
            <w:shd w:val="clear" w:color="auto" w:fill="auto"/>
            <w:noWrap/>
            <w:hideMark/>
          </w:tcPr>
          <w:p w14:paraId="495740C8"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11,50%</w:t>
            </w:r>
          </w:p>
        </w:tc>
      </w:tr>
      <w:tr w:rsidR="00B46253" w:rsidRPr="008F5D99" w14:paraId="44A6037F" w14:textId="77777777" w:rsidTr="0E4CD856">
        <w:trPr>
          <w:trHeight w:val="161"/>
          <w:jc w:val="center"/>
        </w:trPr>
        <w:tc>
          <w:tcPr>
            <w:tcW w:w="761" w:type="dxa"/>
            <w:tcBorders>
              <w:top w:val="nil"/>
              <w:left w:val="nil"/>
              <w:bottom w:val="single" w:sz="4" w:space="0" w:color="auto"/>
              <w:right w:val="nil"/>
            </w:tcBorders>
            <w:shd w:val="clear" w:color="auto" w:fill="auto"/>
            <w:noWrap/>
            <w:vAlign w:val="bottom"/>
            <w:hideMark/>
          </w:tcPr>
          <w:p w14:paraId="0FB40998" w14:textId="77777777" w:rsidR="00B46253" w:rsidRPr="008F5D99" w:rsidRDefault="00B46253" w:rsidP="00B46253">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2018*</w:t>
            </w:r>
          </w:p>
        </w:tc>
        <w:tc>
          <w:tcPr>
            <w:tcW w:w="940" w:type="dxa"/>
            <w:tcBorders>
              <w:top w:val="nil"/>
              <w:left w:val="nil"/>
              <w:bottom w:val="single" w:sz="4" w:space="0" w:color="auto"/>
              <w:right w:val="nil"/>
            </w:tcBorders>
            <w:shd w:val="clear" w:color="auto" w:fill="auto"/>
            <w:noWrap/>
            <w:vAlign w:val="bottom"/>
            <w:hideMark/>
          </w:tcPr>
          <w:p w14:paraId="5E4A6883"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5,73 </w:t>
            </w:r>
          </w:p>
        </w:tc>
        <w:tc>
          <w:tcPr>
            <w:tcW w:w="869" w:type="dxa"/>
            <w:tcBorders>
              <w:top w:val="nil"/>
              <w:left w:val="nil"/>
              <w:bottom w:val="single" w:sz="4" w:space="0" w:color="auto"/>
              <w:right w:val="nil"/>
            </w:tcBorders>
            <w:shd w:val="clear" w:color="auto" w:fill="auto"/>
            <w:noWrap/>
            <w:vAlign w:val="bottom"/>
            <w:hideMark/>
          </w:tcPr>
          <w:p w14:paraId="3382D7A7"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12,99%</w:t>
            </w:r>
          </w:p>
        </w:tc>
        <w:tc>
          <w:tcPr>
            <w:tcW w:w="1116" w:type="dxa"/>
            <w:tcBorders>
              <w:top w:val="nil"/>
              <w:left w:val="nil"/>
              <w:bottom w:val="single" w:sz="4" w:space="0" w:color="auto"/>
              <w:right w:val="nil"/>
            </w:tcBorders>
            <w:shd w:val="clear" w:color="auto" w:fill="auto"/>
            <w:noWrap/>
            <w:vAlign w:val="bottom"/>
            <w:hideMark/>
          </w:tcPr>
          <w:p w14:paraId="11DE9CB9"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6,49 </w:t>
            </w:r>
          </w:p>
        </w:tc>
        <w:tc>
          <w:tcPr>
            <w:tcW w:w="869" w:type="dxa"/>
            <w:tcBorders>
              <w:top w:val="nil"/>
              <w:left w:val="nil"/>
              <w:bottom w:val="single" w:sz="4" w:space="0" w:color="auto"/>
              <w:right w:val="nil"/>
            </w:tcBorders>
            <w:shd w:val="clear" w:color="auto" w:fill="auto"/>
            <w:noWrap/>
            <w:vAlign w:val="bottom"/>
            <w:hideMark/>
          </w:tcPr>
          <w:p w14:paraId="35008FAA"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10,96%</w:t>
            </w:r>
          </w:p>
        </w:tc>
        <w:tc>
          <w:tcPr>
            <w:tcW w:w="832" w:type="dxa"/>
            <w:tcBorders>
              <w:top w:val="nil"/>
              <w:left w:val="nil"/>
              <w:bottom w:val="single" w:sz="4" w:space="0" w:color="auto"/>
              <w:right w:val="nil"/>
            </w:tcBorders>
            <w:shd w:val="clear" w:color="auto" w:fill="auto"/>
            <w:noWrap/>
            <w:vAlign w:val="bottom"/>
            <w:hideMark/>
          </w:tcPr>
          <w:p w14:paraId="214A6961"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0,34 </w:t>
            </w:r>
          </w:p>
        </w:tc>
        <w:tc>
          <w:tcPr>
            <w:tcW w:w="869" w:type="dxa"/>
            <w:tcBorders>
              <w:top w:val="nil"/>
              <w:left w:val="nil"/>
              <w:bottom w:val="single" w:sz="4" w:space="0" w:color="auto"/>
              <w:right w:val="nil"/>
            </w:tcBorders>
            <w:shd w:val="clear" w:color="auto" w:fill="auto"/>
            <w:noWrap/>
            <w:vAlign w:val="bottom"/>
            <w:hideMark/>
          </w:tcPr>
          <w:p w14:paraId="770684F8"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7,39%</w:t>
            </w:r>
          </w:p>
        </w:tc>
        <w:tc>
          <w:tcPr>
            <w:tcW w:w="551" w:type="dxa"/>
            <w:tcBorders>
              <w:top w:val="nil"/>
              <w:left w:val="nil"/>
              <w:bottom w:val="single" w:sz="4" w:space="0" w:color="auto"/>
              <w:right w:val="nil"/>
            </w:tcBorders>
            <w:shd w:val="clear" w:color="auto" w:fill="auto"/>
            <w:noWrap/>
            <w:vAlign w:val="bottom"/>
            <w:hideMark/>
          </w:tcPr>
          <w:p w14:paraId="05EA0A41"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0,63 </w:t>
            </w:r>
          </w:p>
        </w:tc>
        <w:tc>
          <w:tcPr>
            <w:tcW w:w="942" w:type="dxa"/>
            <w:tcBorders>
              <w:top w:val="nil"/>
              <w:left w:val="nil"/>
              <w:bottom w:val="single" w:sz="4" w:space="0" w:color="auto"/>
              <w:right w:val="nil"/>
            </w:tcBorders>
            <w:shd w:val="clear" w:color="auto" w:fill="auto"/>
            <w:noWrap/>
            <w:vAlign w:val="bottom"/>
            <w:hideMark/>
          </w:tcPr>
          <w:p w14:paraId="1EC8E6FA" w14:textId="77777777" w:rsidR="00B46253" w:rsidRPr="008F5D99" w:rsidRDefault="00B46253" w:rsidP="00B46253">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9,71%</w:t>
            </w:r>
          </w:p>
        </w:tc>
        <w:tc>
          <w:tcPr>
            <w:tcW w:w="756" w:type="dxa"/>
            <w:tcBorders>
              <w:top w:val="nil"/>
              <w:left w:val="nil"/>
              <w:bottom w:val="single" w:sz="4" w:space="0" w:color="auto"/>
              <w:right w:val="nil"/>
            </w:tcBorders>
            <w:shd w:val="clear" w:color="auto" w:fill="auto"/>
            <w:noWrap/>
            <w:hideMark/>
          </w:tcPr>
          <w:p w14:paraId="205D6395"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 xml:space="preserve"> 13,19 </w:t>
            </w:r>
          </w:p>
        </w:tc>
        <w:tc>
          <w:tcPr>
            <w:tcW w:w="869" w:type="dxa"/>
            <w:tcBorders>
              <w:top w:val="nil"/>
              <w:left w:val="nil"/>
              <w:bottom w:val="single" w:sz="4" w:space="0" w:color="auto"/>
              <w:right w:val="nil"/>
            </w:tcBorders>
            <w:shd w:val="clear" w:color="auto" w:fill="auto"/>
            <w:noWrap/>
            <w:hideMark/>
          </w:tcPr>
          <w:p w14:paraId="499FE84F" w14:textId="77777777" w:rsidR="00B46253" w:rsidRPr="003E3001" w:rsidRDefault="00B46253" w:rsidP="00B46253">
            <w:pPr>
              <w:spacing w:after="0" w:line="240" w:lineRule="auto"/>
              <w:jc w:val="right"/>
              <w:rPr>
                <w:rFonts w:asciiTheme="majorHAnsi" w:eastAsia="Times New Roman" w:hAnsiTheme="majorHAnsi" w:cstheme="minorHAnsi"/>
                <w:color w:val="000000"/>
                <w:lang w:val="es-CR" w:eastAsia="es-CR"/>
              </w:rPr>
            </w:pPr>
            <w:r w:rsidRPr="003E3001">
              <w:rPr>
                <w:rFonts w:asciiTheme="majorHAnsi" w:eastAsia="Times New Roman" w:hAnsiTheme="majorHAnsi" w:cstheme="minorHAnsi"/>
                <w:color w:val="000000"/>
                <w:lang w:val="es-CR" w:eastAsia="es-CR"/>
              </w:rPr>
              <w:t>11,68%</w:t>
            </w:r>
          </w:p>
        </w:tc>
      </w:tr>
    </w:tbl>
    <w:p w14:paraId="60EE359A" w14:textId="1F4DA9FE" w:rsidR="0E4CD856" w:rsidRDefault="0E4CD856"/>
    <w:p w14:paraId="1C870F9C" w14:textId="77777777" w:rsidR="0036727F" w:rsidRPr="009B7058" w:rsidRDefault="008760FD" w:rsidP="008760FD">
      <w:pPr>
        <w:spacing w:after="0" w:line="240" w:lineRule="auto"/>
        <w:rPr>
          <w:rFonts w:asciiTheme="majorHAnsi" w:hAnsiTheme="majorHAnsi" w:cstheme="minorHAnsi"/>
          <w:sz w:val="20"/>
        </w:rPr>
      </w:pPr>
      <w:r w:rsidRPr="009B7058">
        <w:rPr>
          <w:rFonts w:asciiTheme="majorHAnsi" w:hAnsiTheme="majorHAnsi" w:cstheme="minorHAnsi"/>
          <w:sz w:val="20"/>
        </w:rPr>
        <w:t>Fuente: Elaboración de SUPEN con datos suministrados por los fondos</w:t>
      </w:r>
    </w:p>
    <w:p w14:paraId="429CB335" w14:textId="77777777" w:rsidR="008760FD" w:rsidRPr="009B7058" w:rsidRDefault="008760FD" w:rsidP="008760FD">
      <w:pPr>
        <w:spacing w:after="0" w:line="240" w:lineRule="auto"/>
        <w:jc w:val="both"/>
        <w:rPr>
          <w:rFonts w:asciiTheme="majorHAnsi" w:hAnsiTheme="majorHAnsi" w:cstheme="minorHAnsi"/>
          <w:sz w:val="20"/>
        </w:rPr>
      </w:pPr>
      <w:r w:rsidRPr="009B7058">
        <w:rPr>
          <w:rFonts w:asciiTheme="majorHAnsi" w:hAnsiTheme="majorHAnsi" w:cstheme="minorHAnsi"/>
          <w:sz w:val="20"/>
        </w:rPr>
        <w:t>* El activo del IVM y PJ utilizado es a noviembre, último dato disponible a la fecha de elaboración</w:t>
      </w:r>
      <w:r w:rsidR="00671530" w:rsidRPr="009B7058">
        <w:rPr>
          <w:rFonts w:asciiTheme="majorHAnsi" w:hAnsiTheme="majorHAnsi" w:cstheme="minorHAnsi"/>
          <w:sz w:val="20"/>
        </w:rPr>
        <w:t xml:space="preserve"> del informe</w:t>
      </w:r>
      <w:r w:rsidRPr="009B7058">
        <w:rPr>
          <w:rFonts w:asciiTheme="majorHAnsi" w:hAnsiTheme="majorHAnsi" w:cstheme="minorHAnsi"/>
          <w:sz w:val="20"/>
        </w:rPr>
        <w:t>.</w:t>
      </w:r>
    </w:p>
    <w:p w14:paraId="07547A01" w14:textId="77777777" w:rsidR="008760FD" w:rsidRPr="008F5D99" w:rsidRDefault="008760FD" w:rsidP="00AB1521">
      <w:pPr>
        <w:spacing w:after="0" w:line="240" w:lineRule="auto"/>
        <w:jc w:val="center"/>
        <w:rPr>
          <w:rFonts w:asciiTheme="majorHAnsi" w:hAnsiTheme="majorHAnsi" w:cstheme="minorHAnsi"/>
        </w:rPr>
      </w:pPr>
    </w:p>
    <w:p w14:paraId="73CF2B28" w14:textId="77777777" w:rsidR="007D0BC7" w:rsidRPr="008F5D99" w:rsidRDefault="23EB6D18" w:rsidP="00AB1521">
      <w:pPr>
        <w:spacing w:after="0" w:line="240" w:lineRule="auto"/>
        <w:jc w:val="both"/>
        <w:rPr>
          <w:rFonts w:asciiTheme="majorHAnsi" w:hAnsiTheme="majorHAnsi" w:cstheme="minorHAnsi"/>
        </w:rPr>
      </w:pPr>
      <w:r w:rsidRPr="008F5D99">
        <w:rPr>
          <w:rFonts w:asciiTheme="majorHAnsi" w:hAnsiTheme="majorHAnsi" w:cstheme="minorHAnsi"/>
        </w:rPr>
        <w:t>A nivel de gestores el sistema presenta una clara segmentación. Tres gestores (de quince) administran el 57,</w:t>
      </w:r>
      <w:r w:rsidR="0082106A" w:rsidRPr="008F5D99">
        <w:rPr>
          <w:rFonts w:asciiTheme="majorHAnsi" w:hAnsiTheme="majorHAnsi" w:cstheme="minorHAnsi"/>
        </w:rPr>
        <w:t>3</w:t>
      </w:r>
      <w:r w:rsidRPr="008F5D99">
        <w:rPr>
          <w:rFonts w:asciiTheme="majorHAnsi" w:hAnsiTheme="majorHAnsi" w:cstheme="minorHAnsi"/>
        </w:rPr>
        <w:t xml:space="preserve">% del total de activos, aproximadamente </w:t>
      </w:r>
      <w:r w:rsidR="00671530" w:rsidRPr="008F5D99">
        <w:rPr>
          <w:rFonts w:asciiTheme="majorHAnsi" w:hAnsiTheme="majorHAnsi" w:cstheme="minorHAnsi"/>
        </w:rPr>
        <w:t>7,</w:t>
      </w:r>
      <w:r w:rsidR="0082106A" w:rsidRPr="008F5D99">
        <w:rPr>
          <w:rFonts w:asciiTheme="majorHAnsi" w:hAnsiTheme="majorHAnsi" w:cstheme="minorHAnsi"/>
        </w:rPr>
        <w:t>6</w:t>
      </w:r>
      <w:r w:rsidRPr="008F5D99">
        <w:rPr>
          <w:rFonts w:asciiTheme="majorHAnsi" w:hAnsiTheme="majorHAnsi" w:cstheme="minorHAnsi"/>
        </w:rPr>
        <w:t xml:space="preserve"> billones de colones, de estos</w:t>
      </w:r>
      <w:r w:rsidR="0050274B">
        <w:rPr>
          <w:rFonts w:asciiTheme="majorHAnsi" w:hAnsiTheme="majorHAnsi" w:cstheme="minorHAnsi"/>
        </w:rPr>
        <w:t xml:space="preserve"> dos corresponden a regímenes básicos y</w:t>
      </w:r>
      <w:r w:rsidRPr="008F5D99">
        <w:rPr>
          <w:rFonts w:asciiTheme="majorHAnsi" w:hAnsiTheme="majorHAnsi" w:cstheme="minorHAnsi"/>
        </w:rPr>
        <w:t xml:space="preserve"> uno corresponde a un régimen complementario. En cuanto </w:t>
      </w:r>
      <w:r w:rsidR="002A15B1" w:rsidRPr="008F5D99">
        <w:rPr>
          <w:rFonts w:asciiTheme="majorHAnsi" w:hAnsiTheme="majorHAnsi" w:cstheme="minorHAnsi"/>
        </w:rPr>
        <w:t xml:space="preserve">a los </w:t>
      </w:r>
      <w:r w:rsidRPr="008F5D99">
        <w:rPr>
          <w:rFonts w:asciiTheme="majorHAnsi" w:hAnsiTheme="majorHAnsi" w:cstheme="minorHAnsi"/>
        </w:rPr>
        <w:t xml:space="preserve">recursos, cinco gestores son mucho más grandes que </w:t>
      </w:r>
      <w:r w:rsidR="0050274B" w:rsidRPr="008F5D99">
        <w:rPr>
          <w:rFonts w:asciiTheme="majorHAnsi" w:hAnsiTheme="majorHAnsi" w:cstheme="minorHAnsi"/>
        </w:rPr>
        <w:t>el Poder Judicial</w:t>
      </w:r>
      <w:r w:rsidR="0050274B">
        <w:rPr>
          <w:rFonts w:asciiTheme="majorHAnsi" w:hAnsiTheme="majorHAnsi" w:cstheme="minorHAnsi"/>
        </w:rPr>
        <w:t xml:space="preserve"> que es un</w:t>
      </w:r>
      <w:r w:rsidRPr="008F5D99">
        <w:rPr>
          <w:rFonts w:asciiTheme="majorHAnsi" w:hAnsiTheme="majorHAnsi" w:cstheme="minorHAnsi"/>
        </w:rPr>
        <w:t xml:space="preserve"> </w:t>
      </w:r>
      <w:r w:rsidR="0050274B" w:rsidRPr="008F5D99">
        <w:rPr>
          <w:rFonts w:asciiTheme="majorHAnsi" w:hAnsiTheme="majorHAnsi" w:cstheme="minorHAnsi"/>
        </w:rPr>
        <w:t>régimen</w:t>
      </w:r>
      <w:r w:rsidRPr="008F5D99">
        <w:rPr>
          <w:rFonts w:asciiTheme="majorHAnsi" w:hAnsiTheme="majorHAnsi" w:cstheme="minorHAnsi"/>
        </w:rPr>
        <w:t xml:space="preserve"> </w:t>
      </w:r>
      <w:r w:rsidR="0050274B">
        <w:rPr>
          <w:rFonts w:asciiTheme="majorHAnsi" w:hAnsiTheme="majorHAnsi" w:cstheme="minorHAnsi"/>
        </w:rPr>
        <w:t>del</w:t>
      </w:r>
      <w:r w:rsidRPr="008F5D99">
        <w:rPr>
          <w:rFonts w:asciiTheme="majorHAnsi" w:hAnsiTheme="majorHAnsi" w:cstheme="minorHAnsi"/>
        </w:rPr>
        <w:t xml:space="preserve"> primer pilar. El tamaño de estos hace que sus transacciones deban ser analizadas en un contexto de riesgo sistémico, en el sentido de que los recursos que mueven son tan importantes que pudieran poner en riesgo a intermediarios financieros, de requerir el traslado de recursos, la compra de instrumentos o realizarse movimientos abruptos en sus cuentas de disponibilidades.</w:t>
      </w:r>
    </w:p>
    <w:p w14:paraId="5043CB0F" w14:textId="77777777" w:rsidR="004300E1" w:rsidRPr="008F5D99" w:rsidRDefault="004300E1" w:rsidP="00AB1521">
      <w:pPr>
        <w:spacing w:after="0" w:line="240" w:lineRule="auto"/>
        <w:jc w:val="both"/>
        <w:rPr>
          <w:rFonts w:asciiTheme="majorHAnsi" w:hAnsiTheme="majorHAnsi" w:cstheme="minorHAnsi"/>
        </w:rPr>
      </w:pPr>
    </w:p>
    <w:p w14:paraId="076FE257" w14:textId="77777777" w:rsidR="00772349" w:rsidRPr="008F5D99" w:rsidRDefault="000013D2" w:rsidP="007B4082">
      <w:pPr>
        <w:spacing w:after="0" w:line="240" w:lineRule="auto"/>
        <w:jc w:val="both"/>
        <w:rPr>
          <w:rFonts w:asciiTheme="majorHAnsi" w:hAnsiTheme="majorHAnsi" w:cstheme="minorHAnsi"/>
        </w:rPr>
      </w:pPr>
      <w:r w:rsidRPr="008F5D99">
        <w:rPr>
          <w:rFonts w:asciiTheme="majorHAnsi" w:hAnsiTheme="majorHAnsi" w:cstheme="minorHAnsi"/>
        </w:rPr>
        <w:t xml:space="preserve">El activo total del Régimen de Invalidez, Vejez y Muerte, administrado por la CCSS se incrementó </w:t>
      </w:r>
      <w:r w:rsidR="00F2774B" w:rsidRPr="008F5D99">
        <w:rPr>
          <w:rFonts w:asciiTheme="majorHAnsi" w:hAnsiTheme="majorHAnsi" w:cstheme="minorHAnsi"/>
        </w:rPr>
        <w:t xml:space="preserve">en </w:t>
      </w:r>
      <w:r w:rsidR="00CD07CC" w:rsidRPr="008F5D99">
        <w:rPr>
          <w:rFonts w:asciiTheme="majorHAnsi" w:hAnsiTheme="majorHAnsi" w:cstheme="minorHAnsi"/>
        </w:rPr>
        <w:t>0,3 b</w:t>
      </w:r>
      <w:r w:rsidRPr="008F5D99">
        <w:rPr>
          <w:rFonts w:asciiTheme="majorHAnsi" w:hAnsiTheme="majorHAnsi" w:cstheme="minorHAnsi"/>
        </w:rPr>
        <w:t xml:space="preserve">illones de colones, al pasar de </w:t>
      </w:r>
      <w:r w:rsidR="00127E00" w:rsidRPr="008F5D99">
        <w:rPr>
          <w:rFonts w:asciiTheme="majorHAnsi" w:hAnsiTheme="majorHAnsi" w:cstheme="minorHAnsi"/>
        </w:rPr>
        <w:t>¢2,4</w:t>
      </w:r>
      <w:r w:rsidRPr="008F5D99">
        <w:rPr>
          <w:rFonts w:asciiTheme="majorHAnsi" w:hAnsiTheme="majorHAnsi" w:cstheme="minorHAnsi"/>
        </w:rPr>
        <w:t xml:space="preserve"> </w:t>
      </w:r>
      <w:r w:rsidR="00127E00" w:rsidRPr="008F5D99">
        <w:rPr>
          <w:rFonts w:asciiTheme="majorHAnsi" w:hAnsiTheme="majorHAnsi" w:cstheme="minorHAnsi"/>
        </w:rPr>
        <w:t>b</w:t>
      </w:r>
      <w:r w:rsidRPr="008F5D99">
        <w:rPr>
          <w:rFonts w:asciiTheme="majorHAnsi" w:hAnsiTheme="majorHAnsi" w:cstheme="minorHAnsi"/>
        </w:rPr>
        <w:t xml:space="preserve">illones en </w:t>
      </w:r>
      <w:r w:rsidR="00127E00" w:rsidRPr="008F5D99">
        <w:rPr>
          <w:rFonts w:asciiTheme="majorHAnsi" w:hAnsiTheme="majorHAnsi" w:cstheme="minorHAnsi"/>
        </w:rPr>
        <w:t>diciembre</w:t>
      </w:r>
      <w:r w:rsidRPr="008F5D99">
        <w:rPr>
          <w:rFonts w:asciiTheme="majorHAnsi" w:hAnsiTheme="majorHAnsi" w:cstheme="minorHAnsi"/>
        </w:rPr>
        <w:t xml:space="preserve"> de </w:t>
      </w:r>
      <w:r w:rsidR="00F63A1B" w:rsidRPr="008F5D99">
        <w:rPr>
          <w:rFonts w:asciiTheme="majorHAnsi" w:hAnsiTheme="majorHAnsi" w:cstheme="minorHAnsi"/>
        </w:rPr>
        <w:t>201</w:t>
      </w:r>
      <w:r w:rsidR="00127E00" w:rsidRPr="008F5D99">
        <w:rPr>
          <w:rFonts w:asciiTheme="majorHAnsi" w:hAnsiTheme="majorHAnsi" w:cstheme="minorHAnsi"/>
        </w:rPr>
        <w:t>7</w:t>
      </w:r>
      <w:r w:rsidR="00F63A1B" w:rsidRPr="008F5D99">
        <w:rPr>
          <w:rFonts w:asciiTheme="majorHAnsi" w:hAnsiTheme="majorHAnsi" w:cstheme="minorHAnsi"/>
        </w:rPr>
        <w:t xml:space="preserve"> a </w:t>
      </w:r>
      <w:r w:rsidR="00F2774B" w:rsidRPr="008F5D99">
        <w:rPr>
          <w:rFonts w:asciiTheme="majorHAnsi" w:hAnsiTheme="majorHAnsi" w:cstheme="minorHAnsi"/>
        </w:rPr>
        <w:t>¢</w:t>
      </w:r>
      <w:r w:rsidR="00127E00" w:rsidRPr="008F5D99">
        <w:rPr>
          <w:rFonts w:asciiTheme="majorHAnsi" w:hAnsiTheme="majorHAnsi" w:cstheme="minorHAnsi"/>
        </w:rPr>
        <w:t>2,7</w:t>
      </w:r>
      <w:r w:rsidR="00F2774B" w:rsidRPr="008F5D99">
        <w:rPr>
          <w:rFonts w:asciiTheme="majorHAnsi" w:hAnsiTheme="majorHAnsi" w:cstheme="minorHAnsi"/>
        </w:rPr>
        <w:t xml:space="preserve"> </w:t>
      </w:r>
      <w:r w:rsidR="00127E00" w:rsidRPr="008F5D99">
        <w:rPr>
          <w:rFonts w:asciiTheme="majorHAnsi" w:hAnsiTheme="majorHAnsi" w:cstheme="minorHAnsi"/>
        </w:rPr>
        <w:t>b</w:t>
      </w:r>
      <w:r w:rsidRPr="008F5D99">
        <w:rPr>
          <w:rFonts w:asciiTheme="majorHAnsi" w:hAnsiTheme="majorHAnsi" w:cstheme="minorHAnsi"/>
        </w:rPr>
        <w:t xml:space="preserve">illones en </w:t>
      </w:r>
      <w:r w:rsidR="00127E00" w:rsidRPr="008F5D99">
        <w:rPr>
          <w:rFonts w:asciiTheme="majorHAnsi" w:hAnsiTheme="majorHAnsi" w:cstheme="minorHAnsi"/>
        </w:rPr>
        <w:t>noviembre</w:t>
      </w:r>
      <w:r w:rsidR="00F2774B" w:rsidRPr="008F5D99">
        <w:rPr>
          <w:rFonts w:asciiTheme="majorHAnsi" w:hAnsiTheme="majorHAnsi" w:cstheme="minorHAnsi"/>
        </w:rPr>
        <w:t xml:space="preserve"> de 2018 (último</w:t>
      </w:r>
      <w:r w:rsidRPr="008F5D99">
        <w:rPr>
          <w:rFonts w:asciiTheme="majorHAnsi" w:hAnsiTheme="majorHAnsi" w:cstheme="minorHAnsi"/>
        </w:rPr>
        <w:t xml:space="preserve"> </w:t>
      </w:r>
      <w:r w:rsidR="00F2774B" w:rsidRPr="008F5D99">
        <w:rPr>
          <w:rFonts w:asciiTheme="majorHAnsi" w:hAnsiTheme="majorHAnsi" w:cstheme="minorHAnsi"/>
        </w:rPr>
        <w:t xml:space="preserve">dato </w:t>
      </w:r>
      <w:r w:rsidRPr="008F5D99">
        <w:rPr>
          <w:rFonts w:asciiTheme="majorHAnsi" w:hAnsiTheme="majorHAnsi" w:cstheme="minorHAnsi"/>
        </w:rPr>
        <w:t xml:space="preserve">disponible). El </w:t>
      </w:r>
      <w:r w:rsidR="0088553D" w:rsidRPr="008F5D99">
        <w:rPr>
          <w:rFonts w:asciiTheme="majorHAnsi" w:hAnsiTheme="majorHAnsi" w:cstheme="minorHAnsi"/>
        </w:rPr>
        <w:t>crecimiento interanual</w:t>
      </w:r>
      <w:r w:rsidR="00F97261" w:rsidRPr="008F5D99">
        <w:rPr>
          <w:rFonts w:asciiTheme="majorHAnsi" w:hAnsiTheme="majorHAnsi" w:cstheme="minorHAnsi"/>
        </w:rPr>
        <w:t xml:space="preserve">, a </w:t>
      </w:r>
      <w:r w:rsidR="00127E00" w:rsidRPr="008F5D99">
        <w:rPr>
          <w:rFonts w:asciiTheme="majorHAnsi" w:hAnsiTheme="majorHAnsi" w:cstheme="minorHAnsi"/>
        </w:rPr>
        <w:t>diciembre</w:t>
      </w:r>
      <w:r w:rsidR="00F97261" w:rsidRPr="008F5D99">
        <w:rPr>
          <w:rFonts w:asciiTheme="majorHAnsi" w:hAnsiTheme="majorHAnsi" w:cstheme="minorHAnsi"/>
        </w:rPr>
        <w:t xml:space="preserve"> 2017 fue </w:t>
      </w:r>
      <w:r w:rsidR="00127E00" w:rsidRPr="008F5D99">
        <w:rPr>
          <w:rFonts w:asciiTheme="majorHAnsi" w:hAnsiTheme="majorHAnsi" w:cstheme="minorHAnsi"/>
        </w:rPr>
        <w:t>8,6</w:t>
      </w:r>
      <w:r w:rsidRPr="008F5D99">
        <w:rPr>
          <w:rFonts w:asciiTheme="majorHAnsi" w:hAnsiTheme="majorHAnsi" w:cstheme="minorHAnsi"/>
        </w:rPr>
        <w:t>%</w:t>
      </w:r>
      <w:r w:rsidR="006365FA" w:rsidRPr="008F5D99">
        <w:rPr>
          <w:rFonts w:asciiTheme="majorHAnsi" w:hAnsiTheme="majorHAnsi" w:cstheme="minorHAnsi"/>
        </w:rPr>
        <w:softHyphen/>
      </w:r>
      <w:r w:rsidR="00866C15" w:rsidRPr="008F5D99">
        <w:rPr>
          <w:rFonts w:asciiTheme="majorHAnsi" w:hAnsiTheme="majorHAnsi" w:cstheme="minorHAnsi"/>
        </w:rPr>
        <w:t xml:space="preserve">, mientras que </w:t>
      </w:r>
      <w:r w:rsidR="00127E00" w:rsidRPr="008F5D99">
        <w:rPr>
          <w:rFonts w:asciiTheme="majorHAnsi" w:hAnsiTheme="majorHAnsi" w:cstheme="minorHAnsi"/>
        </w:rPr>
        <w:t>12,8</w:t>
      </w:r>
      <w:r w:rsidR="00866C15" w:rsidRPr="008F5D99">
        <w:rPr>
          <w:rFonts w:asciiTheme="majorHAnsi" w:hAnsiTheme="majorHAnsi" w:cstheme="minorHAnsi"/>
        </w:rPr>
        <w:t xml:space="preserve">% </w:t>
      </w:r>
      <w:r w:rsidR="00127E00" w:rsidRPr="008F5D99">
        <w:rPr>
          <w:rFonts w:asciiTheme="majorHAnsi" w:hAnsiTheme="majorHAnsi" w:cstheme="minorHAnsi"/>
        </w:rPr>
        <w:t>a noviembre 2018</w:t>
      </w:r>
      <w:r w:rsidR="00C452FA" w:rsidRPr="008F5D99">
        <w:rPr>
          <w:rFonts w:asciiTheme="majorHAnsi" w:hAnsiTheme="majorHAnsi" w:cstheme="minorHAnsi"/>
        </w:rPr>
        <w:t xml:space="preserve">, se recuerda que durante 2018 se presentaron incrementos en los porcentajes de cotización en </w:t>
      </w:r>
      <w:r w:rsidR="00522596" w:rsidRPr="008F5D99">
        <w:rPr>
          <w:rFonts w:asciiTheme="majorHAnsi" w:hAnsiTheme="majorHAnsi" w:cstheme="minorHAnsi"/>
        </w:rPr>
        <w:t>enero y julio.</w:t>
      </w:r>
    </w:p>
    <w:p w14:paraId="07459315" w14:textId="77777777" w:rsidR="00006E79" w:rsidRPr="008F5D99" w:rsidRDefault="00006E79" w:rsidP="00AB1521">
      <w:pPr>
        <w:spacing w:after="0" w:line="240" w:lineRule="auto"/>
        <w:rPr>
          <w:rFonts w:asciiTheme="majorHAnsi" w:hAnsiTheme="majorHAnsi" w:cstheme="minorHAnsi"/>
        </w:rPr>
      </w:pPr>
    </w:p>
    <w:p w14:paraId="3330777F" w14:textId="77777777" w:rsidR="0033676D" w:rsidRPr="0033676D" w:rsidRDefault="0033676D" w:rsidP="0033676D">
      <w:pPr>
        <w:spacing w:after="0" w:line="240" w:lineRule="auto"/>
        <w:jc w:val="center"/>
        <w:rPr>
          <w:rFonts w:asciiTheme="majorHAnsi" w:hAnsiTheme="majorHAnsi" w:cstheme="minorHAnsi"/>
        </w:rPr>
      </w:pPr>
      <w:r w:rsidRPr="0033676D">
        <w:rPr>
          <w:rFonts w:asciiTheme="majorHAnsi" w:hAnsiTheme="majorHAnsi" w:cstheme="minorHAnsi"/>
        </w:rPr>
        <w:t xml:space="preserve">Cuadro </w:t>
      </w:r>
      <w:r w:rsidRPr="0033676D">
        <w:rPr>
          <w:rFonts w:asciiTheme="majorHAnsi" w:hAnsiTheme="majorHAnsi" w:cstheme="minorHAnsi"/>
        </w:rPr>
        <w:fldChar w:fldCharType="begin"/>
      </w:r>
      <w:r w:rsidRPr="0033676D">
        <w:rPr>
          <w:rFonts w:asciiTheme="majorHAnsi" w:hAnsiTheme="majorHAnsi" w:cstheme="minorHAnsi"/>
        </w:rPr>
        <w:instrText xml:space="preserve"> SEQ Cuadro \* ARABIC </w:instrText>
      </w:r>
      <w:r w:rsidRPr="0033676D">
        <w:rPr>
          <w:rFonts w:asciiTheme="majorHAnsi" w:hAnsiTheme="majorHAnsi" w:cstheme="minorHAnsi"/>
        </w:rPr>
        <w:fldChar w:fldCharType="separate"/>
      </w:r>
      <w:r w:rsidR="00947FD6">
        <w:rPr>
          <w:rFonts w:asciiTheme="majorHAnsi" w:hAnsiTheme="majorHAnsi" w:cstheme="minorHAnsi"/>
          <w:noProof/>
        </w:rPr>
        <w:t>2</w:t>
      </w:r>
      <w:r w:rsidRPr="0033676D">
        <w:rPr>
          <w:rFonts w:asciiTheme="majorHAnsi" w:hAnsiTheme="majorHAnsi" w:cstheme="minorHAnsi"/>
        </w:rPr>
        <w:fldChar w:fldCharType="end"/>
      </w:r>
    </w:p>
    <w:p w14:paraId="44FA70E5" w14:textId="77777777" w:rsidR="007D0BC7" w:rsidRPr="008F5D99" w:rsidRDefault="007D0BC7" w:rsidP="0033676D">
      <w:pPr>
        <w:spacing w:after="0" w:line="240" w:lineRule="auto"/>
        <w:jc w:val="center"/>
        <w:rPr>
          <w:rFonts w:asciiTheme="majorHAnsi" w:hAnsiTheme="majorHAnsi" w:cstheme="minorHAnsi"/>
        </w:rPr>
      </w:pPr>
      <w:r w:rsidRPr="008F5D99">
        <w:rPr>
          <w:rFonts w:asciiTheme="majorHAnsi" w:hAnsiTheme="majorHAnsi" w:cstheme="minorHAnsi"/>
        </w:rPr>
        <w:t>ROP: Activos Administrados</w:t>
      </w:r>
    </w:p>
    <w:p w14:paraId="1E966BFF" w14:textId="77777777" w:rsidR="00D335F1" w:rsidRPr="008F5D99" w:rsidRDefault="00DC6130" w:rsidP="00AB1521">
      <w:pPr>
        <w:spacing w:after="0" w:line="240" w:lineRule="auto"/>
        <w:jc w:val="center"/>
        <w:rPr>
          <w:rFonts w:asciiTheme="majorHAnsi" w:hAnsiTheme="majorHAnsi" w:cstheme="minorHAnsi"/>
        </w:rPr>
      </w:pPr>
      <w:r w:rsidRPr="008F5D99">
        <w:rPr>
          <w:rFonts w:asciiTheme="majorHAnsi" w:hAnsiTheme="majorHAnsi" w:cstheme="minorHAnsi"/>
        </w:rPr>
        <w:t>Dici</w:t>
      </w:r>
      <w:r w:rsidR="00D335F1" w:rsidRPr="008F5D99">
        <w:rPr>
          <w:rFonts w:asciiTheme="majorHAnsi" w:hAnsiTheme="majorHAnsi" w:cstheme="minorHAnsi"/>
        </w:rPr>
        <w:t>embre de cada año</w:t>
      </w:r>
    </w:p>
    <w:p w14:paraId="718AF41C"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Millones de colones</w:t>
      </w:r>
      <w:r w:rsidR="00EB575C">
        <w:rPr>
          <w:rFonts w:asciiTheme="majorHAnsi" w:hAnsiTheme="majorHAnsi" w:cstheme="minorHAnsi"/>
        </w:rPr>
        <w:t xml:space="preserve"> costarricenses</w:t>
      </w:r>
    </w:p>
    <w:tbl>
      <w:tblPr>
        <w:tblW w:w="9781" w:type="dxa"/>
        <w:jc w:val="center"/>
        <w:tblCellMar>
          <w:left w:w="70" w:type="dxa"/>
          <w:right w:w="70" w:type="dxa"/>
        </w:tblCellMar>
        <w:tblLook w:val="04A0" w:firstRow="1" w:lastRow="0" w:firstColumn="1" w:lastColumn="0" w:noHBand="0" w:noVBand="1"/>
      </w:tblPr>
      <w:tblGrid>
        <w:gridCol w:w="683"/>
        <w:gridCol w:w="1585"/>
        <w:gridCol w:w="1153"/>
        <w:gridCol w:w="1115"/>
        <w:gridCol w:w="1140"/>
        <w:gridCol w:w="1554"/>
        <w:gridCol w:w="1417"/>
        <w:gridCol w:w="1134"/>
      </w:tblGrid>
      <w:tr w:rsidR="0048721D" w:rsidRPr="0078552F" w14:paraId="20C6D53B" w14:textId="77777777" w:rsidTr="0E4CD856">
        <w:trPr>
          <w:trHeight w:val="315"/>
          <w:jc w:val="center"/>
        </w:trPr>
        <w:tc>
          <w:tcPr>
            <w:tcW w:w="683" w:type="dxa"/>
            <w:tcBorders>
              <w:top w:val="single" w:sz="4" w:space="0" w:color="auto"/>
              <w:left w:val="nil"/>
              <w:bottom w:val="double" w:sz="6" w:space="0" w:color="auto"/>
              <w:right w:val="nil"/>
            </w:tcBorders>
            <w:shd w:val="clear" w:color="auto" w:fill="auto"/>
            <w:noWrap/>
            <w:vAlign w:val="center"/>
            <w:hideMark/>
          </w:tcPr>
          <w:p w14:paraId="7CEC4D1F" w14:textId="77777777" w:rsidR="002B6EA9" w:rsidRPr="0078552F" w:rsidRDefault="002B6EA9" w:rsidP="002B6EA9">
            <w:pPr>
              <w:spacing w:after="0" w:line="240" w:lineRule="auto"/>
              <w:rPr>
                <w:rFonts w:asciiTheme="majorHAnsi" w:eastAsia="Times New Roman" w:hAnsiTheme="majorHAnsi" w:cstheme="minorHAnsi"/>
                <w:b/>
                <w:bCs/>
                <w:color w:val="000000"/>
                <w:lang w:val="es-CR" w:eastAsia="es-CR"/>
              </w:rPr>
            </w:pPr>
            <w:r w:rsidRPr="0078552F">
              <w:rPr>
                <w:rFonts w:asciiTheme="majorHAnsi" w:eastAsia="Times New Roman" w:hAnsiTheme="majorHAnsi" w:cstheme="minorHAnsi"/>
                <w:b/>
                <w:bCs/>
                <w:color w:val="000000"/>
                <w:lang w:val="es-CR" w:eastAsia="es-CR"/>
              </w:rPr>
              <w:t>Año</w:t>
            </w:r>
          </w:p>
        </w:tc>
        <w:tc>
          <w:tcPr>
            <w:tcW w:w="1585" w:type="dxa"/>
            <w:tcBorders>
              <w:top w:val="single" w:sz="4" w:space="0" w:color="auto"/>
              <w:left w:val="nil"/>
              <w:bottom w:val="double" w:sz="6" w:space="0" w:color="auto"/>
              <w:right w:val="nil"/>
            </w:tcBorders>
            <w:shd w:val="clear" w:color="auto" w:fill="auto"/>
            <w:noWrap/>
            <w:vAlign w:val="center"/>
            <w:hideMark/>
          </w:tcPr>
          <w:p w14:paraId="41D64200" w14:textId="77777777" w:rsidR="002B6EA9" w:rsidRPr="0078552F" w:rsidRDefault="002B6EA9" w:rsidP="002B7CEF">
            <w:pPr>
              <w:spacing w:after="0" w:line="240" w:lineRule="auto"/>
              <w:jc w:val="center"/>
              <w:rPr>
                <w:rFonts w:asciiTheme="majorHAnsi" w:eastAsia="Times New Roman" w:hAnsiTheme="majorHAnsi" w:cstheme="minorHAnsi"/>
                <w:b/>
                <w:bCs/>
                <w:color w:val="000000"/>
                <w:lang w:val="es-CR" w:eastAsia="es-CR"/>
              </w:rPr>
            </w:pPr>
            <w:r w:rsidRPr="0078552F">
              <w:rPr>
                <w:rFonts w:asciiTheme="majorHAnsi" w:eastAsia="Times New Roman" w:hAnsiTheme="majorHAnsi" w:cstheme="minorHAnsi"/>
                <w:b/>
                <w:bCs/>
                <w:color w:val="000000"/>
                <w:lang w:val="es-CR" w:eastAsia="es-CR"/>
              </w:rPr>
              <w:t>BCR</w:t>
            </w:r>
            <w:r w:rsidR="002B7CEF">
              <w:rPr>
                <w:rFonts w:asciiTheme="majorHAnsi" w:eastAsia="Times New Roman" w:hAnsiTheme="majorHAnsi" w:cstheme="minorHAnsi"/>
                <w:b/>
                <w:bCs/>
                <w:color w:val="000000"/>
                <w:lang w:val="es-CR" w:eastAsia="es-CR"/>
              </w:rPr>
              <w:t xml:space="preserve"> </w:t>
            </w:r>
            <w:r w:rsidRPr="0078552F">
              <w:rPr>
                <w:rFonts w:asciiTheme="majorHAnsi" w:eastAsia="Times New Roman" w:hAnsiTheme="majorHAnsi" w:cstheme="minorHAnsi"/>
                <w:b/>
                <w:bCs/>
                <w:color w:val="000000"/>
                <w:lang w:val="es-CR" w:eastAsia="es-CR"/>
              </w:rPr>
              <w:t>PENSION</w:t>
            </w:r>
          </w:p>
        </w:tc>
        <w:tc>
          <w:tcPr>
            <w:tcW w:w="1153" w:type="dxa"/>
            <w:tcBorders>
              <w:top w:val="single" w:sz="4" w:space="0" w:color="auto"/>
              <w:left w:val="nil"/>
              <w:bottom w:val="double" w:sz="6" w:space="0" w:color="auto"/>
              <w:right w:val="nil"/>
            </w:tcBorders>
            <w:shd w:val="clear" w:color="auto" w:fill="auto"/>
            <w:noWrap/>
            <w:vAlign w:val="center"/>
            <w:hideMark/>
          </w:tcPr>
          <w:p w14:paraId="12A52ED4" w14:textId="77777777" w:rsidR="002B6EA9" w:rsidRPr="0078552F" w:rsidRDefault="002B6EA9" w:rsidP="00452A23">
            <w:pPr>
              <w:spacing w:after="0" w:line="240" w:lineRule="auto"/>
              <w:jc w:val="center"/>
              <w:rPr>
                <w:rFonts w:asciiTheme="majorHAnsi" w:eastAsia="Times New Roman" w:hAnsiTheme="majorHAnsi" w:cstheme="minorHAnsi"/>
                <w:b/>
                <w:bCs/>
                <w:color w:val="000000"/>
                <w:lang w:val="es-CR" w:eastAsia="es-CR"/>
              </w:rPr>
            </w:pPr>
            <w:r w:rsidRPr="0078552F">
              <w:rPr>
                <w:rFonts w:asciiTheme="majorHAnsi" w:eastAsia="Times New Roman" w:hAnsiTheme="majorHAnsi" w:cstheme="minorHAnsi"/>
                <w:b/>
                <w:bCs/>
                <w:color w:val="000000"/>
                <w:lang w:val="es-CR" w:eastAsia="es-CR"/>
              </w:rPr>
              <w:t>BN-VITAL</w:t>
            </w:r>
          </w:p>
        </w:tc>
        <w:tc>
          <w:tcPr>
            <w:tcW w:w="1115" w:type="dxa"/>
            <w:tcBorders>
              <w:top w:val="single" w:sz="4" w:space="0" w:color="auto"/>
              <w:left w:val="nil"/>
              <w:bottom w:val="double" w:sz="6" w:space="0" w:color="auto"/>
              <w:right w:val="nil"/>
            </w:tcBorders>
            <w:shd w:val="clear" w:color="auto" w:fill="auto"/>
            <w:noWrap/>
            <w:vAlign w:val="center"/>
            <w:hideMark/>
          </w:tcPr>
          <w:p w14:paraId="3A1E5DC7" w14:textId="77777777" w:rsidR="002B6EA9" w:rsidRPr="0078552F" w:rsidRDefault="002B6EA9" w:rsidP="00452A23">
            <w:pPr>
              <w:spacing w:after="0" w:line="240" w:lineRule="auto"/>
              <w:jc w:val="center"/>
              <w:rPr>
                <w:rFonts w:asciiTheme="majorHAnsi" w:eastAsia="Times New Roman" w:hAnsiTheme="majorHAnsi" w:cstheme="minorHAnsi"/>
                <w:b/>
                <w:bCs/>
                <w:color w:val="000000"/>
                <w:lang w:val="es-CR" w:eastAsia="es-CR"/>
              </w:rPr>
            </w:pPr>
            <w:r w:rsidRPr="0078552F">
              <w:rPr>
                <w:rFonts w:asciiTheme="majorHAnsi" w:eastAsia="Times New Roman" w:hAnsiTheme="majorHAnsi" w:cstheme="minorHAnsi"/>
                <w:b/>
                <w:bCs/>
                <w:color w:val="000000"/>
                <w:lang w:val="es-CR" w:eastAsia="es-CR"/>
              </w:rPr>
              <w:t>CCSS-OPC</w:t>
            </w:r>
          </w:p>
        </w:tc>
        <w:tc>
          <w:tcPr>
            <w:tcW w:w="1140" w:type="dxa"/>
            <w:tcBorders>
              <w:top w:val="single" w:sz="4" w:space="0" w:color="auto"/>
              <w:left w:val="nil"/>
              <w:bottom w:val="double" w:sz="6" w:space="0" w:color="auto"/>
              <w:right w:val="nil"/>
            </w:tcBorders>
            <w:shd w:val="clear" w:color="auto" w:fill="auto"/>
            <w:noWrap/>
            <w:vAlign w:val="center"/>
            <w:hideMark/>
          </w:tcPr>
          <w:p w14:paraId="72623EF7" w14:textId="77777777" w:rsidR="002B6EA9" w:rsidRPr="0078552F" w:rsidRDefault="002B6EA9" w:rsidP="00452A23">
            <w:pPr>
              <w:spacing w:after="0" w:line="240" w:lineRule="auto"/>
              <w:jc w:val="center"/>
              <w:rPr>
                <w:rFonts w:asciiTheme="majorHAnsi" w:eastAsia="Times New Roman" w:hAnsiTheme="majorHAnsi" w:cstheme="minorHAnsi"/>
                <w:b/>
                <w:bCs/>
                <w:color w:val="000000"/>
                <w:lang w:val="es-CR" w:eastAsia="es-CR"/>
              </w:rPr>
            </w:pPr>
            <w:r w:rsidRPr="0078552F">
              <w:rPr>
                <w:rFonts w:asciiTheme="majorHAnsi" w:eastAsia="Times New Roman" w:hAnsiTheme="majorHAnsi" w:cstheme="minorHAnsi"/>
                <w:b/>
                <w:bCs/>
                <w:color w:val="000000"/>
                <w:lang w:val="es-CR" w:eastAsia="es-CR"/>
              </w:rPr>
              <w:t>POPULAR</w:t>
            </w:r>
          </w:p>
        </w:tc>
        <w:tc>
          <w:tcPr>
            <w:tcW w:w="1554" w:type="dxa"/>
            <w:tcBorders>
              <w:top w:val="single" w:sz="4" w:space="0" w:color="auto"/>
              <w:left w:val="nil"/>
              <w:bottom w:val="double" w:sz="6" w:space="0" w:color="auto"/>
              <w:right w:val="nil"/>
            </w:tcBorders>
            <w:shd w:val="clear" w:color="auto" w:fill="auto"/>
            <w:noWrap/>
            <w:vAlign w:val="center"/>
            <w:hideMark/>
          </w:tcPr>
          <w:p w14:paraId="604671F6" w14:textId="77777777" w:rsidR="002B6EA9" w:rsidRPr="0078552F" w:rsidRDefault="002B6EA9" w:rsidP="002B7CEF">
            <w:pPr>
              <w:spacing w:after="0" w:line="240" w:lineRule="auto"/>
              <w:jc w:val="center"/>
              <w:rPr>
                <w:rFonts w:asciiTheme="majorHAnsi" w:eastAsia="Times New Roman" w:hAnsiTheme="majorHAnsi" w:cstheme="minorHAnsi"/>
                <w:b/>
                <w:bCs/>
                <w:color w:val="000000"/>
                <w:lang w:val="es-CR" w:eastAsia="es-CR"/>
              </w:rPr>
            </w:pPr>
            <w:r w:rsidRPr="0078552F">
              <w:rPr>
                <w:rFonts w:asciiTheme="majorHAnsi" w:eastAsia="Times New Roman" w:hAnsiTheme="majorHAnsi" w:cstheme="minorHAnsi"/>
                <w:b/>
                <w:bCs/>
                <w:color w:val="000000"/>
                <w:lang w:val="es-CR" w:eastAsia="es-CR"/>
              </w:rPr>
              <w:t>SJ</w:t>
            </w:r>
            <w:r w:rsidR="002B7CEF">
              <w:rPr>
                <w:rFonts w:asciiTheme="majorHAnsi" w:eastAsia="Times New Roman" w:hAnsiTheme="majorHAnsi" w:cstheme="minorHAnsi"/>
                <w:b/>
                <w:bCs/>
                <w:color w:val="000000"/>
                <w:lang w:val="es-CR" w:eastAsia="es-CR"/>
              </w:rPr>
              <w:t xml:space="preserve"> </w:t>
            </w:r>
            <w:r w:rsidRPr="0078552F">
              <w:rPr>
                <w:rFonts w:asciiTheme="majorHAnsi" w:eastAsia="Times New Roman" w:hAnsiTheme="majorHAnsi" w:cstheme="minorHAnsi"/>
                <w:b/>
                <w:bCs/>
                <w:color w:val="000000"/>
                <w:lang w:val="es-CR" w:eastAsia="es-CR"/>
              </w:rPr>
              <w:t>PENSIONES</w:t>
            </w:r>
          </w:p>
        </w:tc>
        <w:tc>
          <w:tcPr>
            <w:tcW w:w="1417" w:type="dxa"/>
            <w:tcBorders>
              <w:top w:val="single" w:sz="4" w:space="0" w:color="auto"/>
              <w:left w:val="nil"/>
              <w:bottom w:val="double" w:sz="6" w:space="0" w:color="auto"/>
              <w:right w:val="nil"/>
            </w:tcBorders>
            <w:shd w:val="clear" w:color="auto" w:fill="auto"/>
            <w:noWrap/>
            <w:vAlign w:val="center"/>
            <w:hideMark/>
          </w:tcPr>
          <w:p w14:paraId="6DD38B7A" w14:textId="77777777" w:rsidR="002B6EA9" w:rsidRPr="0078552F" w:rsidRDefault="002B6EA9" w:rsidP="00452A23">
            <w:pPr>
              <w:spacing w:after="0" w:line="240" w:lineRule="auto"/>
              <w:jc w:val="center"/>
              <w:rPr>
                <w:rFonts w:asciiTheme="majorHAnsi" w:eastAsia="Times New Roman" w:hAnsiTheme="majorHAnsi" w:cstheme="minorHAnsi"/>
                <w:b/>
                <w:bCs/>
                <w:color w:val="000000"/>
                <w:lang w:val="es-CR" w:eastAsia="es-CR"/>
              </w:rPr>
            </w:pPr>
            <w:r w:rsidRPr="0078552F">
              <w:rPr>
                <w:rFonts w:asciiTheme="majorHAnsi" w:eastAsia="Times New Roman" w:hAnsiTheme="majorHAnsi" w:cstheme="minorHAnsi"/>
                <w:b/>
                <w:bCs/>
                <w:color w:val="000000"/>
                <w:lang w:val="es-CR" w:eastAsia="es-CR"/>
              </w:rPr>
              <w:t>VIDA</w:t>
            </w:r>
            <w:r w:rsidR="002B7CEF">
              <w:rPr>
                <w:rFonts w:asciiTheme="majorHAnsi" w:eastAsia="Times New Roman" w:hAnsiTheme="majorHAnsi" w:cstheme="minorHAnsi"/>
                <w:b/>
                <w:bCs/>
                <w:color w:val="000000"/>
                <w:lang w:val="es-CR" w:eastAsia="es-CR"/>
              </w:rPr>
              <w:t xml:space="preserve"> </w:t>
            </w:r>
            <w:r w:rsidRPr="0078552F">
              <w:rPr>
                <w:rFonts w:asciiTheme="majorHAnsi" w:eastAsia="Times New Roman" w:hAnsiTheme="majorHAnsi" w:cstheme="minorHAnsi"/>
                <w:b/>
                <w:bCs/>
                <w:color w:val="000000"/>
                <w:lang w:val="es-CR" w:eastAsia="es-CR"/>
              </w:rPr>
              <w:t>PLENA</w:t>
            </w:r>
          </w:p>
        </w:tc>
        <w:tc>
          <w:tcPr>
            <w:tcW w:w="1134" w:type="dxa"/>
            <w:tcBorders>
              <w:top w:val="single" w:sz="4" w:space="0" w:color="auto"/>
              <w:left w:val="nil"/>
              <w:bottom w:val="double" w:sz="6" w:space="0" w:color="auto"/>
              <w:right w:val="nil"/>
            </w:tcBorders>
            <w:shd w:val="clear" w:color="auto" w:fill="auto"/>
            <w:noWrap/>
            <w:vAlign w:val="center"/>
            <w:hideMark/>
          </w:tcPr>
          <w:p w14:paraId="51E8FDB7" w14:textId="77777777" w:rsidR="002B6EA9" w:rsidRPr="0078552F" w:rsidRDefault="002B6EA9" w:rsidP="00452A23">
            <w:pPr>
              <w:spacing w:after="0" w:line="240" w:lineRule="auto"/>
              <w:jc w:val="center"/>
              <w:rPr>
                <w:rFonts w:asciiTheme="majorHAnsi" w:eastAsia="Times New Roman" w:hAnsiTheme="majorHAnsi" w:cstheme="minorHAnsi"/>
                <w:b/>
                <w:bCs/>
                <w:color w:val="000000"/>
                <w:lang w:val="es-CR" w:eastAsia="es-CR"/>
              </w:rPr>
            </w:pPr>
            <w:r w:rsidRPr="0078552F">
              <w:rPr>
                <w:rFonts w:asciiTheme="majorHAnsi" w:eastAsia="Times New Roman" w:hAnsiTheme="majorHAnsi" w:cstheme="minorHAnsi"/>
                <w:b/>
                <w:bCs/>
                <w:color w:val="000000"/>
                <w:lang w:val="es-CR" w:eastAsia="es-CR"/>
              </w:rPr>
              <w:t>Total</w:t>
            </w:r>
          </w:p>
        </w:tc>
      </w:tr>
      <w:tr w:rsidR="0048721D" w:rsidRPr="0078552F" w14:paraId="3EC7DF59" w14:textId="77777777" w:rsidTr="0E4CD856">
        <w:trPr>
          <w:trHeight w:val="35"/>
          <w:jc w:val="center"/>
        </w:trPr>
        <w:tc>
          <w:tcPr>
            <w:tcW w:w="683" w:type="dxa"/>
            <w:tcBorders>
              <w:top w:val="nil"/>
              <w:left w:val="nil"/>
              <w:bottom w:val="nil"/>
              <w:right w:val="nil"/>
            </w:tcBorders>
            <w:shd w:val="clear" w:color="auto" w:fill="auto"/>
            <w:noWrap/>
            <w:vAlign w:val="bottom"/>
            <w:hideMark/>
          </w:tcPr>
          <w:p w14:paraId="3B78EC4A" w14:textId="77777777" w:rsidR="002B6EA9" w:rsidRPr="0078552F" w:rsidRDefault="002B6EA9" w:rsidP="002B6EA9">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2010</w:t>
            </w:r>
          </w:p>
        </w:tc>
        <w:tc>
          <w:tcPr>
            <w:tcW w:w="1585" w:type="dxa"/>
            <w:tcBorders>
              <w:top w:val="nil"/>
              <w:left w:val="nil"/>
              <w:bottom w:val="nil"/>
              <w:right w:val="nil"/>
            </w:tcBorders>
            <w:shd w:val="clear" w:color="auto" w:fill="auto"/>
            <w:noWrap/>
            <w:vAlign w:val="bottom"/>
            <w:hideMark/>
          </w:tcPr>
          <w:p w14:paraId="76C8DDCF"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201 973 </w:t>
            </w:r>
          </w:p>
        </w:tc>
        <w:tc>
          <w:tcPr>
            <w:tcW w:w="1153" w:type="dxa"/>
            <w:tcBorders>
              <w:top w:val="nil"/>
              <w:left w:val="nil"/>
              <w:bottom w:val="nil"/>
              <w:right w:val="nil"/>
            </w:tcBorders>
            <w:shd w:val="clear" w:color="auto" w:fill="auto"/>
            <w:noWrap/>
            <w:vAlign w:val="bottom"/>
            <w:hideMark/>
          </w:tcPr>
          <w:p w14:paraId="486D3D98"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327 726 </w:t>
            </w:r>
          </w:p>
        </w:tc>
        <w:tc>
          <w:tcPr>
            <w:tcW w:w="1115" w:type="dxa"/>
            <w:tcBorders>
              <w:top w:val="nil"/>
              <w:left w:val="nil"/>
              <w:bottom w:val="nil"/>
              <w:right w:val="nil"/>
            </w:tcBorders>
            <w:shd w:val="clear" w:color="auto" w:fill="auto"/>
            <w:noWrap/>
            <w:vAlign w:val="bottom"/>
            <w:hideMark/>
          </w:tcPr>
          <w:p w14:paraId="1271F29A"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43 787 </w:t>
            </w:r>
          </w:p>
        </w:tc>
        <w:tc>
          <w:tcPr>
            <w:tcW w:w="1140" w:type="dxa"/>
            <w:tcBorders>
              <w:top w:val="nil"/>
              <w:left w:val="nil"/>
              <w:bottom w:val="nil"/>
              <w:right w:val="nil"/>
            </w:tcBorders>
            <w:shd w:val="clear" w:color="auto" w:fill="auto"/>
            <w:noWrap/>
            <w:vAlign w:val="bottom"/>
            <w:hideMark/>
          </w:tcPr>
          <w:p w14:paraId="1C1E26D9"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548 032 </w:t>
            </w:r>
          </w:p>
        </w:tc>
        <w:tc>
          <w:tcPr>
            <w:tcW w:w="1554" w:type="dxa"/>
            <w:tcBorders>
              <w:top w:val="nil"/>
              <w:left w:val="nil"/>
              <w:bottom w:val="nil"/>
              <w:right w:val="nil"/>
            </w:tcBorders>
            <w:shd w:val="clear" w:color="auto" w:fill="auto"/>
            <w:noWrap/>
            <w:vAlign w:val="bottom"/>
            <w:hideMark/>
          </w:tcPr>
          <w:p w14:paraId="0C3D9065"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145 719 </w:t>
            </w:r>
          </w:p>
        </w:tc>
        <w:tc>
          <w:tcPr>
            <w:tcW w:w="1417" w:type="dxa"/>
            <w:tcBorders>
              <w:top w:val="nil"/>
              <w:left w:val="nil"/>
              <w:bottom w:val="nil"/>
              <w:right w:val="nil"/>
            </w:tcBorders>
            <w:shd w:val="clear" w:color="auto" w:fill="auto"/>
            <w:noWrap/>
            <w:vAlign w:val="bottom"/>
            <w:hideMark/>
          </w:tcPr>
          <w:p w14:paraId="62285278"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159 538 </w:t>
            </w:r>
          </w:p>
        </w:tc>
        <w:tc>
          <w:tcPr>
            <w:tcW w:w="1134" w:type="dxa"/>
            <w:tcBorders>
              <w:top w:val="nil"/>
              <w:left w:val="nil"/>
              <w:bottom w:val="nil"/>
              <w:right w:val="nil"/>
            </w:tcBorders>
            <w:shd w:val="clear" w:color="auto" w:fill="auto"/>
            <w:noWrap/>
            <w:vAlign w:val="bottom"/>
            <w:hideMark/>
          </w:tcPr>
          <w:p w14:paraId="66776D65"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1 426 776 </w:t>
            </w:r>
          </w:p>
        </w:tc>
      </w:tr>
      <w:tr w:rsidR="0048721D" w:rsidRPr="0078552F" w14:paraId="71BD7A4E" w14:textId="77777777" w:rsidTr="0E4CD856">
        <w:trPr>
          <w:trHeight w:val="80"/>
          <w:jc w:val="center"/>
        </w:trPr>
        <w:tc>
          <w:tcPr>
            <w:tcW w:w="683" w:type="dxa"/>
            <w:tcBorders>
              <w:top w:val="nil"/>
              <w:left w:val="nil"/>
              <w:bottom w:val="nil"/>
              <w:right w:val="nil"/>
            </w:tcBorders>
            <w:shd w:val="clear" w:color="auto" w:fill="auto"/>
            <w:noWrap/>
            <w:vAlign w:val="bottom"/>
            <w:hideMark/>
          </w:tcPr>
          <w:p w14:paraId="30658528" w14:textId="77777777" w:rsidR="002B6EA9" w:rsidRPr="0078552F" w:rsidRDefault="002B6EA9" w:rsidP="002B6EA9">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2011</w:t>
            </w:r>
          </w:p>
        </w:tc>
        <w:tc>
          <w:tcPr>
            <w:tcW w:w="1585" w:type="dxa"/>
            <w:tcBorders>
              <w:top w:val="nil"/>
              <w:left w:val="nil"/>
              <w:bottom w:val="nil"/>
              <w:right w:val="nil"/>
            </w:tcBorders>
            <w:shd w:val="clear" w:color="auto" w:fill="auto"/>
            <w:noWrap/>
            <w:vAlign w:val="bottom"/>
            <w:hideMark/>
          </w:tcPr>
          <w:p w14:paraId="598ED5D2"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255 811 </w:t>
            </w:r>
          </w:p>
        </w:tc>
        <w:tc>
          <w:tcPr>
            <w:tcW w:w="1153" w:type="dxa"/>
            <w:tcBorders>
              <w:top w:val="nil"/>
              <w:left w:val="nil"/>
              <w:bottom w:val="nil"/>
              <w:right w:val="nil"/>
            </w:tcBorders>
            <w:shd w:val="clear" w:color="auto" w:fill="auto"/>
            <w:noWrap/>
            <w:vAlign w:val="bottom"/>
            <w:hideMark/>
          </w:tcPr>
          <w:p w14:paraId="38390EB9"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387 284 </w:t>
            </w:r>
          </w:p>
        </w:tc>
        <w:tc>
          <w:tcPr>
            <w:tcW w:w="1115" w:type="dxa"/>
            <w:tcBorders>
              <w:top w:val="nil"/>
              <w:left w:val="nil"/>
              <w:bottom w:val="nil"/>
              <w:right w:val="nil"/>
            </w:tcBorders>
            <w:shd w:val="clear" w:color="auto" w:fill="auto"/>
            <w:noWrap/>
            <w:vAlign w:val="bottom"/>
            <w:hideMark/>
          </w:tcPr>
          <w:p w14:paraId="7B0D8D94"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58 592 </w:t>
            </w:r>
          </w:p>
        </w:tc>
        <w:tc>
          <w:tcPr>
            <w:tcW w:w="1140" w:type="dxa"/>
            <w:tcBorders>
              <w:top w:val="nil"/>
              <w:left w:val="nil"/>
              <w:bottom w:val="nil"/>
              <w:right w:val="nil"/>
            </w:tcBorders>
            <w:shd w:val="clear" w:color="auto" w:fill="auto"/>
            <w:noWrap/>
            <w:vAlign w:val="bottom"/>
            <w:hideMark/>
          </w:tcPr>
          <w:p w14:paraId="413D13F9"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663 854 </w:t>
            </w:r>
          </w:p>
        </w:tc>
        <w:tc>
          <w:tcPr>
            <w:tcW w:w="1554" w:type="dxa"/>
            <w:tcBorders>
              <w:top w:val="nil"/>
              <w:left w:val="nil"/>
              <w:bottom w:val="nil"/>
              <w:right w:val="nil"/>
            </w:tcBorders>
            <w:shd w:val="clear" w:color="auto" w:fill="auto"/>
            <w:noWrap/>
            <w:vAlign w:val="bottom"/>
            <w:hideMark/>
          </w:tcPr>
          <w:p w14:paraId="4BD42CE1"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194 373 </w:t>
            </w:r>
          </w:p>
        </w:tc>
        <w:tc>
          <w:tcPr>
            <w:tcW w:w="1417" w:type="dxa"/>
            <w:tcBorders>
              <w:top w:val="nil"/>
              <w:left w:val="nil"/>
              <w:bottom w:val="nil"/>
              <w:right w:val="nil"/>
            </w:tcBorders>
            <w:shd w:val="clear" w:color="auto" w:fill="auto"/>
            <w:noWrap/>
            <w:vAlign w:val="bottom"/>
            <w:hideMark/>
          </w:tcPr>
          <w:p w14:paraId="66AC6D19"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204 020 </w:t>
            </w:r>
          </w:p>
        </w:tc>
        <w:tc>
          <w:tcPr>
            <w:tcW w:w="1134" w:type="dxa"/>
            <w:tcBorders>
              <w:top w:val="nil"/>
              <w:left w:val="nil"/>
              <w:bottom w:val="nil"/>
              <w:right w:val="nil"/>
            </w:tcBorders>
            <w:shd w:val="clear" w:color="auto" w:fill="auto"/>
            <w:noWrap/>
            <w:vAlign w:val="bottom"/>
            <w:hideMark/>
          </w:tcPr>
          <w:p w14:paraId="6409E0D6"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1 763 934 </w:t>
            </w:r>
          </w:p>
        </w:tc>
      </w:tr>
      <w:tr w:rsidR="0048721D" w:rsidRPr="0078552F" w14:paraId="18A8AA06" w14:textId="77777777" w:rsidTr="0E4CD856">
        <w:trPr>
          <w:trHeight w:val="80"/>
          <w:jc w:val="center"/>
        </w:trPr>
        <w:tc>
          <w:tcPr>
            <w:tcW w:w="683" w:type="dxa"/>
            <w:tcBorders>
              <w:top w:val="nil"/>
              <w:left w:val="nil"/>
              <w:bottom w:val="nil"/>
              <w:right w:val="nil"/>
            </w:tcBorders>
            <w:shd w:val="clear" w:color="auto" w:fill="auto"/>
            <w:noWrap/>
            <w:vAlign w:val="bottom"/>
            <w:hideMark/>
          </w:tcPr>
          <w:p w14:paraId="152B2AFC" w14:textId="77777777" w:rsidR="002B6EA9" w:rsidRPr="0078552F" w:rsidRDefault="002B6EA9" w:rsidP="002B6EA9">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2012</w:t>
            </w:r>
          </w:p>
        </w:tc>
        <w:tc>
          <w:tcPr>
            <w:tcW w:w="1585" w:type="dxa"/>
            <w:tcBorders>
              <w:top w:val="nil"/>
              <w:left w:val="nil"/>
              <w:bottom w:val="nil"/>
              <w:right w:val="nil"/>
            </w:tcBorders>
            <w:shd w:val="clear" w:color="auto" w:fill="auto"/>
            <w:noWrap/>
            <w:vAlign w:val="bottom"/>
            <w:hideMark/>
          </w:tcPr>
          <w:p w14:paraId="7A4CFA3E"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346 830 </w:t>
            </w:r>
          </w:p>
        </w:tc>
        <w:tc>
          <w:tcPr>
            <w:tcW w:w="1153" w:type="dxa"/>
            <w:tcBorders>
              <w:top w:val="nil"/>
              <w:left w:val="nil"/>
              <w:bottom w:val="nil"/>
              <w:right w:val="nil"/>
            </w:tcBorders>
            <w:shd w:val="clear" w:color="auto" w:fill="auto"/>
            <w:noWrap/>
            <w:vAlign w:val="bottom"/>
            <w:hideMark/>
          </w:tcPr>
          <w:p w14:paraId="7F4086B7"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478 532 </w:t>
            </w:r>
          </w:p>
        </w:tc>
        <w:tc>
          <w:tcPr>
            <w:tcW w:w="1115" w:type="dxa"/>
            <w:tcBorders>
              <w:top w:val="nil"/>
              <w:left w:val="nil"/>
              <w:bottom w:val="nil"/>
              <w:right w:val="nil"/>
            </w:tcBorders>
            <w:shd w:val="clear" w:color="auto" w:fill="auto"/>
            <w:noWrap/>
            <w:vAlign w:val="bottom"/>
            <w:hideMark/>
          </w:tcPr>
          <w:p w14:paraId="73D6AE6F"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68 864 </w:t>
            </w:r>
          </w:p>
        </w:tc>
        <w:tc>
          <w:tcPr>
            <w:tcW w:w="1140" w:type="dxa"/>
            <w:tcBorders>
              <w:top w:val="nil"/>
              <w:left w:val="nil"/>
              <w:bottom w:val="nil"/>
              <w:right w:val="nil"/>
            </w:tcBorders>
            <w:shd w:val="clear" w:color="auto" w:fill="auto"/>
            <w:noWrap/>
            <w:vAlign w:val="bottom"/>
            <w:hideMark/>
          </w:tcPr>
          <w:p w14:paraId="18971707"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809 069 </w:t>
            </w:r>
          </w:p>
        </w:tc>
        <w:tc>
          <w:tcPr>
            <w:tcW w:w="1554" w:type="dxa"/>
            <w:tcBorders>
              <w:top w:val="nil"/>
              <w:left w:val="nil"/>
              <w:bottom w:val="nil"/>
              <w:right w:val="nil"/>
            </w:tcBorders>
            <w:shd w:val="clear" w:color="auto" w:fill="auto"/>
            <w:noWrap/>
            <w:vAlign w:val="bottom"/>
            <w:hideMark/>
          </w:tcPr>
          <w:p w14:paraId="01C7C6FC"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250 312 </w:t>
            </w:r>
          </w:p>
        </w:tc>
        <w:tc>
          <w:tcPr>
            <w:tcW w:w="1417" w:type="dxa"/>
            <w:tcBorders>
              <w:top w:val="nil"/>
              <w:left w:val="nil"/>
              <w:bottom w:val="nil"/>
              <w:right w:val="nil"/>
            </w:tcBorders>
            <w:shd w:val="clear" w:color="auto" w:fill="auto"/>
            <w:noWrap/>
            <w:vAlign w:val="bottom"/>
            <w:hideMark/>
          </w:tcPr>
          <w:p w14:paraId="0489CC17"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264 718 </w:t>
            </w:r>
          </w:p>
        </w:tc>
        <w:tc>
          <w:tcPr>
            <w:tcW w:w="1134" w:type="dxa"/>
            <w:tcBorders>
              <w:top w:val="nil"/>
              <w:left w:val="nil"/>
              <w:bottom w:val="nil"/>
              <w:right w:val="nil"/>
            </w:tcBorders>
            <w:shd w:val="clear" w:color="auto" w:fill="auto"/>
            <w:noWrap/>
            <w:vAlign w:val="bottom"/>
            <w:hideMark/>
          </w:tcPr>
          <w:p w14:paraId="201C1F5C"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2 218 326 </w:t>
            </w:r>
          </w:p>
        </w:tc>
      </w:tr>
      <w:tr w:rsidR="0048721D" w:rsidRPr="0078552F" w14:paraId="398ED79E" w14:textId="77777777" w:rsidTr="0E4CD856">
        <w:trPr>
          <w:trHeight w:val="80"/>
          <w:jc w:val="center"/>
        </w:trPr>
        <w:tc>
          <w:tcPr>
            <w:tcW w:w="683" w:type="dxa"/>
            <w:tcBorders>
              <w:top w:val="nil"/>
              <w:left w:val="nil"/>
              <w:bottom w:val="nil"/>
              <w:right w:val="nil"/>
            </w:tcBorders>
            <w:shd w:val="clear" w:color="auto" w:fill="auto"/>
            <w:noWrap/>
            <w:vAlign w:val="bottom"/>
            <w:hideMark/>
          </w:tcPr>
          <w:p w14:paraId="4EB1DB3B" w14:textId="77777777" w:rsidR="002B6EA9" w:rsidRPr="0078552F" w:rsidRDefault="002B6EA9" w:rsidP="002B6EA9">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2013</w:t>
            </w:r>
          </w:p>
        </w:tc>
        <w:tc>
          <w:tcPr>
            <w:tcW w:w="1585" w:type="dxa"/>
            <w:tcBorders>
              <w:top w:val="nil"/>
              <w:left w:val="nil"/>
              <w:bottom w:val="nil"/>
              <w:right w:val="nil"/>
            </w:tcBorders>
            <w:shd w:val="clear" w:color="auto" w:fill="auto"/>
            <w:noWrap/>
            <w:vAlign w:val="bottom"/>
            <w:hideMark/>
          </w:tcPr>
          <w:p w14:paraId="2FBE97F9"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420 333 </w:t>
            </w:r>
          </w:p>
        </w:tc>
        <w:tc>
          <w:tcPr>
            <w:tcW w:w="1153" w:type="dxa"/>
            <w:tcBorders>
              <w:top w:val="nil"/>
              <w:left w:val="nil"/>
              <w:bottom w:val="nil"/>
              <w:right w:val="nil"/>
            </w:tcBorders>
            <w:shd w:val="clear" w:color="auto" w:fill="auto"/>
            <w:noWrap/>
            <w:vAlign w:val="bottom"/>
            <w:hideMark/>
          </w:tcPr>
          <w:p w14:paraId="1E863EB0"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584 289 </w:t>
            </w:r>
          </w:p>
        </w:tc>
        <w:tc>
          <w:tcPr>
            <w:tcW w:w="1115" w:type="dxa"/>
            <w:tcBorders>
              <w:top w:val="nil"/>
              <w:left w:val="nil"/>
              <w:bottom w:val="nil"/>
              <w:right w:val="nil"/>
            </w:tcBorders>
            <w:shd w:val="clear" w:color="auto" w:fill="auto"/>
            <w:noWrap/>
            <w:vAlign w:val="bottom"/>
            <w:hideMark/>
          </w:tcPr>
          <w:p w14:paraId="7DD8F15C"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88 211 </w:t>
            </w:r>
          </w:p>
        </w:tc>
        <w:tc>
          <w:tcPr>
            <w:tcW w:w="1140" w:type="dxa"/>
            <w:tcBorders>
              <w:top w:val="nil"/>
              <w:left w:val="nil"/>
              <w:bottom w:val="nil"/>
              <w:right w:val="nil"/>
            </w:tcBorders>
            <w:shd w:val="clear" w:color="auto" w:fill="auto"/>
            <w:noWrap/>
            <w:vAlign w:val="bottom"/>
            <w:hideMark/>
          </w:tcPr>
          <w:p w14:paraId="6BFBB1F8"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990 717 </w:t>
            </w:r>
          </w:p>
        </w:tc>
        <w:tc>
          <w:tcPr>
            <w:tcW w:w="1554" w:type="dxa"/>
            <w:tcBorders>
              <w:top w:val="nil"/>
              <w:left w:val="nil"/>
              <w:bottom w:val="nil"/>
              <w:right w:val="nil"/>
            </w:tcBorders>
            <w:shd w:val="clear" w:color="auto" w:fill="auto"/>
            <w:noWrap/>
            <w:vAlign w:val="bottom"/>
            <w:hideMark/>
          </w:tcPr>
          <w:p w14:paraId="0747186E"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318 945 </w:t>
            </w:r>
          </w:p>
        </w:tc>
        <w:tc>
          <w:tcPr>
            <w:tcW w:w="1417" w:type="dxa"/>
            <w:tcBorders>
              <w:top w:val="nil"/>
              <w:left w:val="nil"/>
              <w:bottom w:val="nil"/>
              <w:right w:val="nil"/>
            </w:tcBorders>
            <w:shd w:val="clear" w:color="auto" w:fill="auto"/>
            <w:noWrap/>
            <w:vAlign w:val="bottom"/>
            <w:hideMark/>
          </w:tcPr>
          <w:p w14:paraId="61E45C6D"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328 733 </w:t>
            </w:r>
          </w:p>
        </w:tc>
        <w:tc>
          <w:tcPr>
            <w:tcW w:w="1134" w:type="dxa"/>
            <w:tcBorders>
              <w:top w:val="nil"/>
              <w:left w:val="nil"/>
              <w:bottom w:val="nil"/>
              <w:right w:val="nil"/>
            </w:tcBorders>
            <w:shd w:val="clear" w:color="auto" w:fill="auto"/>
            <w:noWrap/>
            <w:vAlign w:val="bottom"/>
            <w:hideMark/>
          </w:tcPr>
          <w:p w14:paraId="732C3157"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2 731 226 </w:t>
            </w:r>
          </w:p>
        </w:tc>
      </w:tr>
      <w:tr w:rsidR="0048721D" w:rsidRPr="0078552F" w14:paraId="35211FA9" w14:textId="77777777" w:rsidTr="0E4CD856">
        <w:trPr>
          <w:trHeight w:val="80"/>
          <w:jc w:val="center"/>
        </w:trPr>
        <w:tc>
          <w:tcPr>
            <w:tcW w:w="683" w:type="dxa"/>
            <w:tcBorders>
              <w:top w:val="nil"/>
              <w:left w:val="nil"/>
              <w:bottom w:val="nil"/>
              <w:right w:val="nil"/>
            </w:tcBorders>
            <w:shd w:val="clear" w:color="auto" w:fill="auto"/>
            <w:noWrap/>
            <w:vAlign w:val="bottom"/>
            <w:hideMark/>
          </w:tcPr>
          <w:p w14:paraId="4545C546" w14:textId="77777777" w:rsidR="002B6EA9" w:rsidRPr="0078552F" w:rsidRDefault="002B6EA9" w:rsidP="002B6EA9">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2014</w:t>
            </w:r>
          </w:p>
        </w:tc>
        <w:tc>
          <w:tcPr>
            <w:tcW w:w="1585" w:type="dxa"/>
            <w:tcBorders>
              <w:top w:val="nil"/>
              <w:left w:val="nil"/>
              <w:bottom w:val="nil"/>
              <w:right w:val="nil"/>
            </w:tcBorders>
            <w:shd w:val="clear" w:color="auto" w:fill="auto"/>
            <w:noWrap/>
            <w:vAlign w:val="bottom"/>
            <w:hideMark/>
          </w:tcPr>
          <w:p w14:paraId="7AEEDAD5"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486 271 </w:t>
            </w:r>
          </w:p>
        </w:tc>
        <w:tc>
          <w:tcPr>
            <w:tcW w:w="1153" w:type="dxa"/>
            <w:tcBorders>
              <w:top w:val="nil"/>
              <w:left w:val="nil"/>
              <w:bottom w:val="nil"/>
              <w:right w:val="nil"/>
            </w:tcBorders>
            <w:shd w:val="clear" w:color="auto" w:fill="auto"/>
            <w:noWrap/>
            <w:vAlign w:val="bottom"/>
            <w:hideMark/>
          </w:tcPr>
          <w:p w14:paraId="64EBF7AA"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681 272 </w:t>
            </w:r>
          </w:p>
        </w:tc>
        <w:tc>
          <w:tcPr>
            <w:tcW w:w="1115" w:type="dxa"/>
            <w:tcBorders>
              <w:top w:val="nil"/>
              <w:left w:val="nil"/>
              <w:bottom w:val="nil"/>
              <w:right w:val="nil"/>
            </w:tcBorders>
            <w:shd w:val="clear" w:color="auto" w:fill="auto"/>
            <w:noWrap/>
            <w:vAlign w:val="bottom"/>
            <w:hideMark/>
          </w:tcPr>
          <w:p w14:paraId="1172FDCA"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102 847 </w:t>
            </w:r>
          </w:p>
        </w:tc>
        <w:tc>
          <w:tcPr>
            <w:tcW w:w="1140" w:type="dxa"/>
            <w:tcBorders>
              <w:top w:val="nil"/>
              <w:left w:val="nil"/>
              <w:bottom w:val="nil"/>
              <w:right w:val="nil"/>
            </w:tcBorders>
            <w:shd w:val="clear" w:color="auto" w:fill="auto"/>
            <w:noWrap/>
            <w:vAlign w:val="bottom"/>
            <w:hideMark/>
          </w:tcPr>
          <w:p w14:paraId="68F68D45"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1 161 840 </w:t>
            </w:r>
          </w:p>
        </w:tc>
        <w:tc>
          <w:tcPr>
            <w:tcW w:w="1554" w:type="dxa"/>
            <w:tcBorders>
              <w:top w:val="nil"/>
              <w:left w:val="nil"/>
              <w:bottom w:val="nil"/>
              <w:right w:val="nil"/>
            </w:tcBorders>
            <w:shd w:val="clear" w:color="auto" w:fill="auto"/>
            <w:noWrap/>
            <w:vAlign w:val="bottom"/>
            <w:hideMark/>
          </w:tcPr>
          <w:p w14:paraId="0B083CD3"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386 411 </w:t>
            </w:r>
          </w:p>
        </w:tc>
        <w:tc>
          <w:tcPr>
            <w:tcW w:w="1417" w:type="dxa"/>
            <w:tcBorders>
              <w:top w:val="nil"/>
              <w:left w:val="nil"/>
              <w:bottom w:val="nil"/>
              <w:right w:val="nil"/>
            </w:tcBorders>
            <w:shd w:val="clear" w:color="auto" w:fill="auto"/>
            <w:noWrap/>
            <w:vAlign w:val="bottom"/>
            <w:hideMark/>
          </w:tcPr>
          <w:p w14:paraId="6CBF2D9C"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385 168 </w:t>
            </w:r>
          </w:p>
        </w:tc>
        <w:tc>
          <w:tcPr>
            <w:tcW w:w="1134" w:type="dxa"/>
            <w:tcBorders>
              <w:top w:val="nil"/>
              <w:left w:val="nil"/>
              <w:bottom w:val="nil"/>
              <w:right w:val="nil"/>
            </w:tcBorders>
            <w:shd w:val="clear" w:color="auto" w:fill="auto"/>
            <w:noWrap/>
            <w:vAlign w:val="bottom"/>
            <w:hideMark/>
          </w:tcPr>
          <w:p w14:paraId="1D77BCF9"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3 203 809 </w:t>
            </w:r>
          </w:p>
        </w:tc>
      </w:tr>
      <w:tr w:rsidR="0048721D" w:rsidRPr="0078552F" w14:paraId="14309579" w14:textId="77777777" w:rsidTr="0E4CD856">
        <w:trPr>
          <w:trHeight w:val="80"/>
          <w:jc w:val="center"/>
        </w:trPr>
        <w:tc>
          <w:tcPr>
            <w:tcW w:w="683" w:type="dxa"/>
            <w:tcBorders>
              <w:top w:val="nil"/>
              <w:left w:val="nil"/>
              <w:bottom w:val="nil"/>
              <w:right w:val="nil"/>
            </w:tcBorders>
            <w:shd w:val="clear" w:color="auto" w:fill="auto"/>
            <w:noWrap/>
            <w:vAlign w:val="bottom"/>
            <w:hideMark/>
          </w:tcPr>
          <w:p w14:paraId="5BB12B56" w14:textId="77777777" w:rsidR="002B6EA9" w:rsidRPr="0078552F" w:rsidRDefault="002B6EA9" w:rsidP="002B6EA9">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2015</w:t>
            </w:r>
          </w:p>
        </w:tc>
        <w:tc>
          <w:tcPr>
            <w:tcW w:w="1585" w:type="dxa"/>
            <w:tcBorders>
              <w:top w:val="nil"/>
              <w:left w:val="nil"/>
              <w:bottom w:val="nil"/>
              <w:right w:val="nil"/>
            </w:tcBorders>
            <w:shd w:val="clear" w:color="auto" w:fill="auto"/>
            <w:noWrap/>
            <w:vAlign w:val="bottom"/>
            <w:hideMark/>
          </w:tcPr>
          <w:p w14:paraId="19620F6D"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581 508 </w:t>
            </w:r>
          </w:p>
        </w:tc>
        <w:tc>
          <w:tcPr>
            <w:tcW w:w="1153" w:type="dxa"/>
            <w:tcBorders>
              <w:top w:val="nil"/>
              <w:left w:val="nil"/>
              <w:bottom w:val="nil"/>
              <w:right w:val="nil"/>
            </w:tcBorders>
            <w:shd w:val="clear" w:color="auto" w:fill="auto"/>
            <w:noWrap/>
            <w:vAlign w:val="bottom"/>
            <w:hideMark/>
          </w:tcPr>
          <w:p w14:paraId="74133139"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816 836 </w:t>
            </w:r>
          </w:p>
        </w:tc>
        <w:tc>
          <w:tcPr>
            <w:tcW w:w="1115" w:type="dxa"/>
            <w:tcBorders>
              <w:top w:val="nil"/>
              <w:left w:val="nil"/>
              <w:bottom w:val="nil"/>
              <w:right w:val="nil"/>
            </w:tcBorders>
            <w:shd w:val="clear" w:color="auto" w:fill="auto"/>
            <w:noWrap/>
            <w:vAlign w:val="bottom"/>
            <w:hideMark/>
          </w:tcPr>
          <w:p w14:paraId="1AA7306B"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127 070 </w:t>
            </w:r>
          </w:p>
        </w:tc>
        <w:tc>
          <w:tcPr>
            <w:tcW w:w="1140" w:type="dxa"/>
            <w:tcBorders>
              <w:top w:val="nil"/>
              <w:left w:val="nil"/>
              <w:bottom w:val="nil"/>
              <w:right w:val="nil"/>
            </w:tcBorders>
            <w:shd w:val="clear" w:color="auto" w:fill="auto"/>
            <w:noWrap/>
            <w:vAlign w:val="bottom"/>
            <w:hideMark/>
          </w:tcPr>
          <w:p w14:paraId="7082FA7C"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1 400 386 </w:t>
            </w:r>
          </w:p>
        </w:tc>
        <w:tc>
          <w:tcPr>
            <w:tcW w:w="1554" w:type="dxa"/>
            <w:tcBorders>
              <w:top w:val="nil"/>
              <w:left w:val="nil"/>
              <w:bottom w:val="nil"/>
              <w:right w:val="nil"/>
            </w:tcBorders>
            <w:shd w:val="clear" w:color="auto" w:fill="auto"/>
            <w:noWrap/>
            <w:vAlign w:val="bottom"/>
            <w:hideMark/>
          </w:tcPr>
          <w:p w14:paraId="0C2077AC"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478 213 </w:t>
            </w:r>
          </w:p>
        </w:tc>
        <w:tc>
          <w:tcPr>
            <w:tcW w:w="1417" w:type="dxa"/>
            <w:tcBorders>
              <w:top w:val="nil"/>
              <w:left w:val="nil"/>
              <w:bottom w:val="nil"/>
              <w:right w:val="nil"/>
            </w:tcBorders>
            <w:shd w:val="clear" w:color="auto" w:fill="auto"/>
            <w:noWrap/>
            <w:vAlign w:val="bottom"/>
            <w:hideMark/>
          </w:tcPr>
          <w:p w14:paraId="114AAB2D"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457 873 </w:t>
            </w:r>
          </w:p>
        </w:tc>
        <w:tc>
          <w:tcPr>
            <w:tcW w:w="1134" w:type="dxa"/>
            <w:tcBorders>
              <w:top w:val="nil"/>
              <w:left w:val="nil"/>
              <w:bottom w:val="nil"/>
              <w:right w:val="nil"/>
            </w:tcBorders>
            <w:shd w:val="clear" w:color="auto" w:fill="auto"/>
            <w:noWrap/>
            <w:vAlign w:val="bottom"/>
            <w:hideMark/>
          </w:tcPr>
          <w:p w14:paraId="408592EC"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3 861 886 </w:t>
            </w:r>
          </w:p>
        </w:tc>
      </w:tr>
      <w:tr w:rsidR="0048721D" w:rsidRPr="0078552F" w14:paraId="68A88B2C" w14:textId="77777777" w:rsidTr="0E4CD856">
        <w:trPr>
          <w:trHeight w:val="80"/>
          <w:jc w:val="center"/>
        </w:trPr>
        <w:tc>
          <w:tcPr>
            <w:tcW w:w="683" w:type="dxa"/>
            <w:tcBorders>
              <w:top w:val="nil"/>
              <w:left w:val="nil"/>
              <w:bottom w:val="nil"/>
              <w:right w:val="nil"/>
            </w:tcBorders>
            <w:shd w:val="clear" w:color="auto" w:fill="auto"/>
            <w:noWrap/>
            <w:vAlign w:val="bottom"/>
            <w:hideMark/>
          </w:tcPr>
          <w:p w14:paraId="00C07840" w14:textId="77777777" w:rsidR="002B6EA9" w:rsidRPr="0078552F" w:rsidRDefault="002B6EA9" w:rsidP="002B6EA9">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2016</w:t>
            </w:r>
          </w:p>
        </w:tc>
        <w:tc>
          <w:tcPr>
            <w:tcW w:w="1585" w:type="dxa"/>
            <w:tcBorders>
              <w:top w:val="nil"/>
              <w:left w:val="nil"/>
              <w:bottom w:val="nil"/>
              <w:right w:val="nil"/>
            </w:tcBorders>
            <w:shd w:val="clear" w:color="auto" w:fill="auto"/>
            <w:noWrap/>
            <w:vAlign w:val="bottom"/>
            <w:hideMark/>
          </w:tcPr>
          <w:p w14:paraId="0941F1D4"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659 537 </w:t>
            </w:r>
          </w:p>
        </w:tc>
        <w:tc>
          <w:tcPr>
            <w:tcW w:w="1153" w:type="dxa"/>
            <w:tcBorders>
              <w:top w:val="nil"/>
              <w:left w:val="nil"/>
              <w:bottom w:val="nil"/>
              <w:right w:val="nil"/>
            </w:tcBorders>
            <w:shd w:val="clear" w:color="auto" w:fill="auto"/>
            <w:noWrap/>
            <w:vAlign w:val="bottom"/>
            <w:hideMark/>
          </w:tcPr>
          <w:p w14:paraId="55EA0C2D"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930 270 </w:t>
            </w:r>
          </w:p>
        </w:tc>
        <w:tc>
          <w:tcPr>
            <w:tcW w:w="1115" w:type="dxa"/>
            <w:tcBorders>
              <w:top w:val="nil"/>
              <w:left w:val="nil"/>
              <w:bottom w:val="nil"/>
              <w:right w:val="nil"/>
            </w:tcBorders>
            <w:shd w:val="clear" w:color="auto" w:fill="auto"/>
            <w:noWrap/>
            <w:vAlign w:val="bottom"/>
            <w:hideMark/>
          </w:tcPr>
          <w:p w14:paraId="46FC13EC"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149 728 </w:t>
            </w:r>
          </w:p>
        </w:tc>
        <w:tc>
          <w:tcPr>
            <w:tcW w:w="1140" w:type="dxa"/>
            <w:tcBorders>
              <w:top w:val="nil"/>
              <w:left w:val="nil"/>
              <w:bottom w:val="nil"/>
              <w:right w:val="nil"/>
            </w:tcBorders>
            <w:shd w:val="clear" w:color="auto" w:fill="auto"/>
            <w:noWrap/>
            <w:vAlign w:val="bottom"/>
            <w:hideMark/>
          </w:tcPr>
          <w:p w14:paraId="60B23E17"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1 634 498 </w:t>
            </w:r>
          </w:p>
        </w:tc>
        <w:tc>
          <w:tcPr>
            <w:tcW w:w="1554" w:type="dxa"/>
            <w:tcBorders>
              <w:top w:val="nil"/>
              <w:left w:val="nil"/>
              <w:bottom w:val="nil"/>
              <w:right w:val="nil"/>
            </w:tcBorders>
            <w:shd w:val="clear" w:color="auto" w:fill="auto"/>
            <w:noWrap/>
            <w:vAlign w:val="bottom"/>
            <w:hideMark/>
          </w:tcPr>
          <w:p w14:paraId="55F621E4"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552 032 </w:t>
            </w:r>
          </w:p>
        </w:tc>
        <w:tc>
          <w:tcPr>
            <w:tcW w:w="1417" w:type="dxa"/>
            <w:tcBorders>
              <w:top w:val="nil"/>
              <w:left w:val="nil"/>
              <w:bottom w:val="nil"/>
              <w:right w:val="nil"/>
            </w:tcBorders>
            <w:shd w:val="clear" w:color="auto" w:fill="auto"/>
            <w:noWrap/>
            <w:vAlign w:val="bottom"/>
            <w:hideMark/>
          </w:tcPr>
          <w:p w14:paraId="282A670A"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518 357 </w:t>
            </w:r>
          </w:p>
        </w:tc>
        <w:tc>
          <w:tcPr>
            <w:tcW w:w="1134" w:type="dxa"/>
            <w:tcBorders>
              <w:top w:val="nil"/>
              <w:left w:val="nil"/>
              <w:bottom w:val="nil"/>
              <w:right w:val="nil"/>
            </w:tcBorders>
            <w:shd w:val="clear" w:color="auto" w:fill="auto"/>
            <w:noWrap/>
            <w:vAlign w:val="bottom"/>
            <w:hideMark/>
          </w:tcPr>
          <w:p w14:paraId="301A0BB8"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4 444 423 </w:t>
            </w:r>
          </w:p>
        </w:tc>
      </w:tr>
      <w:tr w:rsidR="0048721D" w:rsidRPr="0078552F" w14:paraId="0C298D43" w14:textId="77777777" w:rsidTr="0E4CD856">
        <w:trPr>
          <w:trHeight w:val="80"/>
          <w:jc w:val="center"/>
        </w:trPr>
        <w:tc>
          <w:tcPr>
            <w:tcW w:w="683" w:type="dxa"/>
            <w:tcBorders>
              <w:top w:val="nil"/>
              <w:left w:val="nil"/>
              <w:bottom w:val="nil"/>
              <w:right w:val="nil"/>
            </w:tcBorders>
            <w:shd w:val="clear" w:color="auto" w:fill="auto"/>
            <w:noWrap/>
            <w:vAlign w:val="bottom"/>
            <w:hideMark/>
          </w:tcPr>
          <w:p w14:paraId="6CD3E1A9" w14:textId="77777777" w:rsidR="002B6EA9" w:rsidRPr="0078552F" w:rsidRDefault="002B6EA9" w:rsidP="002B6EA9">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2017</w:t>
            </w:r>
          </w:p>
        </w:tc>
        <w:tc>
          <w:tcPr>
            <w:tcW w:w="1585" w:type="dxa"/>
            <w:tcBorders>
              <w:top w:val="nil"/>
              <w:left w:val="nil"/>
              <w:bottom w:val="nil"/>
              <w:right w:val="nil"/>
            </w:tcBorders>
            <w:shd w:val="clear" w:color="auto" w:fill="auto"/>
            <w:noWrap/>
            <w:vAlign w:val="bottom"/>
            <w:hideMark/>
          </w:tcPr>
          <w:p w14:paraId="4C595438"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741 513 </w:t>
            </w:r>
          </w:p>
        </w:tc>
        <w:tc>
          <w:tcPr>
            <w:tcW w:w="1153" w:type="dxa"/>
            <w:tcBorders>
              <w:top w:val="nil"/>
              <w:left w:val="nil"/>
              <w:bottom w:val="nil"/>
              <w:right w:val="nil"/>
            </w:tcBorders>
            <w:shd w:val="clear" w:color="auto" w:fill="auto"/>
            <w:noWrap/>
            <w:vAlign w:val="bottom"/>
            <w:hideMark/>
          </w:tcPr>
          <w:p w14:paraId="2ECD4DE0"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1 046 676 </w:t>
            </w:r>
          </w:p>
        </w:tc>
        <w:tc>
          <w:tcPr>
            <w:tcW w:w="1115" w:type="dxa"/>
            <w:tcBorders>
              <w:top w:val="nil"/>
              <w:left w:val="nil"/>
              <w:bottom w:val="nil"/>
              <w:right w:val="nil"/>
            </w:tcBorders>
            <w:shd w:val="clear" w:color="auto" w:fill="auto"/>
            <w:noWrap/>
            <w:vAlign w:val="bottom"/>
            <w:hideMark/>
          </w:tcPr>
          <w:p w14:paraId="2A8E2EDC"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170 553 </w:t>
            </w:r>
          </w:p>
        </w:tc>
        <w:tc>
          <w:tcPr>
            <w:tcW w:w="1140" w:type="dxa"/>
            <w:tcBorders>
              <w:top w:val="nil"/>
              <w:left w:val="nil"/>
              <w:bottom w:val="nil"/>
              <w:right w:val="nil"/>
            </w:tcBorders>
            <w:shd w:val="clear" w:color="auto" w:fill="auto"/>
            <w:noWrap/>
            <w:vAlign w:val="bottom"/>
            <w:hideMark/>
          </w:tcPr>
          <w:p w14:paraId="2A295F3E"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1 876 084 </w:t>
            </w:r>
          </w:p>
        </w:tc>
        <w:tc>
          <w:tcPr>
            <w:tcW w:w="1554" w:type="dxa"/>
            <w:tcBorders>
              <w:top w:val="nil"/>
              <w:left w:val="nil"/>
              <w:bottom w:val="nil"/>
              <w:right w:val="nil"/>
            </w:tcBorders>
            <w:shd w:val="clear" w:color="auto" w:fill="auto"/>
            <w:noWrap/>
            <w:vAlign w:val="bottom"/>
            <w:hideMark/>
          </w:tcPr>
          <w:p w14:paraId="2F70FD68"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617 346 </w:t>
            </w:r>
          </w:p>
        </w:tc>
        <w:tc>
          <w:tcPr>
            <w:tcW w:w="1417" w:type="dxa"/>
            <w:tcBorders>
              <w:top w:val="nil"/>
              <w:left w:val="nil"/>
              <w:bottom w:val="nil"/>
              <w:right w:val="nil"/>
            </w:tcBorders>
            <w:shd w:val="clear" w:color="auto" w:fill="auto"/>
            <w:noWrap/>
            <w:vAlign w:val="bottom"/>
            <w:hideMark/>
          </w:tcPr>
          <w:p w14:paraId="05C2ED96"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587 124 </w:t>
            </w:r>
          </w:p>
        </w:tc>
        <w:tc>
          <w:tcPr>
            <w:tcW w:w="1134" w:type="dxa"/>
            <w:tcBorders>
              <w:top w:val="nil"/>
              <w:left w:val="nil"/>
              <w:bottom w:val="nil"/>
              <w:right w:val="nil"/>
            </w:tcBorders>
            <w:shd w:val="clear" w:color="auto" w:fill="auto"/>
            <w:noWrap/>
            <w:vAlign w:val="bottom"/>
            <w:hideMark/>
          </w:tcPr>
          <w:p w14:paraId="2A4FCC31"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5 039 295 </w:t>
            </w:r>
          </w:p>
        </w:tc>
      </w:tr>
      <w:tr w:rsidR="0048721D" w:rsidRPr="0078552F" w14:paraId="5AF9F933" w14:textId="77777777" w:rsidTr="0E4CD856">
        <w:trPr>
          <w:trHeight w:val="80"/>
          <w:jc w:val="center"/>
        </w:trPr>
        <w:tc>
          <w:tcPr>
            <w:tcW w:w="683" w:type="dxa"/>
            <w:tcBorders>
              <w:top w:val="nil"/>
              <w:left w:val="nil"/>
              <w:bottom w:val="single" w:sz="4" w:space="0" w:color="auto"/>
              <w:right w:val="nil"/>
            </w:tcBorders>
            <w:shd w:val="clear" w:color="auto" w:fill="auto"/>
            <w:noWrap/>
            <w:vAlign w:val="bottom"/>
            <w:hideMark/>
          </w:tcPr>
          <w:p w14:paraId="722956E6" w14:textId="77777777" w:rsidR="002B6EA9" w:rsidRPr="0078552F" w:rsidRDefault="002B6EA9" w:rsidP="002B6EA9">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2018</w:t>
            </w:r>
          </w:p>
        </w:tc>
        <w:tc>
          <w:tcPr>
            <w:tcW w:w="1585" w:type="dxa"/>
            <w:tcBorders>
              <w:top w:val="nil"/>
              <w:left w:val="nil"/>
              <w:bottom w:val="single" w:sz="4" w:space="0" w:color="auto"/>
              <w:right w:val="nil"/>
            </w:tcBorders>
            <w:shd w:val="clear" w:color="auto" w:fill="auto"/>
            <w:noWrap/>
            <w:vAlign w:val="bottom"/>
            <w:hideMark/>
          </w:tcPr>
          <w:p w14:paraId="0C048FB4"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832 812 </w:t>
            </w:r>
          </w:p>
        </w:tc>
        <w:tc>
          <w:tcPr>
            <w:tcW w:w="1153" w:type="dxa"/>
            <w:tcBorders>
              <w:top w:val="nil"/>
              <w:left w:val="nil"/>
              <w:bottom w:val="single" w:sz="4" w:space="0" w:color="auto"/>
              <w:right w:val="nil"/>
            </w:tcBorders>
            <w:shd w:val="clear" w:color="auto" w:fill="auto"/>
            <w:noWrap/>
            <w:vAlign w:val="bottom"/>
            <w:hideMark/>
          </w:tcPr>
          <w:p w14:paraId="7FFC490B"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1 180 000 </w:t>
            </w:r>
          </w:p>
        </w:tc>
        <w:tc>
          <w:tcPr>
            <w:tcW w:w="1115" w:type="dxa"/>
            <w:tcBorders>
              <w:top w:val="nil"/>
              <w:left w:val="nil"/>
              <w:bottom w:val="single" w:sz="4" w:space="0" w:color="auto"/>
              <w:right w:val="nil"/>
            </w:tcBorders>
            <w:shd w:val="clear" w:color="auto" w:fill="auto"/>
            <w:noWrap/>
            <w:vAlign w:val="bottom"/>
            <w:hideMark/>
          </w:tcPr>
          <w:p w14:paraId="207CB43F"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184 813 </w:t>
            </w:r>
          </w:p>
        </w:tc>
        <w:tc>
          <w:tcPr>
            <w:tcW w:w="1140" w:type="dxa"/>
            <w:tcBorders>
              <w:top w:val="nil"/>
              <w:left w:val="nil"/>
              <w:bottom w:val="single" w:sz="4" w:space="0" w:color="auto"/>
              <w:right w:val="nil"/>
            </w:tcBorders>
            <w:shd w:val="clear" w:color="auto" w:fill="auto"/>
            <w:noWrap/>
            <w:vAlign w:val="bottom"/>
            <w:hideMark/>
          </w:tcPr>
          <w:p w14:paraId="33F58645"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2 103 625 </w:t>
            </w:r>
          </w:p>
        </w:tc>
        <w:tc>
          <w:tcPr>
            <w:tcW w:w="1554" w:type="dxa"/>
            <w:tcBorders>
              <w:top w:val="nil"/>
              <w:left w:val="nil"/>
              <w:bottom w:val="single" w:sz="4" w:space="0" w:color="auto"/>
              <w:right w:val="nil"/>
            </w:tcBorders>
            <w:shd w:val="clear" w:color="auto" w:fill="auto"/>
            <w:noWrap/>
            <w:vAlign w:val="bottom"/>
            <w:hideMark/>
          </w:tcPr>
          <w:p w14:paraId="76ABA53B"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694 911 </w:t>
            </w:r>
          </w:p>
        </w:tc>
        <w:tc>
          <w:tcPr>
            <w:tcW w:w="1417" w:type="dxa"/>
            <w:tcBorders>
              <w:top w:val="nil"/>
              <w:left w:val="nil"/>
              <w:bottom w:val="single" w:sz="4" w:space="0" w:color="auto"/>
              <w:right w:val="nil"/>
            </w:tcBorders>
            <w:shd w:val="clear" w:color="auto" w:fill="auto"/>
            <w:noWrap/>
            <w:vAlign w:val="bottom"/>
            <w:hideMark/>
          </w:tcPr>
          <w:p w14:paraId="48075957"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655 514 </w:t>
            </w:r>
          </w:p>
        </w:tc>
        <w:tc>
          <w:tcPr>
            <w:tcW w:w="1134" w:type="dxa"/>
            <w:tcBorders>
              <w:top w:val="nil"/>
              <w:left w:val="nil"/>
              <w:bottom w:val="single" w:sz="4" w:space="0" w:color="auto"/>
              <w:right w:val="nil"/>
            </w:tcBorders>
            <w:shd w:val="clear" w:color="auto" w:fill="auto"/>
            <w:noWrap/>
            <w:vAlign w:val="bottom"/>
            <w:hideMark/>
          </w:tcPr>
          <w:p w14:paraId="594C4AE2" w14:textId="77777777" w:rsidR="002B6EA9" w:rsidRPr="0078552F" w:rsidRDefault="002B6EA9" w:rsidP="00452A23">
            <w:pPr>
              <w:spacing w:after="0" w:line="240" w:lineRule="auto"/>
              <w:jc w:val="right"/>
              <w:rPr>
                <w:rFonts w:asciiTheme="majorHAnsi" w:eastAsia="Times New Roman" w:hAnsiTheme="majorHAnsi" w:cstheme="minorHAnsi"/>
                <w:color w:val="000000"/>
                <w:lang w:val="es-CR" w:eastAsia="es-CR"/>
              </w:rPr>
            </w:pPr>
            <w:r w:rsidRPr="0078552F">
              <w:rPr>
                <w:rFonts w:asciiTheme="majorHAnsi" w:eastAsia="Times New Roman" w:hAnsiTheme="majorHAnsi" w:cstheme="minorHAnsi"/>
                <w:color w:val="000000"/>
                <w:lang w:val="es-CR" w:eastAsia="es-CR"/>
              </w:rPr>
              <w:t xml:space="preserve">5 651 675 </w:t>
            </w:r>
          </w:p>
        </w:tc>
      </w:tr>
    </w:tbl>
    <w:p w14:paraId="0C275518" w14:textId="77777777" w:rsidR="00E15415" w:rsidRPr="009B7058" w:rsidRDefault="00E15415" w:rsidP="00F7428D">
      <w:pPr>
        <w:spacing w:after="0" w:line="240" w:lineRule="auto"/>
        <w:rPr>
          <w:rFonts w:asciiTheme="majorHAnsi" w:hAnsiTheme="majorHAnsi" w:cstheme="minorHAnsi"/>
          <w:sz w:val="20"/>
        </w:rPr>
      </w:pPr>
      <w:r w:rsidRPr="009B7058">
        <w:rPr>
          <w:rFonts w:asciiTheme="majorHAnsi" w:hAnsiTheme="majorHAnsi" w:cstheme="minorHAnsi"/>
          <w:sz w:val="20"/>
        </w:rPr>
        <w:t>Fuente: Elaboración de SUPEN con datos suministrados por los fondos</w:t>
      </w:r>
    </w:p>
    <w:p w14:paraId="6537F28F" w14:textId="77777777" w:rsidR="002B6EA9" w:rsidRPr="008F5D99" w:rsidRDefault="002B6EA9" w:rsidP="00AB1521">
      <w:pPr>
        <w:spacing w:after="0" w:line="240" w:lineRule="auto"/>
        <w:jc w:val="both"/>
        <w:rPr>
          <w:rFonts w:asciiTheme="majorHAnsi" w:hAnsiTheme="majorHAnsi" w:cstheme="minorHAnsi"/>
        </w:rPr>
      </w:pPr>
    </w:p>
    <w:p w14:paraId="27C33103" w14:textId="77777777" w:rsidR="00F7428D" w:rsidRDefault="00F7428D" w:rsidP="3373A143">
      <w:pPr>
        <w:spacing w:after="0" w:line="240" w:lineRule="auto"/>
        <w:jc w:val="both"/>
        <w:rPr>
          <w:rFonts w:asciiTheme="majorHAnsi" w:hAnsiTheme="majorHAnsi"/>
        </w:rPr>
      </w:pPr>
    </w:p>
    <w:p w14:paraId="53F9F872" w14:textId="5F324D0F" w:rsidR="007D0BC7" w:rsidRPr="008F5D99" w:rsidRDefault="3373A143" w:rsidP="3373A143">
      <w:pPr>
        <w:spacing w:after="0" w:line="240" w:lineRule="auto"/>
        <w:jc w:val="both"/>
        <w:rPr>
          <w:rFonts w:asciiTheme="majorHAnsi" w:hAnsiTheme="majorHAnsi"/>
        </w:rPr>
      </w:pPr>
      <w:r w:rsidRPr="3373A143">
        <w:rPr>
          <w:rFonts w:asciiTheme="majorHAnsi" w:hAnsiTheme="majorHAnsi"/>
        </w:rPr>
        <w:lastRenderedPageBreak/>
        <w:t xml:space="preserve">Del total de activos del ROP, las dos operadoras más grandes en cuanto a administración de activos, Popular Pensiones y BN Vital, administran conjuntamente el 58,1% de total de los recursos. Desde el 2010 Popular Pensiones ha administrado en promedio el 37% del total de los recursos. La operadora CCSS-OPC es la que tiene menor participación de mercado con un 3%. </w:t>
      </w:r>
    </w:p>
    <w:p w14:paraId="6DFB9E20" w14:textId="77777777" w:rsidR="00C6503C" w:rsidRPr="008F5D99" w:rsidRDefault="00C6503C" w:rsidP="00AB1521">
      <w:pPr>
        <w:spacing w:after="0" w:line="240" w:lineRule="auto"/>
        <w:jc w:val="both"/>
        <w:rPr>
          <w:rFonts w:asciiTheme="majorHAnsi" w:hAnsiTheme="majorHAnsi" w:cstheme="minorHAnsi"/>
        </w:rPr>
      </w:pPr>
    </w:p>
    <w:p w14:paraId="64F45331" w14:textId="77777777" w:rsidR="009D24F9" w:rsidRPr="008F5D99" w:rsidRDefault="009D24F9" w:rsidP="009D24F9">
      <w:pPr>
        <w:pStyle w:val="Ttulo2"/>
        <w:rPr>
          <w:rFonts w:cstheme="minorHAnsi"/>
        </w:rPr>
      </w:pPr>
      <w:r w:rsidRPr="008F5D99">
        <w:rPr>
          <w:rFonts w:cstheme="minorHAnsi"/>
        </w:rPr>
        <w:t>Inversiones en el Sector Pensiones</w:t>
      </w:r>
    </w:p>
    <w:p w14:paraId="70DF9E56" w14:textId="77777777" w:rsidR="007D0BC7" w:rsidRDefault="007D0BC7" w:rsidP="00AB1521">
      <w:pPr>
        <w:spacing w:after="0" w:line="240" w:lineRule="auto"/>
        <w:rPr>
          <w:rFonts w:asciiTheme="majorHAnsi" w:hAnsiTheme="majorHAnsi" w:cstheme="minorHAnsi"/>
        </w:rPr>
      </w:pPr>
      <w:bookmarkStart w:id="3" w:name="_Toc505348334"/>
      <w:bookmarkStart w:id="4" w:name="_Toc506207744"/>
      <w:bookmarkStart w:id="5" w:name="_Toc506212325"/>
      <w:bookmarkStart w:id="6" w:name="_Toc520731936"/>
    </w:p>
    <w:p w14:paraId="784E17D4" w14:textId="77777777" w:rsidR="00EB575C" w:rsidRDefault="00EB575C" w:rsidP="00AB1521">
      <w:pPr>
        <w:spacing w:after="0" w:line="240" w:lineRule="auto"/>
        <w:rPr>
          <w:rFonts w:asciiTheme="majorHAnsi" w:hAnsiTheme="majorHAnsi" w:cstheme="minorHAnsi"/>
          <w:b/>
        </w:rPr>
      </w:pPr>
      <w:r w:rsidRPr="00EB575C">
        <w:rPr>
          <w:rFonts w:asciiTheme="majorHAnsi" w:hAnsiTheme="majorHAnsi" w:cstheme="minorHAnsi"/>
          <w:b/>
        </w:rPr>
        <w:t>Tipos de instrumentos</w:t>
      </w:r>
    </w:p>
    <w:p w14:paraId="44E871BC" w14:textId="77777777" w:rsidR="00EB575C" w:rsidRPr="00EB575C" w:rsidRDefault="00EB575C" w:rsidP="00AB1521">
      <w:pPr>
        <w:spacing w:after="0" w:line="240" w:lineRule="auto"/>
        <w:rPr>
          <w:rFonts w:asciiTheme="majorHAnsi" w:hAnsiTheme="majorHAnsi" w:cstheme="minorHAnsi"/>
          <w:b/>
        </w:rPr>
      </w:pPr>
    </w:p>
    <w:p w14:paraId="4FCFCA5F" w14:textId="77777777" w:rsidR="00EB575C" w:rsidRPr="008F5D99" w:rsidRDefault="00EB575C" w:rsidP="00EB575C">
      <w:pPr>
        <w:spacing w:after="0" w:line="240" w:lineRule="auto"/>
        <w:jc w:val="both"/>
        <w:rPr>
          <w:rFonts w:asciiTheme="majorHAnsi" w:hAnsiTheme="majorHAnsi" w:cstheme="minorHAnsi"/>
        </w:rPr>
      </w:pPr>
      <w:r w:rsidRPr="008F5D99">
        <w:rPr>
          <w:rFonts w:asciiTheme="majorHAnsi" w:hAnsiTheme="majorHAnsi" w:cstheme="minorHAnsi"/>
        </w:rPr>
        <w:t xml:space="preserve">Con la </w:t>
      </w:r>
      <w:proofErr w:type="gramStart"/>
      <w:r w:rsidRPr="008F5D99">
        <w:rPr>
          <w:rFonts w:asciiTheme="majorHAnsi" w:hAnsiTheme="majorHAnsi" w:cstheme="minorHAnsi"/>
        </w:rPr>
        <w:t>entrada en vigencia</w:t>
      </w:r>
      <w:proofErr w:type="gramEnd"/>
      <w:r w:rsidRPr="008F5D99">
        <w:rPr>
          <w:rFonts w:asciiTheme="majorHAnsi" w:hAnsiTheme="majorHAnsi" w:cstheme="minorHAnsi"/>
        </w:rPr>
        <w:t xml:space="preserve"> del Reglamento de Gestión de Activos, el 02 de noviembre del 2018, los tipos de instrumentos en los cuales pueden invertir las entidades reguladas son:</w:t>
      </w:r>
    </w:p>
    <w:p w14:paraId="144A5D23" w14:textId="77777777" w:rsidR="00EB575C" w:rsidRPr="008F5D99" w:rsidRDefault="00EB575C" w:rsidP="00EB575C">
      <w:pPr>
        <w:spacing w:after="0" w:line="240" w:lineRule="auto"/>
        <w:jc w:val="both"/>
        <w:rPr>
          <w:rFonts w:asciiTheme="majorHAnsi" w:hAnsiTheme="majorHAnsi" w:cstheme="minorHAnsi"/>
        </w:rPr>
      </w:pPr>
    </w:p>
    <w:p w14:paraId="6DE07AC4" w14:textId="77777777" w:rsidR="00EB575C" w:rsidRDefault="00EB575C" w:rsidP="00EB575C">
      <w:pPr>
        <w:spacing w:after="0" w:line="240" w:lineRule="auto"/>
        <w:jc w:val="center"/>
        <w:rPr>
          <w:rFonts w:asciiTheme="majorHAnsi" w:hAnsiTheme="majorHAnsi" w:cstheme="minorHAnsi"/>
        </w:rPr>
      </w:pPr>
      <w:r w:rsidRPr="0033676D">
        <w:rPr>
          <w:rFonts w:asciiTheme="majorHAnsi" w:hAnsiTheme="majorHAnsi" w:cstheme="minorHAnsi"/>
        </w:rPr>
        <w:t xml:space="preserve">Cuadro </w:t>
      </w:r>
      <w:r w:rsidRPr="0033676D">
        <w:rPr>
          <w:rFonts w:asciiTheme="majorHAnsi" w:hAnsiTheme="majorHAnsi" w:cstheme="minorHAnsi"/>
        </w:rPr>
        <w:fldChar w:fldCharType="begin"/>
      </w:r>
      <w:r w:rsidRPr="0033676D">
        <w:rPr>
          <w:rFonts w:asciiTheme="majorHAnsi" w:hAnsiTheme="majorHAnsi" w:cstheme="minorHAnsi"/>
        </w:rPr>
        <w:instrText xml:space="preserve"> SEQ Cuadro \* ARABIC </w:instrText>
      </w:r>
      <w:r w:rsidRPr="0033676D">
        <w:rPr>
          <w:rFonts w:asciiTheme="majorHAnsi" w:hAnsiTheme="majorHAnsi" w:cstheme="minorHAnsi"/>
        </w:rPr>
        <w:fldChar w:fldCharType="separate"/>
      </w:r>
      <w:r w:rsidR="00947FD6">
        <w:rPr>
          <w:rFonts w:asciiTheme="majorHAnsi" w:hAnsiTheme="majorHAnsi" w:cstheme="minorHAnsi"/>
          <w:noProof/>
        </w:rPr>
        <w:t>3</w:t>
      </w:r>
      <w:r w:rsidRPr="0033676D">
        <w:rPr>
          <w:rFonts w:asciiTheme="majorHAnsi" w:hAnsiTheme="majorHAnsi" w:cstheme="minorHAnsi"/>
        </w:rPr>
        <w:fldChar w:fldCharType="end"/>
      </w:r>
    </w:p>
    <w:p w14:paraId="01FAB4C4" w14:textId="77777777" w:rsidR="00EB575C" w:rsidRPr="008F5D99" w:rsidRDefault="00EB575C" w:rsidP="00EB575C">
      <w:pPr>
        <w:spacing w:after="0" w:line="240" w:lineRule="auto"/>
        <w:jc w:val="center"/>
        <w:rPr>
          <w:rFonts w:asciiTheme="majorHAnsi" w:hAnsiTheme="majorHAnsi" w:cstheme="minorHAnsi"/>
        </w:rPr>
      </w:pPr>
      <w:r w:rsidRPr="008F5D99">
        <w:rPr>
          <w:rFonts w:asciiTheme="majorHAnsi" w:hAnsiTheme="majorHAnsi" w:cstheme="minorHAnsi"/>
        </w:rPr>
        <w:t>Tipos de instrumentos</w:t>
      </w:r>
    </w:p>
    <w:tbl>
      <w:tblPr>
        <w:tblW w:w="10931" w:type="dxa"/>
        <w:jc w:val="center"/>
        <w:tblCellMar>
          <w:left w:w="70" w:type="dxa"/>
          <w:right w:w="70" w:type="dxa"/>
        </w:tblCellMar>
        <w:tblLook w:val="04A0" w:firstRow="1" w:lastRow="0" w:firstColumn="1" w:lastColumn="0" w:noHBand="0" w:noVBand="1"/>
      </w:tblPr>
      <w:tblGrid>
        <w:gridCol w:w="880"/>
        <w:gridCol w:w="1104"/>
        <w:gridCol w:w="2986"/>
        <w:gridCol w:w="2977"/>
        <w:gridCol w:w="2977"/>
        <w:gridCol w:w="7"/>
      </w:tblGrid>
      <w:tr w:rsidR="00EB575C" w:rsidRPr="008F5D99" w14:paraId="38C57992" w14:textId="77777777" w:rsidTr="0E4CD856">
        <w:trPr>
          <w:trHeight w:val="300"/>
          <w:jc w:val="center"/>
        </w:trPr>
        <w:tc>
          <w:tcPr>
            <w:tcW w:w="10931" w:type="dxa"/>
            <w:gridSpan w:val="6"/>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center"/>
            <w:hideMark/>
          </w:tcPr>
          <w:p w14:paraId="329783D7" w14:textId="77777777" w:rsidR="00EB575C" w:rsidRPr="008F5D99" w:rsidRDefault="00EB575C" w:rsidP="000A724A">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Instrumentos para el manejo de liquidez</w:t>
            </w:r>
          </w:p>
        </w:tc>
      </w:tr>
      <w:tr w:rsidR="00EB575C" w:rsidRPr="008F5D99" w14:paraId="7ED3E9A6" w14:textId="77777777" w:rsidTr="0E4CD856">
        <w:trPr>
          <w:trHeight w:val="720"/>
          <w:jc w:val="center"/>
        </w:trPr>
        <w:tc>
          <w:tcPr>
            <w:tcW w:w="109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362C77"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Instrumentos ofrecidos por entidades bancarias y bancos centrales que, por su muy corto plazo, alta liquidez y riesgo insignificante de cambios en su valor, puedan ser catalogados como efectivo.</w:t>
            </w:r>
          </w:p>
          <w:p w14:paraId="2AE744FE"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Las entidades internacionales que sean contraparte deben tener calificación de riesgo de corto plazo dentro del grado de inversión. Para el caso de los bancos centrales, a excepción del BCCR, el país donde se encuentren debe contar con al menos una calificación de riesgo soberano dentro del grado de inversión.</w:t>
            </w:r>
          </w:p>
          <w:p w14:paraId="3DE69116"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Adicionalmente, pueden utilizar los instrumentos de inversión que cumplan con las condiciones establecidas en las normas contables para que se cataloguen como equivalentes de efectivo.</w:t>
            </w:r>
          </w:p>
        </w:tc>
      </w:tr>
      <w:tr w:rsidR="00EB575C" w:rsidRPr="008F5D99" w14:paraId="6782023F" w14:textId="77777777" w:rsidTr="0E4CD856">
        <w:trPr>
          <w:trHeight w:val="300"/>
          <w:jc w:val="center"/>
        </w:trPr>
        <w:tc>
          <w:tcPr>
            <w:tcW w:w="10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294803" w14:textId="77777777" w:rsidR="00EB575C" w:rsidRPr="008F5D99" w:rsidRDefault="00EB575C" w:rsidP="000A724A">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Instrumentos para la inversión</w:t>
            </w:r>
          </w:p>
        </w:tc>
      </w:tr>
      <w:tr w:rsidR="00EB575C" w:rsidRPr="008F5D99" w14:paraId="5FE6DA96" w14:textId="77777777" w:rsidTr="00F7428D">
        <w:trPr>
          <w:gridAfter w:val="1"/>
          <w:wAfter w:w="7" w:type="dxa"/>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444BE67" w14:textId="77777777" w:rsidR="00EB575C" w:rsidRPr="008F5D99" w:rsidRDefault="00EB575C" w:rsidP="000A724A">
            <w:pPr>
              <w:spacing w:after="0" w:line="240" w:lineRule="auto"/>
              <w:rPr>
                <w:rFonts w:asciiTheme="majorHAnsi" w:eastAsia="Times New Roman" w:hAnsiTheme="majorHAnsi" w:cstheme="minorHAnsi"/>
                <w:b/>
                <w:bCs/>
                <w:color w:val="000000"/>
                <w:sz w:val="18"/>
                <w:szCs w:val="18"/>
                <w:lang w:val="es-CR" w:eastAsia="es-CR"/>
              </w:rPr>
            </w:pPr>
            <w:r w:rsidRPr="008F5D99">
              <w:rPr>
                <w:rFonts w:asciiTheme="majorHAnsi" w:eastAsia="Times New Roman" w:hAnsiTheme="majorHAnsi" w:cstheme="minorHAnsi"/>
                <w:b/>
                <w:bCs/>
                <w:color w:val="000000"/>
                <w:sz w:val="18"/>
                <w:szCs w:val="18"/>
                <w:lang w:val="es-CR" w:eastAsia="es-CR"/>
              </w:rPr>
              <w:t>Tipo</w:t>
            </w:r>
          </w:p>
        </w:tc>
        <w:tc>
          <w:tcPr>
            <w:tcW w:w="1104" w:type="dxa"/>
            <w:tcBorders>
              <w:top w:val="nil"/>
              <w:left w:val="nil"/>
              <w:bottom w:val="single" w:sz="4" w:space="0" w:color="auto"/>
              <w:right w:val="single" w:sz="4" w:space="0" w:color="auto"/>
            </w:tcBorders>
            <w:shd w:val="clear" w:color="auto" w:fill="auto"/>
            <w:vAlign w:val="center"/>
            <w:hideMark/>
          </w:tcPr>
          <w:p w14:paraId="31AE2315" w14:textId="77777777" w:rsidR="00EB575C" w:rsidRPr="008F5D99" w:rsidRDefault="00EB575C" w:rsidP="000A724A">
            <w:pPr>
              <w:spacing w:after="0" w:line="240" w:lineRule="auto"/>
              <w:rPr>
                <w:rFonts w:asciiTheme="majorHAnsi" w:eastAsia="Times New Roman" w:hAnsiTheme="majorHAnsi" w:cstheme="minorHAnsi"/>
                <w:b/>
                <w:bCs/>
                <w:color w:val="000000"/>
                <w:sz w:val="18"/>
                <w:szCs w:val="18"/>
                <w:lang w:val="es-CR" w:eastAsia="es-CR"/>
              </w:rPr>
            </w:pPr>
            <w:r w:rsidRPr="008F5D99">
              <w:rPr>
                <w:rFonts w:asciiTheme="majorHAnsi" w:eastAsia="Times New Roman" w:hAnsiTheme="majorHAnsi" w:cstheme="minorHAnsi"/>
                <w:b/>
                <w:bCs/>
                <w:color w:val="000000"/>
                <w:sz w:val="18"/>
                <w:szCs w:val="18"/>
                <w:lang w:val="es-CR" w:eastAsia="es-CR"/>
              </w:rPr>
              <w:t>Instrumento</w:t>
            </w:r>
          </w:p>
        </w:tc>
        <w:tc>
          <w:tcPr>
            <w:tcW w:w="2986" w:type="dxa"/>
            <w:tcBorders>
              <w:top w:val="nil"/>
              <w:left w:val="nil"/>
              <w:bottom w:val="single" w:sz="4" w:space="0" w:color="auto"/>
              <w:right w:val="single" w:sz="4" w:space="0" w:color="auto"/>
            </w:tcBorders>
            <w:shd w:val="clear" w:color="auto" w:fill="auto"/>
            <w:noWrap/>
            <w:vAlign w:val="center"/>
            <w:hideMark/>
          </w:tcPr>
          <w:p w14:paraId="5C1A440D" w14:textId="77777777" w:rsidR="00EB575C" w:rsidRPr="008F5D99" w:rsidRDefault="00EB575C" w:rsidP="000A724A">
            <w:pPr>
              <w:spacing w:after="0" w:line="240" w:lineRule="auto"/>
              <w:rPr>
                <w:rFonts w:asciiTheme="majorHAnsi" w:eastAsia="Times New Roman" w:hAnsiTheme="majorHAnsi" w:cstheme="minorHAnsi"/>
                <w:b/>
                <w:bCs/>
                <w:color w:val="000000"/>
                <w:sz w:val="18"/>
                <w:szCs w:val="18"/>
                <w:lang w:val="es-CR" w:eastAsia="es-CR"/>
              </w:rPr>
            </w:pPr>
            <w:r w:rsidRPr="008F5D99">
              <w:rPr>
                <w:rFonts w:asciiTheme="majorHAnsi" w:eastAsia="Times New Roman" w:hAnsiTheme="majorHAnsi" w:cstheme="minorHAnsi"/>
                <w:b/>
                <w:bCs/>
                <w:color w:val="000000"/>
                <w:sz w:val="18"/>
                <w:szCs w:val="18"/>
                <w:lang w:val="es-CR" w:eastAsia="es-CR"/>
              </w:rPr>
              <w:t>Nivel I</w:t>
            </w:r>
          </w:p>
        </w:tc>
        <w:tc>
          <w:tcPr>
            <w:tcW w:w="2977" w:type="dxa"/>
            <w:tcBorders>
              <w:top w:val="nil"/>
              <w:left w:val="nil"/>
              <w:bottom w:val="single" w:sz="4" w:space="0" w:color="auto"/>
              <w:right w:val="single" w:sz="4" w:space="0" w:color="auto"/>
            </w:tcBorders>
            <w:shd w:val="clear" w:color="auto" w:fill="auto"/>
            <w:noWrap/>
            <w:vAlign w:val="center"/>
            <w:hideMark/>
          </w:tcPr>
          <w:p w14:paraId="10051F16" w14:textId="77777777" w:rsidR="00EB575C" w:rsidRPr="008F5D99" w:rsidRDefault="00EB575C" w:rsidP="000A724A">
            <w:pPr>
              <w:spacing w:after="0" w:line="240" w:lineRule="auto"/>
              <w:rPr>
                <w:rFonts w:asciiTheme="majorHAnsi" w:eastAsia="Times New Roman" w:hAnsiTheme="majorHAnsi" w:cstheme="minorHAnsi"/>
                <w:b/>
                <w:bCs/>
                <w:color w:val="000000"/>
                <w:sz w:val="18"/>
                <w:szCs w:val="18"/>
                <w:lang w:val="es-CR" w:eastAsia="es-CR"/>
              </w:rPr>
            </w:pPr>
            <w:r w:rsidRPr="008F5D99">
              <w:rPr>
                <w:rFonts w:asciiTheme="majorHAnsi" w:eastAsia="Times New Roman" w:hAnsiTheme="majorHAnsi" w:cstheme="minorHAnsi"/>
                <w:b/>
                <w:bCs/>
                <w:color w:val="000000"/>
                <w:sz w:val="18"/>
                <w:szCs w:val="18"/>
                <w:lang w:val="es-CR" w:eastAsia="es-CR"/>
              </w:rPr>
              <w:t>Nivel II</w:t>
            </w:r>
          </w:p>
        </w:tc>
        <w:tc>
          <w:tcPr>
            <w:tcW w:w="2977" w:type="dxa"/>
            <w:tcBorders>
              <w:top w:val="nil"/>
              <w:left w:val="nil"/>
              <w:bottom w:val="single" w:sz="4" w:space="0" w:color="auto"/>
              <w:right w:val="single" w:sz="4" w:space="0" w:color="auto"/>
            </w:tcBorders>
            <w:shd w:val="clear" w:color="auto" w:fill="auto"/>
            <w:noWrap/>
            <w:vAlign w:val="center"/>
            <w:hideMark/>
          </w:tcPr>
          <w:p w14:paraId="6E6EAF6A" w14:textId="77777777" w:rsidR="00EB575C" w:rsidRPr="008F5D99" w:rsidRDefault="00EB575C" w:rsidP="000A724A">
            <w:pPr>
              <w:spacing w:after="0" w:line="240" w:lineRule="auto"/>
              <w:rPr>
                <w:rFonts w:asciiTheme="majorHAnsi" w:eastAsia="Times New Roman" w:hAnsiTheme="majorHAnsi" w:cstheme="minorHAnsi"/>
                <w:b/>
                <w:bCs/>
                <w:color w:val="000000"/>
                <w:sz w:val="18"/>
                <w:szCs w:val="18"/>
                <w:lang w:val="es-CR" w:eastAsia="es-CR"/>
              </w:rPr>
            </w:pPr>
            <w:r w:rsidRPr="008F5D99">
              <w:rPr>
                <w:rFonts w:asciiTheme="majorHAnsi" w:eastAsia="Times New Roman" w:hAnsiTheme="majorHAnsi" w:cstheme="minorHAnsi"/>
                <w:b/>
                <w:bCs/>
                <w:color w:val="000000"/>
                <w:sz w:val="18"/>
                <w:szCs w:val="18"/>
                <w:lang w:val="es-CR" w:eastAsia="es-CR"/>
              </w:rPr>
              <w:t>Nivel III</w:t>
            </w:r>
          </w:p>
        </w:tc>
      </w:tr>
      <w:tr w:rsidR="00EB575C" w:rsidRPr="008F5D99" w14:paraId="5E2B5C77" w14:textId="77777777" w:rsidTr="00F7428D">
        <w:trPr>
          <w:gridAfter w:val="1"/>
          <w:wAfter w:w="7" w:type="dxa"/>
          <w:trHeight w:val="70"/>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F6CAF" w14:textId="77777777" w:rsidR="00EB575C" w:rsidRPr="008F5D99" w:rsidRDefault="00EB575C" w:rsidP="000A724A">
            <w:pPr>
              <w:spacing w:after="0" w:line="240" w:lineRule="auto"/>
              <w:jc w:val="center"/>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Títulos de deuda</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4053771D"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Deuda Individual</w:t>
            </w:r>
          </w:p>
        </w:tc>
        <w:tc>
          <w:tcPr>
            <w:tcW w:w="2986" w:type="dxa"/>
            <w:tcBorders>
              <w:top w:val="nil"/>
              <w:left w:val="nil"/>
              <w:bottom w:val="single" w:sz="4" w:space="0" w:color="auto"/>
              <w:right w:val="single" w:sz="4" w:space="0" w:color="auto"/>
            </w:tcBorders>
            <w:shd w:val="clear" w:color="auto" w:fill="auto"/>
            <w:vAlign w:val="center"/>
            <w:hideMark/>
          </w:tcPr>
          <w:p w14:paraId="41804366"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Calificación de riesgo dentro de las tres mejores de escala de calificación.</w:t>
            </w:r>
          </w:p>
        </w:tc>
        <w:tc>
          <w:tcPr>
            <w:tcW w:w="2977" w:type="dxa"/>
            <w:tcBorders>
              <w:top w:val="nil"/>
              <w:left w:val="nil"/>
              <w:bottom w:val="single" w:sz="4" w:space="0" w:color="auto"/>
              <w:right w:val="single" w:sz="4" w:space="0" w:color="auto"/>
            </w:tcBorders>
            <w:shd w:val="clear" w:color="auto" w:fill="auto"/>
            <w:noWrap/>
            <w:vAlign w:val="center"/>
            <w:hideMark/>
          </w:tcPr>
          <w:p w14:paraId="146E8121"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NA</w:t>
            </w:r>
          </w:p>
        </w:tc>
        <w:tc>
          <w:tcPr>
            <w:tcW w:w="2977" w:type="dxa"/>
            <w:tcBorders>
              <w:top w:val="nil"/>
              <w:left w:val="nil"/>
              <w:bottom w:val="single" w:sz="4" w:space="0" w:color="auto"/>
              <w:right w:val="single" w:sz="4" w:space="0" w:color="auto"/>
            </w:tcBorders>
            <w:shd w:val="clear" w:color="auto" w:fill="auto"/>
            <w:noWrap/>
            <w:vAlign w:val="center"/>
            <w:hideMark/>
          </w:tcPr>
          <w:p w14:paraId="0E95CDC1"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NA</w:t>
            </w:r>
          </w:p>
        </w:tc>
      </w:tr>
      <w:tr w:rsidR="00EB575C" w:rsidRPr="008F5D99" w14:paraId="587B4B9C" w14:textId="77777777" w:rsidTr="00F7428D">
        <w:trPr>
          <w:gridAfter w:val="1"/>
          <w:wAfter w:w="7" w:type="dxa"/>
          <w:trHeight w:val="960"/>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738610EB"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CBF54"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Deuda Estandarizada</w:t>
            </w:r>
          </w:p>
        </w:tc>
        <w:tc>
          <w:tcPr>
            <w:tcW w:w="2986" w:type="dxa"/>
            <w:tcBorders>
              <w:top w:val="nil"/>
              <w:left w:val="nil"/>
              <w:bottom w:val="single" w:sz="4" w:space="0" w:color="auto"/>
              <w:right w:val="single" w:sz="4" w:space="0" w:color="auto"/>
            </w:tcBorders>
            <w:shd w:val="clear" w:color="auto" w:fill="auto"/>
            <w:vAlign w:val="center"/>
            <w:hideMark/>
          </w:tcPr>
          <w:p w14:paraId="2084F0AB"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Sin redención anticipada, opciones implícitas, titularizaciones, desempeños ligados a índices o convertibles en acciones.</w:t>
            </w:r>
          </w:p>
          <w:p w14:paraId="3074F43E"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Calificación de riesgo dentro de grado de inversión.</w:t>
            </w:r>
          </w:p>
        </w:tc>
        <w:tc>
          <w:tcPr>
            <w:tcW w:w="2977" w:type="dxa"/>
            <w:tcBorders>
              <w:top w:val="nil"/>
              <w:left w:val="nil"/>
              <w:bottom w:val="single" w:sz="4" w:space="0" w:color="auto"/>
              <w:right w:val="single" w:sz="4" w:space="0" w:color="auto"/>
            </w:tcBorders>
            <w:shd w:val="clear" w:color="auto" w:fill="auto"/>
            <w:noWrap/>
            <w:vAlign w:val="center"/>
            <w:hideMark/>
          </w:tcPr>
          <w:p w14:paraId="73F1D881"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Sin las restricciones del Nivel I.</w:t>
            </w:r>
          </w:p>
        </w:tc>
        <w:tc>
          <w:tcPr>
            <w:tcW w:w="2977" w:type="dxa"/>
            <w:tcBorders>
              <w:top w:val="nil"/>
              <w:left w:val="nil"/>
              <w:bottom w:val="single" w:sz="4" w:space="0" w:color="auto"/>
              <w:right w:val="single" w:sz="4" w:space="0" w:color="auto"/>
            </w:tcBorders>
            <w:shd w:val="clear" w:color="auto" w:fill="auto"/>
            <w:vAlign w:val="center"/>
            <w:hideMark/>
          </w:tcPr>
          <w:p w14:paraId="5D7D2369"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 xml:space="preserve">Títulos extranjeros que cumplan los requisitos de deuda estandarizada de Nivel </w:t>
            </w:r>
            <w:proofErr w:type="gramStart"/>
            <w:r w:rsidRPr="008F5D99">
              <w:rPr>
                <w:rFonts w:asciiTheme="majorHAnsi" w:eastAsia="Times New Roman" w:hAnsiTheme="majorHAnsi" w:cstheme="minorHAnsi"/>
                <w:color w:val="000000"/>
                <w:sz w:val="18"/>
                <w:szCs w:val="18"/>
                <w:lang w:val="es-CR" w:eastAsia="es-CR"/>
              </w:rPr>
              <w:t>I</w:t>
            </w:r>
            <w:proofErr w:type="gramEnd"/>
            <w:r w:rsidRPr="008F5D99">
              <w:rPr>
                <w:rFonts w:asciiTheme="majorHAnsi" w:eastAsia="Times New Roman" w:hAnsiTheme="majorHAnsi" w:cstheme="minorHAnsi"/>
                <w:color w:val="000000"/>
                <w:sz w:val="18"/>
                <w:szCs w:val="18"/>
                <w:lang w:val="es-CR" w:eastAsia="es-CR"/>
              </w:rPr>
              <w:t xml:space="preserve"> pero con calificaciones de riesgo dentro de las 2 mejores de la escala inferior al grado de inversión.</w:t>
            </w:r>
          </w:p>
        </w:tc>
      </w:tr>
      <w:tr w:rsidR="00EB575C" w:rsidRPr="008F5D99" w14:paraId="525F0B13" w14:textId="77777777" w:rsidTr="00F7428D">
        <w:trPr>
          <w:gridAfter w:val="1"/>
          <w:wAfter w:w="7" w:type="dxa"/>
          <w:trHeight w:val="1440"/>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637805D2"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F6E83"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Reportos</w:t>
            </w:r>
          </w:p>
        </w:tc>
        <w:tc>
          <w:tcPr>
            <w:tcW w:w="2986" w:type="dxa"/>
            <w:tcBorders>
              <w:top w:val="nil"/>
              <w:left w:val="nil"/>
              <w:bottom w:val="single" w:sz="4" w:space="0" w:color="auto"/>
              <w:right w:val="single" w:sz="4" w:space="0" w:color="auto"/>
            </w:tcBorders>
            <w:shd w:val="clear" w:color="auto" w:fill="auto"/>
            <w:vAlign w:val="center"/>
            <w:hideMark/>
          </w:tcPr>
          <w:p w14:paraId="2892AF32"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El activo financiero subyacente debe cumplir con las políticas de inversión del fondo.</w:t>
            </w:r>
          </w:p>
          <w:p w14:paraId="3984D4F1"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El pago del principal más el interés no puede exceder los 365 días y la moneda debe ser la misma del subyacente.</w:t>
            </w:r>
          </w:p>
        </w:tc>
        <w:tc>
          <w:tcPr>
            <w:tcW w:w="2977" w:type="dxa"/>
            <w:tcBorders>
              <w:top w:val="nil"/>
              <w:left w:val="nil"/>
              <w:bottom w:val="single" w:sz="4" w:space="0" w:color="auto"/>
              <w:right w:val="single" w:sz="4" w:space="0" w:color="auto"/>
            </w:tcBorders>
            <w:shd w:val="clear" w:color="auto" w:fill="auto"/>
            <w:noWrap/>
            <w:vAlign w:val="center"/>
            <w:hideMark/>
          </w:tcPr>
          <w:p w14:paraId="12995319"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NA</w:t>
            </w:r>
          </w:p>
        </w:tc>
        <w:tc>
          <w:tcPr>
            <w:tcW w:w="2977" w:type="dxa"/>
            <w:tcBorders>
              <w:top w:val="nil"/>
              <w:left w:val="nil"/>
              <w:bottom w:val="single" w:sz="4" w:space="0" w:color="auto"/>
              <w:right w:val="single" w:sz="4" w:space="0" w:color="auto"/>
            </w:tcBorders>
            <w:shd w:val="clear" w:color="auto" w:fill="auto"/>
            <w:noWrap/>
            <w:vAlign w:val="center"/>
            <w:hideMark/>
          </w:tcPr>
          <w:p w14:paraId="391525AD"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NA</w:t>
            </w:r>
          </w:p>
        </w:tc>
      </w:tr>
      <w:tr w:rsidR="00EB575C" w:rsidRPr="008F5D99" w14:paraId="77E2459D" w14:textId="77777777" w:rsidTr="00F7428D">
        <w:trPr>
          <w:gridAfter w:val="1"/>
          <w:wAfter w:w="7" w:type="dxa"/>
          <w:trHeight w:val="1920"/>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463F29E8"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48943"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Notas Estructuradas con capital protegido</w:t>
            </w:r>
          </w:p>
        </w:tc>
        <w:tc>
          <w:tcPr>
            <w:tcW w:w="2986" w:type="dxa"/>
            <w:tcBorders>
              <w:top w:val="nil"/>
              <w:left w:val="nil"/>
              <w:bottom w:val="single" w:sz="4" w:space="0" w:color="auto"/>
              <w:right w:val="single" w:sz="4" w:space="0" w:color="auto"/>
            </w:tcBorders>
            <w:shd w:val="clear" w:color="auto" w:fill="auto"/>
            <w:vAlign w:val="center"/>
            <w:hideMark/>
          </w:tcPr>
          <w:p w14:paraId="680296A4"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NA</w:t>
            </w:r>
          </w:p>
        </w:tc>
        <w:tc>
          <w:tcPr>
            <w:tcW w:w="2977" w:type="dxa"/>
            <w:tcBorders>
              <w:top w:val="nil"/>
              <w:left w:val="nil"/>
              <w:bottom w:val="single" w:sz="4" w:space="0" w:color="auto"/>
              <w:right w:val="single" w:sz="4" w:space="0" w:color="auto"/>
            </w:tcBorders>
            <w:shd w:val="clear" w:color="auto" w:fill="auto"/>
            <w:vAlign w:val="center"/>
            <w:hideMark/>
          </w:tcPr>
          <w:p w14:paraId="7DA609FC"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El emisor debe contar con calificación de riesgo entre las 3 mejores de la escala.</w:t>
            </w:r>
          </w:p>
          <w:p w14:paraId="4D9E1D73"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El subyacente que sirve para asegurar el pago del capital, debe cumplir con los requisitos de deuda estandarizada Nivel I y su plazo al vencimiento ser igual al de la nota y ser emitidos por gobiernos o bancos centrales con la mejor calificación de riesgo dentro del grado de inversión.</w:t>
            </w:r>
          </w:p>
        </w:tc>
        <w:tc>
          <w:tcPr>
            <w:tcW w:w="2977" w:type="dxa"/>
            <w:tcBorders>
              <w:top w:val="nil"/>
              <w:left w:val="nil"/>
              <w:bottom w:val="single" w:sz="4" w:space="0" w:color="auto"/>
              <w:right w:val="single" w:sz="4" w:space="0" w:color="auto"/>
            </w:tcBorders>
            <w:shd w:val="clear" w:color="auto" w:fill="auto"/>
            <w:noWrap/>
            <w:vAlign w:val="center"/>
            <w:hideMark/>
          </w:tcPr>
          <w:p w14:paraId="27316406"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NA</w:t>
            </w:r>
          </w:p>
        </w:tc>
      </w:tr>
      <w:tr w:rsidR="00EB575C" w:rsidRPr="008F5D99" w14:paraId="1F291243" w14:textId="77777777" w:rsidTr="00F7428D">
        <w:trPr>
          <w:gridAfter w:val="1"/>
          <w:wAfter w:w="7" w:type="dxa"/>
          <w:trHeight w:val="960"/>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E7692" w14:textId="77777777" w:rsidR="00EB575C" w:rsidRPr="008F5D99" w:rsidRDefault="00EB575C" w:rsidP="000A724A">
            <w:pPr>
              <w:spacing w:after="0" w:line="240" w:lineRule="auto"/>
              <w:jc w:val="center"/>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 xml:space="preserve">Títulos representativos de </w:t>
            </w:r>
            <w:r w:rsidRPr="008F5D99">
              <w:rPr>
                <w:rFonts w:asciiTheme="majorHAnsi" w:eastAsia="Times New Roman" w:hAnsiTheme="majorHAnsi" w:cstheme="minorHAnsi"/>
                <w:color w:val="000000"/>
                <w:sz w:val="18"/>
                <w:szCs w:val="18"/>
                <w:lang w:val="es-CR" w:eastAsia="es-CR"/>
              </w:rPr>
              <w:lastRenderedPageBreak/>
              <w:t>propiedad</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30E0AC67"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lastRenderedPageBreak/>
              <w:t xml:space="preserve">Títulos accionarios y </w:t>
            </w:r>
            <w:proofErr w:type="spellStart"/>
            <w:r w:rsidRPr="008F5D99">
              <w:rPr>
                <w:rFonts w:asciiTheme="majorHAnsi" w:eastAsia="Times New Roman" w:hAnsiTheme="majorHAnsi" w:cstheme="minorHAnsi"/>
                <w:i/>
                <w:color w:val="000000"/>
                <w:sz w:val="18"/>
                <w:szCs w:val="18"/>
                <w:lang w:val="es-CR" w:eastAsia="es-CR"/>
              </w:rPr>
              <w:t>ADRs</w:t>
            </w:r>
            <w:proofErr w:type="spellEnd"/>
            <w:r w:rsidRPr="008F5D99">
              <w:rPr>
                <w:rFonts w:asciiTheme="majorHAnsi" w:eastAsia="Times New Roman" w:hAnsiTheme="majorHAnsi" w:cstheme="minorHAnsi"/>
                <w:i/>
                <w:color w:val="000000"/>
                <w:sz w:val="18"/>
                <w:szCs w:val="18"/>
                <w:lang w:val="es-CR" w:eastAsia="es-CR"/>
              </w:rPr>
              <w:t xml:space="preserve"> </w:t>
            </w:r>
          </w:p>
        </w:tc>
        <w:tc>
          <w:tcPr>
            <w:tcW w:w="2986" w:type="dxa"/>
            <w:tcBorders>
              <w:top w:val="nil"/>
              <w:left w:val="nil"/>
              <w:bottom w:val="single" w:sz="4" w:space="0" w:color="auto"/>
              <w:right w:val="single" w:sz="4" w:space="0" w:color="auto"/>
            </w:tcBorders>
            <w:shd w:val="clear" w:color="auto" w:fill="auto"/>
            <w:vAlign w:val="center"/>
            <w:hideMark/>
          </w:tcPr>
          <w:p w14:paraId="135C95C0"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Acciones comunes y preferentes listadas.</w:t>
            </w:r>
            <w:r w:rsidRPr="008F5D99">
              <w:rPr>
                <w:rFonts w:asciiTheme="majorHAnsi" w:eastAsia="Times New Roman" w:hAnsiTheme="majorHAnsi" w:cstheme="minorHAnsi"/>
                <w:color w:val="000000"/>
                <w:sz w:val="18"/>
                <w:szCs w:val="18"/>
                <w:lang w:val="es-CR" w:eastAsia="es-CR"/>
              </w:rPr>
              <w:br/>
            </w:r>
            <w:proofErr w:type="spellStart"/>
            <w:r w:rsidRPr="008F5D99">
              <w:rPr>
                <w:rFonts w:asciiTheme="majorHAnsi" w:eastAsia="Times New Roman" w:hAnsiTheme="majorHAnsi" w:cstheme="minorHAnsi"/>
                <w:i/>
                <w:color w:val="000000"/>
                <w:sz w:val="18"/>
                <w:szCs w:val="18"/>
                <w:lang w:val="es-CR" w:eastAsia="es-CR"/>
              </w:rPr>
              <w:t>ADRs</w:t>
            </w:r>
            <w:proofErr w:type="spellEnd"/>
            <w:r w:rsidRPr="008F5D99">
              <w:rPr>
                <w:rFonts w:asciiTheme="majorHAnsi" w:eastAsia="Times New Roman" w:hAnsiTheme="majorHAnsi" w:cstheme="minorHAnsi"/>
                <w:i/>
                <w:color w:val="000000"/>
                <w:sz w:val="18"/>
                <w:szCs w:val="18"/>
                <w:lang w:val="es-CR" w:eastAsia="es-CR"/>
              </w:rPr>
              <w:t xml:space="preserve"> </w:t>
            </w:r>
            <w:r w:rsidRPr="008F5D99">
              <w:rPr>
                <w:rFonts w:asciiTheme="majorHAnsi" w:eastAsia="Times New Roman" w:hAnsiTheme="majorHAnsi" w:cstheme="minorHAnsi"/>
                <w:color w:val="000000"/>
                <w:sz w:val="18"/>
                <w:szCs w:val="18"/>
                <w:lang w:val="es-CR" w:eastAsia="es-CR"/>
              </w:rPr>
              <w:t>cumplen con requisitos de au</w:t>
            </w:r>
            <w:r w:rsidRPr="008F5D99">
              <w:rPr>
                <w:rFonts w:asciiTheme="majorHAnsi" w:eastAsia="Times New Roman" w:hAnsiTheme="majorHAnsi" w:cstheme="minorHAnsi"/>
                <w:color w:val="000000"/>
                <w:sz w:val="18"/>
                <w:szCs w:val="18"/>
                <w:lang w:val="es-CR" w:eastAsia="es-CR"/>
              </w:rPr>
              <w:lastRenderedPageBreak/>
              <w:t>torización de oferta pública y los subyacentes deben ser negociados en mercados autorizados.</w:t>
            </w:r>
          </w:p>
        </w:tc>
        <w:tc>
          <w:tcPr>
            <w:tcW w:w="2977" w:type="dxa"/>
            <w:tcBorders>
              <w:top w:val="nil"/>
              <w:left w:val="nil"/>
              <w:bottom w:val="single" w:sz="4" w:space="0" w:color="auto"/>
              <w:right w:val="single" w:sz="4" w:space="0" w:color="auto"/>
            </w:tcBorders>
            <w:shd w:val="clear" w:color="auto" w:fill="auto"/>
            <w:noWrap/>
            <w:vAlign w:val="center"/>
            <w:hideMark/>
          </w:tcPr>
          <w:p w14:paraId="58D527FB"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lastRenderedPageBreak/>
              <w:t>NA</w:t>
            </w:r>
          </w:p>
        </w:tc>
        <w:tc>
          <w:tcPr>
            <w:tcW w:w="2977" w:type="dxa"/>
            <w:tcBorders>
              <w:top w:val="nil"/>
              <w:left w:val="nil"/>
              <w:bottom w:val="single" w:sz="4" w:space="0" w:color="auto"/>
              <w:right w:val="single" w:sz="4" w:space="0" w:color="auto"/>
            </w:tcBorders>
            <w:shd w:val="clear" w:color="auto" w:fill="auto"/>
            <w:noWrap/>
            <w:vAlign w:val="center"/>
            <w:hideMark/>
          </w:tcPr>
          <w:p w14:paraId="39818827"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NA</w:t>
            </w:r>
          </w:p>
        </w:tc>
      </w:tr>
      <w:tr w:rsidR="00EB575C" w:rsidRPr="008F5D99" w14:paraId="2F9CF2DD" w14:textId="77777777" w:rsidTr="00F7428D">
        <w:trPr>
          <w:gridAfter w:val="1"/>
          <w:wAfter w:w="7" w:type="dxa"/>
          <w:trHeight w:val="2160"/>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3B7B4B86"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CBBEA" w14:textId="77777777" w:rsidR="00EB575C" w:rsidRPr="008F5D99" w:rsidRDefault="00EB575C" w:rsidP="000A724A">
            <w:pPr>
              <w:spacing w:after="0" w:line="240" w:lineRule="auto"/>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Participaciones de fondos o Vehículos de propósito especial</w:t>
            </w:r>
          </w:p>
        </w:tc>
        <w:tc>
          <w:tcPr>
            <w:tcW w:w="2986" w:type="dxa"/>
            <w:tcBorders>
              <w:top w:val="nil"/>
              <w:left w:val="nil"/>
              <w:bottom w:val="single" w:sz="4" w:space="0" w:color="auto"/>
              <w:right w:val="single" w:sz="4" w:space="0" w:color="auto"/>
            </w:tcBorders>
            <w:shd w:val="clear" w:color="auto" w:fill="auto"/>
            <w:vAlign w:val="center"/>
            <w:hideMark/>
          </w:tcPr>
          <w:p w14:paraId="412353CF"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 xml:space="preserve">Fondos financieros, de deuda, accionarios, mixtos o fondos índices y </w:t>
            </w:r>
            <w:r w:rsidRPr="008F5D99">
              <w:rPr>
                <w:rFonts w:asciiTheme="majorHAnsi" w:eastAsia="Times New Roman" w:hAnsiTheme="majorHAnsi" w:cstheme="minorHAnsi"/>
                <w:i/>
                <w:color w:val="000000"/>
                <w:sz w:val="18"/>
                <w:szCs w:val="18"/>
                <w:lang w:val="es-CR" w:eastAsia="es-CR"/>
              </w:rPr>
              <w:t>ETF</w:t>
            </w:r>
            <w:r w:rsidRPr="008F5D99">
              <w:rPr>
                <w:rFonts w:asciiTheme="majorHAnsi" w:eastAsia="Times New Roman" w:hAnsiTheme="majorHAnsi" w:cstheme="minorHAnsi"/>
                <w:color w:val="000000"/>
                <w:sz w:val="18"/>
                <w:szCs w:val="18"/>
                <w:lang w:val="es-CR" w:eastAsia="es-CR"/>
              </w:rPr>
              <w:t xml:space="preserve"> que repliquen índices financieros.</w:t>
            </w:r>
          </w:p>
          <w:p w14:paraId="67CE3B69"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Excepto los que en sus estrategias de inversión utilicen instrumentos derivados cuyo objetivo sea diferente al criterio de manejo eficiente del portafolio, definido por</w:t>
            </w:r>
            <w:r w:rsidRPr="008F5D99">
              <w:rPr>
                <w:rFonts w:asciiTheme="majorHAnsi" w:eastAsia="Times New Roman" w:hAnsiTheme="majorHAnsi" w:cstheme="minorHAnsi"/>
                <w:i/>
                <w:color w:val="000000"/>
                <w:sz w:val="18"/>
                <w:szCs w:val="18"/>
                <w:lang w:val="es-CR" w:eastAsia="es-CR"/>
              </w:rPr>
              <w:t xml:space="preserve"> UCITS</w:t>
            </w:r>
            <w:r w:rsidRPr="008F5D99">
              <w:rPr>
                <w:rFonts w:asciiTheme="majorHAnsi" w:eastAsia="Times New Roman" w:hAnsiTheme="majorHAnsi" w:cstheme="minorHAnsi"/>
                <w:color w:val="000000"/>
                <w:sz w:val="18"/>
                <w:szCs w:val="18"/>
                <w:lang w:val="es-CR" w:eastAsia="es-CR"/>
              </w:rPr>
              <w:t>.</w:t>
            </w:r>
          </w:p>
        </w:tc>
        <w:tc>
          <w:tcPr>
            <w:tcW w:w="2977" w:type="dxa"/>
            <w:tcBorders>
              <w:top w:val="nil"/>
              <w:left w:val="nil"/>
              <w:bottom w:val="single" w:sz="4" w:space="0" w:color="auto"/>
              <w:right w:val="single" w:sz="4" w:space="0" w:color="auto"/>
            </w:tcBorders>
            <w:shd w:val="clear" w:color="auto" w:fill="auto"/>
            <w:vAlign w:val="center"/>
            <w:hideMark/>
          </w:tcPr>
          <w:p w14:paraId="7A1C16C6"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 xml:space="preserve">Cumplir con los requisitos del Nivel I. </w:t>
            </w:r>
            <w:r w:rsidRPr="008F5D99">
              <w:rPr>
                <w:rFonts w:asciiTheme="majorHAnsi" w:eastAsia="Times New Roman" w:hAnsiTheme="majorHAnsi" w:cstheme="minorHAnsi"/>
                <w:color w:val="000000"/>
                <w:sz w:val="18"/>
                <w:szCs w:val="18"/>
                <w:lang w:val="es-CR" w:eastAsia="es-CR"/>
              </w:rPr>
              <w:br/>
              <w:t>Pueden incursionar en vehículos de inversión relacionados con administración de inmuebles, la inversión inmobiliaria, bienes raíces y desarrollo de proyectos.</w:t>
            </w:r>
          </w:p>
          <w:p w14:paraId="4499B38F"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Sólo se puede invertir en fondos de desarrollo de proyectos cuando se ha superado la etapa de factibilidad y se cuente con permisos y estudios para iniciar obras.</w:t>
            </w:r>
          </w:p>
        </w:tc>
        <w:tc>
          <w:tcPr>
            <w:tcW w:w="2977" w:type="dxa"/>
            <w:tcBorders>
              <w:top w:val="nil"/>
              <w:left w:val="nil"/>
              <w:bottom w:val="single" w:sz="4" w:space="0" w:color="auto"/>
              <w:right w:val="single" w:sz="4" w:space="0" w:color="auto"/>
            </w:tcBorders>
            <w:shd w:val="clear" w:color="auto" w:fill="auto"/>
            <w:vAlign w:val="center"/>
            <w:hideMark/>
          </w:tcPr>
          <w:p w14:paraId="77EAE644"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Cumplir con los requisitos del Nivel I.</w:t>
            </w:r>
          </w:p>
          <w:p w14:paraId="358A8C78"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Pueden incursionar en fondos que invierten en acciones privadas (</w:t>
            </w:r>
            <w:proofErr w:type="spellStart"/>
            <w:r w:rsidRPr="008F5D99">
              <w:rPr>
                <w:rFonts w:asciiTheme="majorHAnsi" w:eastAsia="Times New Roman" w:hAnsiTheme="majorHAnsi" w:cstheme="minorHAnsi"/>
                <w:i/>
                <w:color w:val="000000"/>
                <w:sz w:val="18"/>
                <w:szCs w:val="18"/>
                <w:lang w:val="es-CR" w:eastAsia="es-CR"/>
              </w:rPr>
              <w:t>private</w:t>
            </w:r>
            <w:proofErr w:type="spellEnd"/>
            <w:r w:rsidRPr="008F5D99">
              <w:rPr>
                <w:rFonts w:asciiTheme="majorHAnsi" w:eastAsia="Times New Roman" w:hAnsiTheme="majorHAnsi" w:cstheme="minorHAnsi"/>
                <w:i/>
                <w:color w:val="000000"/>
                <w:sz w:val="18"/>
                <w:szCs w:val="18"/>
                <w:lang w:val="es-CR" w:eastAsia="es-CR"/>
              </w:rPr>
              <w:t xml:space="preserve"> </w:t>
            </w:r>
            <w:proofErr w:type="spellStart"/>
            <w:r w:rsidRPr="008F5D99">
              <w:rPr>
                <w:rFonts w:asciiTheme="majorHAnsi" w:eastAsia="Times New Roman" w:hAnsiTheme="majorHAnsi" w:cstheme="minorHAnsi"/>
                <w:i/>
                <w:color w:val="000000"/>
                <w:sz w:val="18"/>
                <w:szCs w:val="18"/>
                <w:lang w:val="es-CR" w:eastAsia="es-CR"/>
              </w:rPr>
              <w:t>equity</w:t>
            </w:r>
            <w:proofErr w:type="spellEnd"/>
            <w:r w:rsidRPr="008F5D99">
              <w:rPr>
                <w:rFonts w:asciiTheme="majorHAnsi" w:eastAsia="Times New Roman" w:hAnsiTheme="majorHAnsi" w:cstheme="minorHAnsi"/>
                <w:color w:val="000000"/>
                <w:sz w:val="18"/>
                <w:szCs w:val="18"/>
                <w:lang w:val="es-CR" w:eastAsia="es-CR"/>
              </w:rPr>
              <w:t>).</w:t>
            </w:r>
          </w:p>
          <w:p w14:paraId="7ED0C05A"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 xml:space="preserve">Sus participaciones deben ser adquiridas con </w:t>
            </w:r>
            <w:r w:rsidRPr="008F5D99">
              <w:rPr>
                <w:rFonts w:asciiTheme="majorHAnsi" w:eastAsia="Times New Roman" w:hAnsiTheme="majorHAnsi" w:cstheme="minorHAnsi"/>
                <w:i/>
                <w:color w:val="000000"/>
                <w:sz w:val="18"/>
                <w:szCs w:val="18"/>
                <w:lang w:val="es-CR" w:eastAsia="es-CR"/>
              </w:rPr>
              <w:t xml:space="preserve">General </w:t>
            </w:r>
            <w:proofErr w:type="spellStart"/>
            <w:r w:rsidRPr="008F5D99">
              <w:rPr>
                <w:rFonts w:asciiTheme="majorHAnsi" w:eastAsia="Times New Roman" w:hAnsiTheme="majorHAnsi" w:cstheme="minorHAnsi"/>
                <w:i/>
                <w:color w:val="000000"/>
                <w:sz w:val="18"/>
                <w:szCs w:val="18"/>
                <w:lang w:val="es-CR" w:eastAsia="es-CR"/>
              </w:rPr>
              <w:t>Partner</w:t>
            </w:r>
            <w:proofErr w:type="spellEnd"/>
            <w:r w:rsidRPr="008F5D99">
              <w:rPr>
                <w:rFonts w:asciiTheme="majorHAnsi" w:eastAsia="Times New Roman" w:hAnsiTheme="majorHAnsi" w:cstheme="minorHAnsi"/>
                <w:color w:val="000000"/>
                <w:sz w:val="18"/>
                <w:szCs w:val="18"/>
                <w:lang w:val="es-CR" w:eastAsia="es-CR"/>
              </w:rPr>
              <w:t xml:space="preserve"> con al menos 10 años de experiencia y récord de empresas adquiridas exitosamente.</w:t>
            </w:r>
          </w:p>
          <w:p w14:paraId="7EA8E36F" w14:textId="77777777" w:rsidR="00EB575C" w:rsidRPr="008F5D99" w:rsidRDefault="00EB575C" w:rsidP="000A724A">
            <w:pPr>
              <w:spacing w:after="0" w:line="240" w:lineRule="auto"/>
              <w:jc w:val="both"/>
              <w:rPr>
                <w:rFonts w:asciiTheme="majorHAnsi" w:eastAsia="Times New Roman" w:hAnsiTheme="majorHAnsi" w:cstheme="minorHAnsi"/>
                <w:color w:val="000000"/>
                <w:sz w:val="18"/>
                <w:szCs w:val="18"/>
                <w:lang w:val="es-CR" w:eastAsia="es-CR"/>
              </w:rPr>
            </w:pPr>
            <w:r w:rsidRPr="008F5D99">
              <w:rPr>
                <w:rFonts w:asciiTheme="majorHAnsi" w:eastAsia="Times New Roman" w:hAnsiTheme="majorHAnsi" w:cstheme="minorHAnsi"/>
                <w:color w:val="000000"/>
                <w:sz w:val="18"/>
                <w:szCs w:val="18"/>
                <w:lang w:val="es-CR" w:eastAsia="es-CR"/>
              </w:rPr>
              <w:t>En el mercado local cumplir con las normas emitidas por CONASSIF.</w:t>
            </w:r>
          </w:p>
        </w:tc>
      </w:tr>
    </w:tbl>
    <w:p w14:paraId="087FF032" w14:textId="5C251D2E" w:rsidR="0E4CD856" w:rsidRDefault="0E4CD856"/>
    <w:p w14:paraId="5DE4088E" w14:textId="77777777" w:rsidR="00EB575C" w:rsidRPr="009B7058" w:rsidRDefault="00EB575C" w:rsidP="00EB575C">
      <w:pPr>
        <w:rPr>
          <w:rFonts w:asciiTheme="majorHAnsi" w:hAnsiTheme="majorHAnsi" w:cstheme="minorHAnsi"/>
          <w:sz w:val="20"/>
          <w:lang w:val="es-CR"/>
        </w:rPr>
      </w:pPr>
      <w:r w:rsidRPr="009B7058">
        <w:rPr>
          <w:rFonts w:asciiTheme="majorHAnsi" w:hAnsiTheme="majorHAnsi" w:cstheme="minorHAnsi"/>
          <w:sz w:val="20"/>
          <w:lang w:val="es-CR"/>
        </w:rPr>
        <w:t>Fuente: Elaboración propia, con base en el artículo 17 del Reglamento de Gestión de Activos.</w:t>
      </w:r>
    </w:p>
    <w:p w14:paraId="2EEDE268" w14:textId="77777777" w:rsidR="007D0BC7" w:rsidRPr="008F5D99" w:rsidRDefault="007D0BC7" w:rsidP="00C215C6">
      <w:pPr>
        <w:rPr>
          <w:rFonts w:asciiTheme="majorHAnsi" w:hAnsiTheme="majorHAnsi" w:cstheme="minorHAnsi"/>
          <w:b/>
        </w:rPr>
      </w:pPr>
      <w:bookmarkStart w:id="7" w:name="_Toc530733757"/>
      <w:r w:rsidRPr="008F5D99">
        <w:rPr>
          <w:rFonts w:asciiTheme="majorHAnsi" w:hAnsiTheme="majorHAnsi" w:cstheme="minorHAnsi"/>
          <w:b/>
        </w:rPr>
        <w:t>Composición de cartera</w:t>
      </w:r>
      <w:bookmarkEnd w:id="3"/>
      <w:r w:rsidRPr="008F5D99">
        <w:rPr>
          <w:rFonts w:asciiTheme="majorHAnsi" w:hAnsiTheme="majorHAnsi" w:cstheme="minorHAnsi"/>
          <w:b/>
        </w:rPr>
        <w:t>s</w:t>
      </w:r>
      <w:bookmarkEnd w:id="4"/>
      <w:bookmarkEnd w:id="5"/>
      <w:bookmarkEnd w:id="6"/>
      <w:bookmarkEnd w:id="7"/>
    </w:p>
    <w:p w14:paraId="0A6A4AD3" w14:textId="7AA7BDC4" w:rsidR="00D22CAB" w:rsidRPr="008F5D99" w:rsidRDefault="3373A143" w:rsidP="3373A143">
      <w:pPr>
        <w:spacing w:after="0" w:line="240" w:lineRule="auto"/>
        <w:jc w:val="both"/>
        <w:rPr>
          <w:rFonts w:asciiTheme="majorHAnsi" w:hAnsiTheme="majorHAnsi"/>
        </w:rPr>
      </w:pPr>
      <w:r w:rsidRPr="3373A143">
        <w:rPr>
          <w:rFonts w:asciiTheme="majorHAnsi" w:hAnsiTheme="majorHAnsi"/>
        </w:rPr>
        <w:t xml:space="preserve">El portafolio de inversiones (sin incluir carteras de créditos) del SNP y FCL equivale a 12 billones de colones con una concentración de 8,8 billones en Sector Público, de los cuales 7,5 billones se encuentran invertidos en instrumentos del Ministerio de Hacienda y Banco Central de Costa Rica. </w:t>
      </w:r>
    </w:p>
    <w:p w14:paraId="3A0FF5F2" w14:textId="77777777" w:rsidR="00D22CAB" w:rsidRPr="008F5D99" w:rsidRDefault="00D22CAB" w:rsidP="00AB1521">
      <w:pPr>
        <w:spacing w:after="0" w:line="240" w:lineRule="auto"/>
        <w:jc w:val="both"/>
        <w:rPr>
          <w:rFonts w:asciiTheme="majorHAnsi" w:hAnsiTheme="majorHAnsi" w:cstheme="minorHAnsi"/>
        </w:rPr>
      </w:pPr>
    </w:p>
    <w:p w14:paraId="770A5901" w14:textId="77777777" w:rsidR="007D0BC7" w:rsidRPr="008F5D99" w:rsidRDefault="00177C2C" w:rsidP="00AB1521">
      <w:pPr>
        <w:spacing w:after="0" w:line="240" w:lineRule="auto"/>
        <w:jc w:val="both"/>
        <w:rPr>
          <w:rFonts w:asciiTheme="majorHAnsi" w:hAnsiTheme="majorHAnsi" w:cstheme="minorHAnsi"/>
        </w:rPr>
      </w:pPr>
      <w:r w:rsidRPr="008F5D99">
        <w:rPr>
          <w:rFonts w:asciiTheme="majorHAnsi" w:hAnsiTheme="majorHAnsi" w:cstheme="minorHAnsi"/>
        </w:rPr>
        <w:t>Respecto de la composición por régimen</w:t>
      </w:r>
      <w:r w:rsidR="00D22CAB" w:rsidRPr="008F5D99">
        <w:rPr>
          <w:rFonts w:asciiTheme="majorHAnsi" w:hAnsiTheme="majorHAnsi" w:cstheme="minorHAnsi"/>
        </w:rPr>
        <w:t>, del total de la cartera de inversiones</w:t>
      </w:r>
      <w:r w:rsidR="007D0BC7" w:rsidRPr="008F5D99">
        <w:rPr>
          <w:rFonts w:asciiTheme="majorHAnsi" w:hAnsiTheme="majorHAnsi" w:cstheme="minorHAnsi"/>
        </w:rPr>
        <w:t xml:space="preserve"> </w:t>
      </w:r>
      <w:r w:rsidR="00D22CAB" w:rsidRPr="008F5D99">
        <w:rPr>
          <w:rFonts w:asciiTheme="majorHAnsi" w:hAnsiTheme="majorHAnsi" w:cstheme="minorHAnsi"/>
        </w:rPr>
        <w:t>el 46</w:t>
      </w:r>
      <w:r w:rsidR="007D0BC7" w:rsidRPr="008F5D99">
        <w:rPr>
          <w:rFonts w:asciiTheme="majorHAnsi" w:hAnsiTheme="majorHAnsi" w:cstheme="minorHAnsi"/>
        </w:rPr>
        <w:t xml:space="preserve">% </w:t>
      </w:r>
      <w:r w:rsidR="009D5C27" w:rsidRPr="008F5D99">
        <w:rPr>
          <w:rFonts w:asciiTheme="majorHAnsi" w:hAnsiTheme="majorHAnsi" w:cstheme="minorHAnsi"/>
        </w:rPr>
        <w:t xml:space="preserve">pertenece a regímenes básicos, </w:t>
      </w:r>
      <w:r w:rsidR="00D22CAB" w:rsidRPr="008F5D99">
        <w:rPr>
          <w:rFonts w:asciiTheme="majorHAnsi" w:hAnsiTheme="majorHAnsi" w:cstheme="minorHAnsi"/>
        </w:rPr>
        <w:t>41</w:t>
      </w:r>
      <w:r w:rsidR="009D5C27" w:rsidRPr="008F5D99">
        <w:rPr>
          <w:rFonts w:asciiTheme="majorHAnsi" w:hAnsiTheme="majorHAnsi" w:cstheme="minorHAnsi"/>
        </w:rPr>
        <w:t xml:space="preserve">% al </w:t>
      </w:r>
      <w:r w:rsidR="00951F80" w:rsidRPr="008F5D99">
        <w:rPr>
          <w:rFonts w:asciiTheme="majorHAnsi" w:hAnsiTheme="majorHAnsi" w:cstheme="minorHAnsi"/>
        </w:rPr>
        <w:t xml:space="preserve">ROP, </w:t>
      </w:r>
      <w:r w:rsidR="007D0BC7" w:rsidRPr="008F5D99">
        <w:rPr>
          <w:rFonts w:asciiTheme="majorHAnsi" w:hAnsiTheme="majorHAnsi" w:cstheme="minorHAnsi"/>
        </w:rPr>
        <w:t xml:space="preserve">7% en los regímenes </w:t>
      </w:r>
      <w:r w:rsidR="00951F80" w:rsidRPr="008F5D99">
        <w:rPr>
          <w:rFonts w:asciiTheme="majorHAnsi" w:hAnsiTheme="majorHAnsi" w:cstheme="minorHAnsi"/>
        </w:rPr>
        <w:t xml:space="preserve">complementarios </w:t>
      </w:r>
      <w:r w:rsidR="00046F51" w:rsidRPr="008F5D99">
        <w:rPr>
          <w:rFonts w:asciiTheme="majorHAnsi" w:hAnsiTheme="majorHAnsi" w:cstheme="minorHAnsi"/>
        </w:rPr>
        <w:t xml:space="preserve">especiales, </w:t>
      </w:r>
      <w:r w:rsidR="00D22CAB" w:rsidRPr="008F5D99">
        <w:rPr>
          <w:rFonts w:asciiTheme="majorHAnsi" w:hAnsiTheme="majorHAnsi" w:cstheme="minorHAnsi"/>
        </w:rPr>
        <w:t>4</w:t>
      </w:r>
      <w:r w:rsidR="009917F6" w:rsidRPr="008F5D99">
        <w:rPr>
          <w:rFonts w:asciiTheme="majorHAnsi" w:hAnsiTheme="majorHAnsi" w:cstheme="minorHAnsi"/>
        </w:rPr>
        <w:t xml:space="preserve">% al FCL y </w:t>
      </w:r>
      <w:r w:rsidR="00046F51" w:rsidRPr="008F5D99">
        <w:rPr>
          <w:rFonts w:asciiTheme="majorHAnsi" w:hAnsiTheme="majorHAnsi" w:cstheme="minorHAnsi"/>
        </w:rPr>
        <w:t>el</w:t>
      </w:r>
      <w:r w:rsidR="007D0BC7" w:rsidRPr="008F5D99">
        <w:rPr>
          <w:rFonts w:asciiTheme="majorHAnsi" w:hAnsiTheme="majorHAnsi" w:cstheme="minorHAnsi"/>
        </w:rPr>
        <w:t xml:space="preserve"> </w:t>
      </w:r>
      <w:r w:rsidR="00D22CAB" w:rsidRPr="008F5D99">
        <w:rPr>
          <w:rFonts w:asciiTheme="majorHAnsi" w:hAnsiTheme="majorHAnsi" w:cstheme="minorHAnsi"/>
        </w:rPr>
        <w:t>2</w:t>
      </w:r>
      <w:r w:rsidR="007D0BC7" w:rsidRPr="008F5D99">
        <w:rPr>
          <w:rFonts w:asciiTheme="majorHAnsi" w:hAnsiTheme="majorHAnsi" w:cstheme="minorHAnsi"/>
        </w:rPr>
        <w:t xml:space="preserve">% </w:t>
      </w:r>
      <w:r w:rsidR="000614C2" w:rsidRPr="008F5D99">
        <w:rPr>
          <w:rFonts w:asciiTheme="majorHAnsi" w:hAnsiTheme="majorHAnsi" w:cstheme="minorHAnsi"/>
        </w:rPr>
        <w:t xml:space="preserve">restante son de </w:t>
      </w:r>
      <w:r w:rsidR="00EB575C">
        <w:rPr>
          <w:rFonts w:asciiTheme="majorHAnsi" w:hAnsiTheme="majorHAnsi" w:cstheme="minorHAnsi"/>
        </w:rPr>
        <w:t xml:space="preserve">los fondos de </w:t>
      </w:r>
      <w:r w:rsidR="000614C2" w:rsidRPr="008F5D99">
        <w:rPr>
          <w:rFonts w:asciiTheme="majorHAnsi" w:hAnsiTheme="majorHAnsi" w:cstheme="minorHAnsi"/>
        </w:rPr>
        <w:t>pensiones</w:t>
      </w:r>
      <w:r w:rsidR="000154F0" w:rsidRPr="008F5D99">
        <w:rPr>
          <w:rFonts w:asciiTheme="majorHAnsi" w:hAnsiTheme="majorHAnsi" w:cstheme="minorHAnsi"/>
        </w:rPr>
        <w:t xml:space="preserve"> voluntar</w:t>
      </w:r>
      <w:r w:rsidR="00EB575C">
        <w:rPr>
          <w:rFonts w:asciiTheme="majorHAnsi" w:hAnsiTheme="majorHAnsi" w:cstheme="minorHAnsi"/>
        </w:rPr>
        <w:t>io</w:t>
      </w:r>
      <w:r w:rsidR="007D0BC7" w:rsidRPr="008F5D99">
        <w:rPr>
          <w:rFonts w:asciiTheme="majorHAnsi" w:hAnsiTheme="majorHAnsi" w:cstheme="minorHAnsi"/>
        </w:rPr>
        <w:t>s.</w:t>
      </w:r>
    </w:p>
    <w:p w14:paraId="5630AD66" w14:textId="77777777" w:rsidR="007B4082" w:rsidRPr="008F5D99" w:rsidRDefault="007B4082" w:rsidP="00AB1521">
      <w:pPr>
        <w:spacing w:after="0" w:line="240" w:lineRule="auto"/>
        <w:jc w:val="both"/>
        <w:rPr>
          <w:rFonts w:asciiTheme="majorHAnsi" w:hAnsiTheme="majorHAnsi" w:cstheme="minorHAnsi"/>
        </w:rPr>
      </w:pPr>
    </w:p>
    <w:p w14:paraId="675130BC" w14:textId="77777777" w:rsidR="0033676D" w:rsidRPr="0033676D" w:rsidRDefault="0033676D" w:rsidP="0033676D">
      <w:pPr>
        <w:spacing w:after="0" w:line="240" w:lineRule="auto"/>
        <w:jc w:val="center"/>
        <w:rPr>
          <w:rFonts w:asciiTheme="majorHAnsi" w:hAnsiTheme="majorHAnsi" w:cstheme="minorHAnsi"/>
        </w:rPr>
      </w:pPr>
      <w:r w:rsidRPr="0033676D">
        <w:rPr>
          <w:rFonts w:asciiTheme="majorHAnsi" w:hAnsiTheme="majorHAnsi" w:cstheme="minorHAnsi"/>
        </w:rPr>
        <w:t xml:space="preserve">Cuadro </w:t>
      </w:r>
      <w:r w:rsidRPr="0033676D">
        <w:rPr>
          <w:rFonts w:asciiTheme="majorHAnsi" w:hAnsiTheme="majorHAnsi" w:cstheme="minorHAnsi"/>
        </w:rPr>
        <w:fldChar w:fldCharType="begin"/>
      </w:r>
      <w:r w:rsidRPr="0033676D">
        <w:rPr>
          <w:rFonts w:asciiTheme="majorHAnsi" w:hAnsiTheme="majorHAnsi" w:cstheme="minorHAnsi"/>
        </w:rPr>
        <w:instrText xml:space="preserve"> SEQ Cuadro \* ARABIC </w:instrText>
      </w:r>
      <w:r w:rsidRPr="0033676D">
        <w:rPr>
          <w:rFonts w:asciiTheme="majorHAnsi" w:hAnsiTheme="majorHAnsi" w:cstheme="minorHAnsi"/>
        </w:rPr>
        <w:fldChar w:fldCharType="separate"/>
      </w:r>
      <w:r w:rsidR="00947FD6">
        <w:rPr>
          <w:rFonts w:asciiTheme="majorHAnsi" w:hAnsiTheme="majorHAnsi" w:cstheme="minorHAnsi"/>
          <w:noProof/>
        </w:rPr>
        <w:t>4</w:t>
      </w:r>
      <w:r w:rsidRPr="0033676D">
        <w:rPr>
          <w:rFonts w:asciiTheme="majorHAnsi" w:hAnsiTheme="majorHAnsi" w:cstheme="minorHAnsi"/>
        </w:rPr>
        <w:fldChar w:fldCharType="end"/>
      </w:r>
    </w:p>
    <w:p w14:paraId="0137258F" w14:textId="77777777" w:rsidR="007D0BC7" w:rsidRPr="008F5D99" w:rsidRDefault="007D0BC7" w:rsidP="0033676D">
      <w:pPr>
        <w:spacing w:after="0" w:line="240" w:lineRule="auto"/>
        <w:jc w:val="center"/>
        <w:rPr>
          <w:rFonts w:asciiTheme="majorHAnsi" w:hAnsiTheme="majorHAnsi" w:cstheme="minorHAnsi"/>
        </w:rPr>
      </w:pPr>
      <w:r w:rsidRPr="008F5D99">
        <w:rPr>
          <w:rFonts w:asciiTheme="majorHAnsi" w:hAnsiTheme="majorHAnsi" w:cstheme="minorHAnsi"/>
        </w:rPr>
        <w:t>Inversiones por Régimen de Pensiones</w:t>
      </w:r>
    </w:p>
    <w:p w14:paraId="353AF4C4" w14:textId="77777777" w:rsidR="00242FF6" w:rsidRPr="008F5D99" w:rsidRDefault="00EB575C" w:rsidP="00AB1521">
      <w:pPr>
        <w:spacing w:after="0" w:line="240" w:lineRule="auto"/>
        <w:jc w:val="center"/>
        <w:rPr>
          <w:rFonts w:asciiTheme="majorHAnsi" w:hAnsiTheme="majorHAnsi" w:cstheme="minorHAnsi"/>
        </w:rPr>
      </w:pPr>
      <w:r>
        <w:rPr>
          <w:rFonts w:asciiTheme="majorHAnsi" w:hAnsiTheme="majorHAnsi" w:cstheme="minorHAnsi"/>
        </w:rPr>
        <w:t>A</w:t>
      </w:r>
      <w:r w:rsidR="00F76E5A">
        <w:rPr>
          <w:rFonts w:asciiTheme="majorHAnsi" w:hAnsiTheme="majorHAnsi" w:cstheme="minorHAnsi"/>
        </w:rPr>
        <w:t xml:space="preserve">l 31 de </w:t>
      </w:r>
      <w:r>
        <w:rPr>
          <w:rFonts w:asciiTheme="majorHAnsi" w:hAnsiTheme="majorHAnsi" w:cstheme="minorHAnsi"/>
        </w:rPr>
        <w:t>d</w:t>
      </w:r>
      <w:r w:rsidR="003A58F9" w:rsidRPr="008F5D99">
        <w:rPr>
          <w:rFonts w:asciiTheme="majorHAnsi" w:hAnsiTheme="majorHAnsi" w:cstheme="minorHAnsi"/>
        </w:rPr>
        <w:t>ici</w:t>
      </w:r>
      <w:r w:rsidR="007D0BC7" w:rsidRPr="008F5D99">
        <w:rPr>
          <w:rFonts w:asciiTheme="majorHAnsi" w:hAnsiTheme="majorHAnsi" w:cstheme="minorHAnsi"/>
        </w:rPr>
        <w:t xml:space="preserve">embre 2018 </w:t>
      </w:r>
    </w:p>
    <w:p w14:paraId="6A98D35E" w14:textId="77777777" w:rsidR="007D0BC7" w:rsidRPr="008F5D99" w:rsidRDefault="00EB575C" w:rsidP="00AB1521">
      <w:pPr>
        <w:spacing w:after="0" w:line="240" w:lineRule="auto"/>
        <w:jc w:val="center"/>
        <w:rPr>
          <w:rFonts w:asciiTheme="majorHAnsi" w:hAnsiTheme="majorHAnsi" w:cstheme="minorHAnsi"/>
        </w:rPr>
      </w:pPr>
      <w:r>
        <w:rPr>
          <w:rFonts w:asciiTheme="majorHAnsi" w:hAnsiTheme="majorHAnsi" w:cstheme="minorHAnsi"/>
        </w:rPr>
        <w:t xml:space="preserve">En </w:t>
      </w:r>
      <w:r w:rsidR="004F3D7A" w:rsidRPr="008F5D99">
        <w:rPr>
          <w:rFonts w:asciiTheme="majorHAnsi" w:hAnsiTheme="majorHAnsi" w:cstheme="minorHAnsi"/>
        </w:rPr>
        <w:t>millones</w:t>
      </w:r>
      <w:r w:rsidR="007D0BC7" w:rsidRPr="008F5D99">
        <w:rPr>
          <w:rFonts w:asciiTheme="majorHAnsi" w:hAnsiTheme="majorHAnsi" w:cstheme="minorHAnsi"/>
        </w:rPr>
        <w:t xml:space="preserve"> de colones</w:t>
      </w:r>
      <w:r>
        <w:rPr>
          <w:rFonts w:asciiTheme="majorHAnsi" w:hAnsiTheme="majorHAnsi" w:cstheme="minorHAnsi"/>
        </w:rPr>
        <w:t xml:space="preserve"> costarricenses</w:t>
      </w:r>
    </w:p>
    <w:tbl>
      <w:tblPr>
        <w:tblW w:w="10632" w:type="dxa"/>
        <w:jc w:val="center"/>
        <w:tblCellMar>
          <w:left w:w="70" w:type="dxa"/>
          <w:right w:w="70" w:type="dxa"/>
        </w:tblCellMar>
        <w:tblLook w:val="04A0" w:firstRow="1" w:lastRow="0" w:firstColumn="1" w:lastColumn="0" w:noHBand="0" w:noVBand="1"/>
      </w:tblPr>
      <w:tblGrid>
        <w:gridCol w:w="3402"/>
        <w:gridCol w:w="1985"/>
        <w:gridCol w:w="1410"/>
        <w:gridCol w:w="1263"/>
        <w:gridCol w:w="1259"/>
        <w:gridCol w:w="1313"/>
      </w:tblGrid>
      <w:tr w:rsidR="00DE5626" w:rsidRPr="00763409" w14:paraId="7D608DF3" w14:textId="77777777" w:rsidTr="002B7CEF">
        <w:trPr>
          <w:trHeight w:val="275"/>
          <w:jc w:val="center"/>
        </w:trPr>
        <w:tc>
          <w:tcPr>
            <w:tcW w:w="3402" w:type="dxa"/>
            <w:tcBorders>
              <w:top w:val="single" w:sz="4" w:space="0" w:color="auto"/>
              <w:left w:val="nil"/>
              <w:bottom w:val="double" w:sz="6" w:space="0" w:color="auto"/>
              <w:right w:val="nil"/>
            </w:tcBorders>
            <w:shd w:val="clear" w:color="000000" w:fill="FFFFFF"/>
            <w:vAlign w:val="center"/>
            <w:hideMark/>
          </w:tcPr>
          <w:p w14:paraId="74DD817D" w14:textId="77777777" w:rsidR="005B5D28" w:rsidRPr="00763409" w:rsidRDefault="005B5D28" w:rsidP="00064E8E">
            <w:pPr>
              <w:spacing w:after="0" w:line="240" w:lineRule="auto"/>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Tipo de fondo</w:t>
            </w:r>
          </w:p>
        </w:tc>
        <w:tc>
          <w:tcPr>
            <w:tcW w:w="1985" w:type="dxa"/>
            <w:tcBorders>
              <w:top w:val="single" w:sz="4" w:space="0" w:color="auto"/>
              <w:left w:val="nil"/>
              <w:bottom w:val="double" w:sz="6" w:space="0" w:color="auto"/>
              <w:right w:val="nil"/>
            </w:tcBorders>
            <w:shd w:val="clear" w:color="000000" w:fill="FFFFFF"/>
            <w:vAlign w:val="center"/>
            <w:hideMark/>
          </w:tcPr>
          <w:p w14:paraId="7EC5CF65" w14:textId="77777777" w:rsidR="005B5D28" w:rsidRPr="00763409" w:rsidRDefault="005B5D28" w:rsidP="00DE5626">
            <w:pPr>
              <w:spacing w:after="0" w:line="240" w:lineRule="auto"/>
              <w:jc w:val="right"/>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Disponibilidades</w:t>
            </w:r>
          </w:p>
        </w:tc>
        <w:tc>
          <w:tcPr>
            <w:tcW w:w="1410" w:type="dxa"/>
            <w:tcBorders>
              <w:top w:val="single" w:sz="4" w:space="0" w:color="auto"/>
              <w:left w:val="nil"/>
              <w:bottom w:val="double" w:sz="6" w:space="0" w:color="auto"/>
              <w:right w:val="nil"/>
            </w:tcBorders>
            <w:shd w:val="clear" w:color="000000" w:fill="FFFFFF"/>
            <w:vAlign w:val="center"/>
            <w:hideMark/>
          </w:tcPr>
          <w:p w14:paraId="65359EA7" w14:textId="77777777" w:rsidR="00DE5626" w:rsidRPr="00763409" w:rsidRDefault="005B5D28" w:rsidP="00064E8E">
            <w:pPr>
              <w:spacing w:after="0" w:line="240" w:lineRule="auto"/>
              <w:jc w:val="center"/>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Emisores</w:t>
            </w:r>
          </w:p>
          <w:p w14:paraId="482A5C4A" w14:textId="77777777" w:rsidR="005B5D28" w:rsidRPr="00763409" w:rsidRDefault="005B5D28" w:rsidP="00064E8E">
            <w:pPr>
              <w:spacing w:after="0" w:line="240" w:lineRule="auto"/>
              <w:jc w:val="center"/>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extranjeros</w:t>
            </w:r>
          </w:p>
        </w:tc>
        <w:tc>
          <w:tcPr>
            <w:tcW w:w="1263" w:type="dxa"/>
            <w:tcBorders>
              <w:top w:val="single" w:sz="4" w:space="0" w:color="auto"/>
              <w:left w:val="nil"/>
              <w:bottom w:val="double" w:sz="6" w:space="0" w:color="auto"/>
              <w:right w:val="nil"/>
            </w:tcBorders>
            <w:shd w:val="clear" w:color="000000" w:fill="FFFFFF"/>
            <w:vAlign w:val="center"/>
            <w:hideMark/>
          </w:tcPr>
          <w:p w14:paraId="5EBD55C8" w14:textId="77777777" w:rsidR="00DE5626" w:rsidRPr="00763409" w:rsidRDefault="005B5D28" w:rsidP="00064E8E">
            <w:pPr>
              <w:spacing w:after="0" w:line="240" w:lineRule="auto"/>
              <w:jc w:val="center"/>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Sector</w:t>
            </w:r>
          </w:p>
          <w:p w14:paraId="1E7C1116" w14:textId="77777777" w:rsidR="005B5D28" w:rsidRPr="00763409" w:rsidRDefault="00DE5626" w:rsidP="00064E8E">
            <w:pPr>
              <w:spacing w:after="0" w:line="240" w:lineRule="auto"/>
              <w:jc w:val="center"/>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P</w:t>
            </w:r>
            <w:r w:rsidR="005B5D28" w:rsidRPr="00763409">
              <w:rPr>
                <w:rFonts w:asciiTheme="majorHAnsi" w:eastAsia="Times New Roman" w:hAnsiTheme="majorHAnsi" w:cstheme="minorHAnsi"/>
                <w:b/>
                <w:bCs/>
                <w:color w:val="000000"/>
                <w:lang w:val="es-CR" w:eastAsia="es-CR"/>
              </w:rPr>
              <w:t>rivado</w:t>
            </w:r>
          </w:p>
        </w:tc>
        <w:tc>
          <w:tcPr>
            <w:tcW w:w="1259" w:type="dxa"/>
            <w:tcBorders>
              <w:top w:val="single" w:sz="4" w:space="0" w:color="auto"/>
              <w:left w:val="nil"/>
              <w:bottom w:val="double" w:sz="6" w:space="0" w:color="auto"/>
              <w:right w:val="nil"/>
            </w:tcBorders>
            <w:shd w:val="clear" w:color="000000" w:fill="FFFFFF"/>
            <w:vAlign w:val="center"/>
            <w:hideMark/>
          </w:tcPr>
          <w:p w14:paraId="2CAC6156" w14:textId="77777777" w:rsidR="00DE5626" w:rsidRPr="00763409" w:rsidRDefault="005B5D28" w:rsidP="00064E8E">
            <w:pPr>
              <w:spacing w:after="0" w:line="240" w:lineRule="auto"/>
              <w:jc w:val="center"/>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Sector</w:t>
            </w:r>
          </w:p>
          <w:p w14:paraId="71532EB9" w14:textId="77777777" w:rsidR="005B5D28" w:rsidRPr="00763409" w:rsidRDefault="00DE5626" w:rsidP="00064E8E">
            <w:pPr>
              <w:spacing w:after="0" w:line="240" w:lineRule="auto"/>
              <w:jc w:val="center"/>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P</w:t>
            </w:r>
            <w:r w:rsidR="005B5D28" w:rsidRPr="00763409">
              <w:rPr>
                <w:rFonts w:asciiTheme="majorHAnsi" w:eastAsia="Times New Roman" w:hAnsiTheme="majorHAnsi" w:cstheme="minorHAnsi"/>
                <w:b/>
                <w:bCs/>
                <w:color w:val="000000"/>
                <w:lang w:val="es-CR" w:eastAsia="es-CR"/>
              </w:rPr>
              <w:t>úblico</w:t>
            </w:r>
          </w:p>
        </w:tc>
        <w:tc>
          <w:tcPr>
            <w:tcW w:w="1313" w:type="dxa"/>
            <w:tcBorders>
              <w:top w:val="single" w:sz="4" w:space="0" w:color="auto"/>
              <w:left w:val="nil"/>
              <w:bottom w:val="double" w:sz="6" w:space="0" w:color="auto"/>
              <w:right w:val="nil"/>
            </w:tcBorders>
            <w:shd w:val="clear" w:color="000000" w:fill="FFFFFF"/>
            <w:vAlign w:val="center"/>
            <w:hideMark/>
          </w:tcPr>
          <w:p w14:paraId="4B4370B4" w14:textId="77777777" w:rsidR="005B5D28" w:rsidRPr="00763409" w:rsidRDefault="005B5D28" w:rsidP="00064E8E">
            <w:pPr>
              <w:spacing w:after="0" w:line="240" w:lineRule="auto"/>
              <w:jc w:val="center"/>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Total</w:t>
            </w:r>
          </w:p>
        </w:tc>
      </w:tr>
      <w:tr w:rsidR="00DE5626" w:rsidRPr="00763409" w14:paraId="137D9048" w14:textId="77777777" w:rsidTr="002B7CEF">
        <w:trPr>
          <w:trHeight w:val="30"/>
          <w:jc w:val="center"/>
        </w:trPr>
        <w:tc>
          <w:tcPr>
            <w:tcW w:w="3402" w:type="dxa"/>
            <w:tcBorders>
              <w:top w:val="nil"/>
              <w:left w:val="nil"/>
              <w:bottom w:val="nil"/>
              <w:right w:val="nil"/>
            </w:tcBorders>
            <w:shd w:val="clear" w:color="auto" w:fill="auto"/>
            <w:noWrap/>
            <w:vAlign w:val="center"/>
            <w:hideMark/>
          </w:tcPr>
          <w:p w14:paraId="74B99CFD" w14:textId="77777777" w:rsidR="005B5D28" w:rsidRPr="00763409" w:rsidRDefault="005B5D28" w:rsidP="00DE5626">
            <w:pPr>
              <w:spacing w:after="0" w:line="240" w:lineRule="auto"/>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Regímenes Básicos FRIVM</w:t>
            </w:r>
          </w:p>
        </w:tc>
        <w:tc>
          <w:tcPr>
            <w:tcW w:w="1985" w:type="dxa"/>
            <w:tcBorders>
              <w:top w:val="nil"/>
              <w:left w:val="nil"/>
              <w:bottom w:val="nil"/>
              <w:right w:val="nil"/>
            </w:tcBorders>
            <w:shd w:val="clear" w:color="auto" w:fill="auto"/>
            <w:noWrap/>
            <w:vAlign w:val="center"/>
            <w:hideMark/>
          </w:tcPr>
          <w:p w14:paraId="29D6B04F"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 </w:t>
            </w:r>
          </w:p>
        </w:tc>
        <w:tc>
          <w:tcPr>
            <w:tcW w:w="1410" w:type="dxa"/>
            <w:tcBorders>
              <w:top w:val="nil"/>
              <w:left w:val="nil"/>
              <w:bottom w:val="nil"/>
              <w:right w:val="nil"/>
            </w:tcBorders>
            <w:shd w:val="clear" w:color="auto" w:fill="auto"/>
            <w:noWrap/>
            <w:vAlign w:val="center"/>
            <w:hideMark/>
          </w:tcPr>
          <w:p w14:paraId="61829076"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p>
        </w:tc>
        <w:tc>
          <w:tcPr>
            <w:tcW w:w="1263" w:type="dxa"/>
            <w:tcBorders>
              <w:top w:val="nil"/>
              <w:left w:val="nil"/>
              <w:bottom w:val="nil"/>
              <w:right w:val="nil"/>
            </w:tcBorders>
            <w:shd w:val="clear" w:color="auto" w:fill="auto"/>
            <w:noWrap/>
            <w:vAlign w:val="center"/>
            <w:hideMark/>
          </w:tcPr>
          <w:p w14:paraId="0F1F7587"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92 146 </w:t>
            </w:r>
          </w:p>
        </w:tc>
        <w:tc>
          <w:tcPr>
            <w:tcW w:w="1259" w:type="dxa"/>
            <w:tcBorders>
              <w:top w:val="nil"/>
              <w:left w:val="nil"/>
              <w:bottom w:val="nil"/>
              <w:right w:val="nil"/>
            </w:tcBorders>
            <w:shd w:val="clear" w:color="auto" w:fill="auto"/>
            <w:noWrap/>
            <w:vAlign w:val="center"/>
            <w:hideMark/>
          </w:tcPr>
          <w:p w14:paraId="4AABC04A"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1 891 620 </w:t>
            </w:r>
          </w:p>
        </w:tc>
        <w:tc>
          <w:tcPr>
            <w:tcW w:w="1313" w:type="dxa"/>
            <w:tcBorders>
              <w:top w:val="nil"/>
              <w:left w:val="nil"/>
              <w:bottom w:val="nil"/>
              <w:right w:val="nil"/>
            </w:tcBorders>
            <w:shd w:val="clear" w:color="auto" w:fill="auto"/>
            <w:noWrap/>
            <w:vAlign w:val="center"/>
            <w:hideMark/>
          </w:tcPr>
          <w:p w14:paraId="3F534ACD"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1 983 766 </w:t>
            </w:r>
          </w:p>
        </w:tc>
      </w:tr>
      <w:tr w:rsidR="00DE5626" w:rsidRPr="00763409" w14:paraId="69F51AF9" w14:textId="77777777" w:rsidTr="002B7CEF">
        <w:trPr>
          <w:trHeight w:val="80"/>
          <w:jc w:val="center"/>
        </w:trPr>
        <w:tc>
          <w:tcPr>
            <w:tcW w:w="3402" w:type="dxa"/>
            <w:tcBorders>
              <w:top w:val="nil"/>
              <w:left w:val="nil"/>
              <w:bottom w:val="nil"/>
              <w:right w:val="nil"/>
            </w:tcBorders>
            <w:shd w:val="clear" w:color="auto" w:fill="auto"/>
            <w:noWrap/>
            <w:vAlign w:val="center"/>
            <w:hideMark/>
          </w:tcPr>
          <w:p w14:paraId="6A3733E9" w14:textId="77777777" w:rsidR="005B5D28" w:rsidRPr="00763409" w:rsidRDefault="005B5D28" w:rsidP="00DE5626">
            <w:pPr>
              <w:spacing w:after="0" w:line="240" w:lineRule="auto"/>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Regímenes Básicos FCCMN</w:t>
            </w:r>
          </w:p>
        </w:tc>
        <w:tc>
          <w:tcPr>
            <w:tcW w:w="1985" w:type="dxa"/>
            <w:tcBorders>
              <w:top w:val="nil"/>
              <w:left w:val="nil"/>
              <w:bottom w:val="nil"/>
              <w:right w:val="nil"/>
            </w:tcBorders>
            <w:shd w:val="clear" w:color="auto" w:fill="auto"/>
            <w:noWrap/>
            <w:vAlign w:val="center"/>
            <w:hideMark/>
          </w:tcPr>
          <w:p w14:paraId="60D63475"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5 521 </w:t>
            </w:r>
          </w:p>
        </w:tc>
        <w:tc>
          <w:tcPr>
            <w:tcW w:w="1410" w:type="dxa"/>
            <w:tcBorders>
              <w:top w:val="nil"/>
              <w:left w:val="nil"/>
              <w:bottom w:val="nil"/>
              <w:right w:val="nil"/>
            </w:tcBorders>
            <w:shd w:val="clear" w:color="auto" w:fill="auto"/>
            <w:noWrap/>
            <w:vAlign w:val="center"/>
            <w:hideMark/>
          </w:tcPr>
          <w:p w14:paraId="2BA226A1"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p>
        </w:tc>
        <w:tc>
          <w:tcPr>
            <w:tcW w:w="1263" w:type="dxa"/>
            <w:tcBorders>
              <w:top w:val="nil"/>
              <w:left w:val="nil"/>
              <w:bottom w:val="nil"/>
              <w:right w:val="nil"/>
            </w:tcBorders>
            <w:shd w:val="clear" w:color="auto" w:fill="auto"/>
            <w:noWrap/>
            <w:vAlign w:val="center"/>
            <w:hideMark/>
          </w:tcPr>
          <w:p w14:paraId="24B4A195"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 413 852 </w:t>
            </w:r>
          </w:p>
        </w:tc>
        <w:tc>
          <w:tcPr>
            <w:tcW w:w="1259" w:type="dxa"/>
            <w:tcBorders>
              <w:top w:val="nil"/>
              <w:left w:val="nil"/>
              <w:bottom w:val="nil"/>
              <w:right w:val="nil"/>
            </w:tcBorders>
            <w:shd w:val="clear" w:color="auto" w:fill="auto"/>
            <w:noWrap/>
            <w:vAlign w:val="center"/>
            <w:hideMark/>
          </w:tcPr>
          <w:p w14:paraId="6169C95A"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1 694 720 </w:t>
            </w:r>
          </w:p>
        </w:tc>
        <w:tc>
          <w:tcPr>
            <w:tcW w:w="1313" w:type="dxa"/>
            <w:tcBorders>
              <w:top w:val="nil"/>
              <w:left w:val="nil"/>
              <w:bottom w:val="nil"/>
              <w:right w:val="nil"/>
            </w:tcBorders>
            <w:shd w:val="clear" w:color="auto" w:fill="auto"/>
            <w:noWrap/>
            <w:vAlign w:val="center"/>
            <w:hideMark/>
          </w:tcPr>
          <w:p w14:paraId="6A5EAFB5"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2 114 093 </w:t>
            </w:r>
          </w:p>
        </w:tc>
      </w:tr>
      <w:tr w:rsidR="00DE5626" w:rsidRPr="00763409" w14:paraId="0A51B3D1" w14:textId="77777777" w:rsidTr="002B7CEF">
        <w:trPr>
          <w:trHeight w:val="80"/>
          <w:jc w:val="center"/>
        </w:trPr>
        <w:tc>
          <w:tcPr>
            <w:tcW w:w="3402" w:type="dxa"/>
            <w:tcBorders>
              <w:top w:val="nil"/>
              <w:left w:val="nil"/>
              <w:bottom w:val="nil"/>
              <w:right w:val="nil"/>
            </w:tcBorders>
            <w:shd w:val="clear" w:color="auto" w:fill="auto"/>
            <w:noWrap/>
            <w:vAlign w:val="center"/>
            <w:hideMark/>
          </w:tcPr>
          <w:p w14:paraId="57C62CB0" w14:textId="77777777" w:rsidR="005B5D28" w:rsidRPr="00763409" w:rsidRDefault="005B5D28" w:rsidP="00DE5626">
            <w:pPr>
              <w:spacing w:after="0" w:line="240" w:lineRule="auto"/>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Regímenes Básicos FPJ</w:t>
            </w:r>
          </w:p>
        </w:tc>
        <w:tc>
          <w:tcPr>
            <w:tcW w:w="1985" w:type="dxa"/>
            <w:tcBorders>
              <w:top w:val="nil"/>
              <w:left w:val="nil"/>
              <w:bottom w:val="nil"/>
              <w:right w:val="nil"/>
            </w:tcBorders>
            <w:shd w:val="clear" w:color="auto" w:fill="auto"/>
            <w:noWrap/>
            <w:vAlign w:val="center"/>
            <w:hideMark/>
          </w:tcPr>
          <w:p w14:paraId="17AD93B2"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p>
        </w:tc>
        <w:tc>
          <w:tcPr>
            <w:tcW w:w="1410" w:type="dxa"/>
            <w:tcBorders>
              <w:top w:val="nil"/>
              <w:left w:val="nil"/>
              <w:bottom w:val="nil"/>
              <w:right w:val="nil"/>
            </w:tcBorders>
            <w:shd w:val="clear" w:color="auto" w:fill="auto"/>
            <w:noWrap/>
            <w:vAlign w:val="center"/>
            <w:hideMark/>
          </w:tcPr>
          <w:p w14:paraId="0DE4B5B7"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p>
        </w:tc>
        <w:tc>
          <w:tcPr>
            <w:tcW w:w="1263" w:type="dxa"/>
            <w:tcBorders>
              <w:top w:val="nil"/>
              <w:left w:val="nil"/>
              <w:bottom w:val="nil"/>
              <w:right w:val="nil"/>
            </w:tcBorders>
            <w:shd w:val="clear" w:color="auto" w:fill="auto"/>
            <w:noWrap/>
            <w:vAlign w:val="center"/>
            <w:hideMark/>
          </w:tcPr>
          <w:p w14:paraId="5C54A90B"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35 727 </w:t>
            </w:r>
          </w:p>
        </w:tc>
        <w:tc>
          <w:tcPr>
            <w:tcW w:w="1259" w:type="dxa"/>
            <w:tcBorders>
              <w:top w:val="nil"/>
              <w:left w:val="nil"/>
              <w:bottom w:val="nil"/>
              <w:right w:val="nil"/>
            </w:tcBorders>
            <w:shd w:val="clear" w:color="auto" w:fill="auto"/>
            <w:noWrap/>
            <w:vAlign w:val="center"/>
            <w:hideMark/>
          </w:tcPr>
          <w:p w14:paraId="28549F91"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463 465 </w:t>
            </w:r>
          </w:p>
        </w:tc>
        <w:tc>
          <w:tcPr>
            <w:tcW w:w="1313" w:type="dxa"/>
            <w:tcBorders>
              <w:top w:val="nil"/>
              <w:left w:val="nil"/>
              <w:bottom w:val="nil"/>
              <w:right w:val="nil"/>
            </w:tcBorders>
            <w:shd w:val="clear" w:color="auto" w:fill="auto"/>
            <w:noWrap/>
            <w:vAlign w:val="center"/>
            <w:hideMark/>
          </w:tcPr>
          <w:p w14:paraId="047F3513"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499 191 </w:t>
            </w:r>
          </w:p>
        </w:tc>
      </w:tr>
      <w:tr w:rsidR="00DE5626" w:rsidRPr="00763409" w14:paraId="488310FE" w14:textId="77777777" w:rsidTr="002B7CEF">
        <w:trPr>
          <w:trHeight w:val="80"/>
          <w:jc w:val="center"/>
        </w:trPr>
        <w:tc>
          <w:tcPr>
            <w:tcW w:w="3402" w:type="dxa"/>
            <w:tcBorders>
              <w:top w:val="nil"/>
              <w:left w:val="nil"/>
              <w:bottom w:val="nil"/>
              <w:right w:val="nil"/>
            </w:tcBorders>
            <w:shd w:val="clear" w:color="auto" w:fill="auto"/>
            <w:noWrap/>
            <w:vAlign w:val="center"/>
            <w:hideMark/>
          </w:tcPr>
          <w:p w14:paraId="06242E63" w14:textId="77777777" w:rsidR="005B5D28" w:rsidRPr="00763409" w:rsidRDefault="005B5D28" w:rsidP="00DE5626">
            <w:pPr>
              <w:spacing w:after="0" w:line="240" w:lineRule="auto"/>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Regímenes Básicos Bomberos</w:t>
            </w:r>
          </w:p>
        </w:tc>
        <w:tc>
          <w:tcPr>
            <w:tcW w:w="1985" w:type="dxa"/>
            <w:tcBorders>
              <w:top w:val="nil"/>
              <w:left w:val="nil"/>
              <w:bottom w:val="nil"/>
              <w:right w:val="nil"/>
            </w:tcBorders>
            <w:shd w:val="clear" w:color="auto" w:fill="auto"/>
            <w:noWrap/>
            <w:vAlign w:val="center"/>
            <w:hideMark/>
          </w:tcPr>
          <w:p w14:paraId="139199EE"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457 </w:t>
            </w:r>
          </w:p>
        </w:tc>
        <w:tc>
          <w:tcPr>
            <w:tcW w:w="1410" w:type="dxa"/>
            <w:tcBorders>
              <w:top w:val="nil"/>
              <w:left w:val="nil"/>
              <w:bottom w:val="nil"/>
              <w:right w:val="nil"/>
            </w:tcBorders>
            <w:shd w:val="clear" w:color="auto" w:fill="auto"/>
            <w:noWrap/>
            <w:vAlign w:val="center"/>
            <w:hideMark/>
          </w:tcPr>
          <w:p w14:paraId="66204FF1"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p>
        </w:tc>
        <w:tc>
          <w:tcPr>
            <w:tcW w:w="1263" w:type="dxa"/>
            <w:tcBorders>
              <w:top w:val="nil"/>
              <w:left w:val="nil"/>
              <w:bottom w:val="nil"/>
              <w:right w:val="nil"/>
            </w:tcBorders>
            <w:shd w:val="clear" w:color="auto" w:fill="auto"/>
            <w:noWrap/>
            <w:vAlign w:val="center"/>
            <w:hideMark/>
          </w:tcPr>
          <w:p w14:paraId="421AD73A"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 13 184 </w:t>
            </w:r>
          </w:p>
        </w:tc>
        <w:tc>
          <w:tcPr>
            <w:tcW w:w="1259" w:type="dxa"/>
            <w:tcBorders>
              <w:top w:val="nil"/>
              <w:left w:val="nil"/>
              <w:bottom w:val="nil"/>
              <w:right w:val="nil"/>
            </w:tcBorders>
            <w:shd w:val="clear" w:color="auto" w:fill="auto"/>
            <w:noWrap/>
            <w:vAlign w:val="center"/>
            <w:hideMark/>
          </w:tcPr>
          <w:p w14:paraId="45B20AF9"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32 877 </w:t>
            </w:r>
          </w:p>
        </w:tc>
        <w:tc>
          <w:tcPr>
            <w:tcW w:w="1313" w:type="dxa"/>
            <w:tcBorders>
              <w:top w:val="nil"/>
              <w:left w:val="nil"/>
              <w:bottom w:val="nil"/>
              <w:right w:val="nil"/>
            </w:tcBorders>
            <w:shd w:val="clear" w:color="auto" w:fill="auto"/>
            <w:noWrap/>
            <w:vAlign w:val="center"/>
            <w:hideMark/>
          </w:tcPr>
          <w:p w14:paraId="74361CC3"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46 518 </w:t>
            </w:r>
          </w:p>
        </w:tc>
      </w:tr>
      <w:tr w:rsidR="00DE5626" w:rsidRPr="00763409" w14:paraId="75B7AC86" w14:textId="77777777" w:rsidTr="002B7CEF">
        <w:trPr>
          <w:trHeight w:val="80"/>
          <w:jc w:val="center"/>
        </w:trPr>
        <w:tc>
          <w:tcPr>
            <w:tcW w:w="3402" w:type="dxa"/>
            <w:tcBorders>
              <w:top w:val="nil"/>
              <w:left w:val="nil"/>
              <w:bottom w:val="nil"/>
              <w:right w:val="nil"/>
            </w:tcBorders>
            <w:shd w:val="clear" w:color="auto" w:fill="auto"/>
            <w:noWrap/>
            <w:vAlign w:val="center"/>
            <w:hideMark/>
          </w:tcPr>
          <w:p w14:paraId="05E3FA17" w14:textId="77777777" w:rsidR="005B5D28" w:rsidRPr="00763409" w:rsidRDefault="005B5D28" w:rsidP="00DE5626">
            <w:pPr>
              <w:spacing w:after="0" w:line="240" w:lineRule="auto"/>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Régimen Obligatorio de Pensiones Complementarias</w:t>
            </w:r>
          </w:p>
        </w:tc>
        <w:tc>
          <w:tcPr>
            <w:tcW w:w="1985" w:type="dxa"/>
            <w:tcBorders>
              <w:top w:val="nil"/>
              <w:left w:val="nil"/>
              <w:bottom w:val="nil"/>
              <w:right w:val="nil"/>
            </w:tcBorders>
            <w:shd w:val="clear" w:color="auto" w:fill="auto"/>
            <w:noWrap/>
            <w:vAlign w:val="center"/>
            <w:hideMark/>
          </w:tcPr>
          <w:p w14:paraId="332D0E9A"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164 234</w:t>
            </w:r>
          </w:p>
        </w:tc>
        <w:tc>
          <w:tcPr>
            <w:tcW w:w="1410" w:type="dxa"/>
            <w:tcBorders>
              <w:top w:val="nil"/>
              <w:left w:val="nil"/>
              <w:bottom w:val="nil"/>
              <w:right w:val="nil"/>
            </w:tcBorders>
            <w:shd w:val="clear" w:color="auto" w:fill="auto"/>
            <w:noWrap/>
            <w:vAlign w:val="center"/>
            <w:hideMark/>
          </w:tcPr>
          <w:p w14:paraId="67650AAC"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745 928</w:t>
            </w:r>
          </w:p>
        </w:tc>
        <w:tc>
          <w:tcPr>
            <w:tcW w:w="1263" w:type="dxa"/>
            <w:tcBorders>
              <w:top w:val="nil"/>
              <w:left w:val="nil"/>
              <w:bottom w:val="nil"/>
              <w:right w:val="nil"/>
            </w:tcBorders>
            <w:shd w:val="clear" w:color="auto" w:fill="auto"/>
            <w:noWrap/>
            <w:vAlign w:val="center"/>
            <w:hideMark/>
          </w:tcPr>
          <w:p w14:paraId="00A98D51"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1 057 217</w:t>
            </w:r>
          </w:p>
        </w:tc>
        <w:tc>
          <w:tcPr>
            <w:tcW w:w="1259" w:type="dxa"/>
            <w:tcBorders>
              <w:top w:val="nil"/>
              <w:left w:val="nil"/>
              <w:bottom w:val="nil"/>
              <w:right w:val="nil"/>
            </w:tcBorders>
            <w:shd w:val="clear" w:color="auto" w:fill="auto"/>
            <w:noWrap/>
            <w:vAlign w:val="center"/>
            <w:hideMark/>
          </w:tcPr>
          <w:p w14:paraId="7D2299C7"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3 614 677</w:t>
            </w:r>
          </w:p>
        </w:tc>
        <w:tc>
          <w:tcPr>
            <w:tcW w:w="1313" w:type="dxa"/>
            <w:tcBorders>
              <w:top w:val="nil"/>
              <w:left w:val="nil"/>
              <w:bottom w:val="nil"/>
              <w:right w:val="nil"/>
            </w:tcBorders>
            <w:shd w:val="clear" w:color="auto" w:fill="auto"/>
            <w:noWrap/>
            <w:vAlign w:val="center"/>
            <w:hideMark/>
          </w:tcPr>
          <w:p w14:paraId="0526D945"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5 582 055 </w:t>
            </w:r>
          </w:p>
        </w:tc>
      </w:tr>
      <w:tr w:rsidR="00DE5626" w:rsidRPr="00763409" w14:paraId="2E1371BD" w14:textId="77777777" w:rsidTr="002B7CEF">
        <w:trPr>
          <w:trHeight w:val="80"/>
          <w:jc w:val="center"/>
        </w:trPr>
        <w:tc>
          <w:tcPr>
            <w:tcW w:w="3402" w:type="dxa"/>
            <w:tcBorders>
              <w:top w:val="nil"/>
              <w:left w:val="nil"/>
              <w:bottom w:val="nil"/>
              <w:right w:val="nil"/>
            </w:tcBorders>
            <w:shd w:val="clear" w:color="auto" w:fill="auto"/>
            <w:noWrap/>
            <w:vAlign w:val="center"/>
            <w:hideMark/>
          </w:tcPr>
          <w:p w14:paraId="33B57C3B" w14:textId="77777777" w:rsidR="005B5D28" w:rsidRPr="00763409" w:rsidRDefault="005B5D28" w:rsidP="00DE5626">
            <w:pPr>
              <w:spacing w:after="0" w:line="240" w:lineRule="auto"/>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Regímenes Especiales y Otros</w:t>
            </w:r>
          </w:p>
        </w:tc>
        <w:tc>
          <w:tcPr>
            <w:tcW w:w="1985" w:type="dxa"/>
            <w:tcBorders>
              <w:top w:val="nil"/>
              <w:left w:val="nil"/>
              <w:bottom w:val="nil"/>
              <w:right w:val="nil"/>
            </w:tcBorders>
            <w:shd w:val="clear" w:color="auto" w:fill="auto"/>
            <w:noWrap/>
            <w:vAlign w:val="center"/>
            <w:hideMark/>
          </w:tcPr>
          <w:p w14:paraId="60A37913"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8 254</w:t>
            </w:r>
          </w:p>
        </w:tc>
        <w:tc>
          <w:tcPr>
            <w:tcW w:w="1410" w:type="dxa"/>
            <w:tcBorders>
              <w:top w:val="nil"/>
              <w:left w:val="nil"/>
              <w:bottom w:val="nil"/>
              <w:right w:val="nil"/>
            </w:tcBorders>
            <w:shd w:val="clear" w:color="auto" w:fill="auto"/>
            <w:noWrap/>
            <w:vAlign w:val="center"/>
            <w:hideMark/>
          </w:tcPr>
          <w:p w14:paraId="76760613"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234</w:t>
            </w:r>
          </w:p>
        </w:tc>
        <w:tc>
          <w:tcPr>
            <w:tcW w:w="1263" w:type="dxa"/>
            <w:tcBorders>
              <w:top w:val="nil"/>
              <w:left w:val="nil"/>
              <w:bottom w:val="nil"/>
              <w:right w:val="nil"/>
            </w:tcBorders>
            <w:shd w:val="clear" w:color="auto" w:fill="auto"/>
            <w:noWrap/>
            <w:vAlign w:val="center"/>
            <w:hideMark/>
          </w:tcPr>
          <w:p w14:paraId="37757D30"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174 312</w:t>
            </w:r>
          </w:p>
        </w:tc>
        <w:tc>
          <w:tcPr>
            <w:tcW w:w="1259" w:type="dxa"/>
            <w:tcBorders>
              <w:top w:val="nil"/>
              <w:left w:val="nil"/>
              <w:bottom w:val="nil"/>
              <w:right w:val="nil"/>
            </w:tcBorders>
            <w:shd w:val="clear" w:color="auto" w:fill="auto"/>
            <w:noWrap/>
            <w:vAlign w:val="center"/>
            <w:hideMark/>
          </w:tcPr>
          <w:p w14:paraId="1E26D68D"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629 836</w:t>
            </w:r>
          </w:p>
        </w:tc>
        <w:tc>
          <w:tcPr>
            <w:tcW w:w="1313" w:type="dxa"/>
            <w:tcBorders>
              <w:top w:val="nil"/>
              <w:left w:val="nil"/>
              <w:bottom w:val="nil"/>
              <w:right w:val="nil"/>
            </w:tcBorders>
            <w:shd w:val="clear" w:color="auto" w:fill="auto"/>
            <w:noWrap/>
            <w:vAlign w:val="center"/>
            <w:hideMark/>
          </w:tcPr>
          <w:p w14:paraId="455DEEBE"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812 636 </w:t>
            </w:r>
          </w:p>
        </w:tc>
      </w:tr>
      <w:tr w:rsidR="00DE5626" w:rsidRPr="00763409" w14:paraId="76291ED4" w14:textId="77777777" w:rsidTr="002B7CEF">
        <w:trPr>
          <w:trHeight w:val="80"/>
          <w:jc w:val="center"/>
        </w:trPr>
        <w:tc>
          <w:tcPr>
            <w:tcW w:w="3402" w:type="dxa"/>
            <w:tcBorders>
              <w:top w:val="nil"/>
              <w:left w:val="nil"/>
              <w:bottom w:val="nil"/>
              <w:right w:val="nil"/>
            </w:tcBorders>
            <w:shd w:val="clear" w:color="auto" w:fill="auto"/>
            <w:noWrap/>
            <w:vAlign w:val="center"/>
            <w:hideMark/>
          </w:tcPr>
          <w:p w14:paraId="48AE48B2" w14:textId="77777777" w:rsidR="005B5D28" w:rsidRPr="00763409" w:rsidRDefault="005B5D28" w:rsidP="00DE5626">
            <w:pPr>
              <w:spacing w:after="0" w:line="240" w:lineRule="auto"/>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Voluntarios</w:t>
            </w:r>
          </w:p>
        </w:tc>
        <w:tc>
          <w:tcPr>
            <w:tcW w:w="1985" w:type="dxa"/>
            <w:tcBorders>
              <w:top w:val="nil"/>
              <w:left w:val="nil"/>
              <w:bottom w:val="nil"/>
              <w:right w:val="nil"/>
            </w:tcBorders>
            <w:shd w:val="clear" w:color="auto" w:fill="auto"/>
            <w:noWrap/>
            <w:vAlign w:val="center"/>
            <w:hideMark/>
          </w:tcPr>
          <w:p w14:paraId="735A7216"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20 050</w:t>
            </w:r>
          </w:p>
        </w:tc>
        <w:tc>
          <w:tcPr>
            <w:tcW w:w="1410" w:type="dxa"/>
            <w:tcBorders>
              <w:top w:val="nil"/>
              <w:left w:val="nil"/>
              <w:bottom w:val="nil"/>
              <w:right w:val="nil"/>
            </w:tcBorders>
            <w:shd w:val="clear" w:color="auto" w:fill="auto"/>
            <w:noWrap/>
            <w:vAlign w:val="center"/>
            <w:hideMark/>
          </w:tcPr>
          <w:p w14:paraId="149C059B"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8 582</w:t>
            </w:r>
          </w:p>
        </w:tc>
        <w:tc>
          <w:tcPr>
            <w:tcW w:w="1263" w:type="dxa"/>
            <w:tcBorders>
              <w:top w:val="nil"/>
              <w:left w:val="nil"/>
              <w:bottom w:val="nil"/>
              <w:right w:val="nil"/>
            </w:tcBorders>
            <w:shd w:val="clear" w:color="auto" w:fill="auto"/>
            <w:noWrap/>
            <w:vAlign w:val="center"/>
            <w:hideMark/>
          </w:tcPr>
          <w:p w14:paraId="5A16DA20"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109 066</w:t>
            </w:r>
          </w:p>
        </w:tc>
        <w:tc>
          <w:tcPr>
            <w:tcW w:w="1259" w:type="dxa"/>
            <w:tcBorders>
              <w:top w:val="nil"/>
              <w:left w:val="nil"/>
              <w:bottom w:val="nil"/>
              <w:right w:val="nil"/>
            </w:tcBorders>
            <w:shd w:val="clear" w:color="auto" w:fill="auto"/>
            <w:noWrap/>
            <w:vAlign w:val="center"/>
            <w:hideMark/>
          </w:tcPr>
          <w:p w14:paraId="67CE19C2"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199 308</w:t>
            </w:r>
          </w:p>
        </w:tc>
        <w:tc>
          <w:tcPr>
            <w:tcW w:w="1313" w:type="dxa"/>
            <w:tcBorders>
              <w:top w:val="nil"/>
              <w:left w:val="nil"/>
              <w:bottom w:val="nil"/>
              <w:right w:val="nil"/>
            </w:tcBorders>
            <w:shd w:val="clear" w:color="auto" w:fill="auto"/>
            <w:noWrap/>
            <w:vAlign w:val="center"/>
            <w:hideMark/>
          </w:tcPr>
          <w:p w14:paraId="210774D1"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337 005 </w:t>
            </w:r>
          </w:p>
        </w:tc>
      </w:tr>
      <w:tr w:rsidR="00DE5626" w:rsidRPr="00763409" w14:paraId="750FA189" w14:textId="77777777" w:rsidTr="002B7CEF">
        <w:trPr>
          <w:trHeight w:val="80"/>
          <w:jc w:val="center"/>
        </w:trPr>
        <w:tc>
          <w:tcPr>
            <w:tcW w:w="3402" w:type="dxa"/>
            <w:tcBorders>
              <w:top w:val="nil"/>
              <w:left w:val="nil"/>
              <w:bottom w:val="nil"/>
              <w:right w:val="nil"/>
            </w:tcBorders>
            <w:shd w:val="clear" w:color="auto" w:fill="auto"/>
            <w:noWrap/>
            <w:vAlign w:val="center"/>
            <w:hideMark/>
          </w:tcPr>
          <w:p w14:paraId="02B4B158" w14:textId="77777777" w:rsidR="005B5D28" w:rsidRPr="00763409" w:rsidRDefault="005B5D28" w:rsidP="00DE5626">
            <w:pPr>
              <w:spacing w:after="0" w:line="240" w:lineRule="auto"/>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Sub Total</w:t>
            </w:r>
          </w:p>
        </w:tc>
        <w:tc>
          <w:tcPr>
            <w:tcW w:w="1985" w:type="dxa"/>
            <w:tcBorders>
              <w:top w:val="nil"/>
              <w:left w:val="nil"/>
              <w:bottom w:val="nil"/>
              <w:right w:val="nil"/>
            </w:tcBorders>
            <w:shd w:val="clear" w:color="auto" w:fill="auto"/>
            <w:noWrap/>
            <w:vAlign w:val="center"/>
            <w:hideMark/>
          </w:tcPr>
          <w:p w14:paraId="651225DC" w14:textId="77777777" w:rsidR="005B5D28" w:rsidRPr="00763409" w:rsidRDefault="005B5D28" w:rsidP="00DE5626">
            <w:pPr>
              <w:spacing w:after="0" w:line="240" w:lineRule="auto"/>
              <w:jc w:val="right"/>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198 516</w:t>
            </w:r>
          </w:p>
        </w:tc>
        <w:tc>
          <w:tcPr>
            <w:tcW w:w="1410" w:type="dxa"/>
            <w:tcBorders>
              <w:top w:val="nil"/>
              <w:left w:val="nil"/>
              <w:bottom w:val="nil"/>
              <w:right w:val="nil"/>
            </w:tcBorders>
            <w:shd w:val="clear" w:color="auto" w:fill="auto"/>
            <w:noWrap/>
            <w:vAlign w:val="center"/>
            <w:hideMark/>
          </w:tcPr>
          <w:p w14:paraId="1F69A095" w14:textId="77777777" w:rsidR="005B5D28" w:rsidRPr="00763409" w:rsidRDefault="005B5D28" w:rsidP="00DE5626">
            <w:pPr>
              <w:spacing w:after="0" w:line="240" w:lineRule="auto"/>
              <w:jc w:val="right"/>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754 743</w:t>
            </w:r>
          </w:p>
        </w:tc>
        <w:tc>
          <w:tcPr>
            <w:tcW w:w="1263" w:type="dxa"/>
            <w:tcBorders>
              <w:top w:val="nil"/>
              <w:left w:val="nil"/>
              <w:bottom w:val="nil"/>
              <w:right w:val="nil"/>
            </w:tcBorders>
            <w:shd w:val="clear" w:color="auto" w:fill="auto"/>
            <w:noWrap/>
            <w:vAlign w:val="center"/>
            <w:hideMark/>
          </w:tcPr>
          <w:p w14:paraId="1799AC95" w14:textId="77777777" w:rsidR="005B5D28" w:rsidRPr="00763409" w:rsidRDefault="005B5D28" w:rsidP="00DE5626">
            <w:pPr>
              <w:spacing w:after="0" w:line="240" w:lineRule="auto"/>
              <w:jc w:val="right"/>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1 895 503</w:t>
            </w:r>
          </w:p>
        </w:tc>
        <w:tc>
          <w:tcPr>
            <w:tcW w:w="1259" w:type="dxa"/>
            <w:tcBorders>
              <w:top w:val="nil"/>
              <w:left w:val="nil"/>
              <w:bottom w:val="nil"/>
              <w:right w:val="nil"/>
            </w:tcBorders>
            <w:shd w:val="clear" w:color="auto" w:fill="auto"/>
            <w:noWrap/>
            <w:vAlign w:val="center"/>
            <w:hideMark/>
          </w:tcPr>
          <w:p w14:paraId="173AC1B7" w14:textId="77777777" w:rsidR="005B5D28" w:rsidRPr="00763409" w:rsidRDefault="005B5D28" w:rsidP="00DE5626">
            <w:pPr>
              <w:spacing w:after="0" w:line="240" w:lineRule="auto"/>
              <w:jc w:val="right"/>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8 526 503</w:t>
            </w:r>
          </w:p>
        </w:tc>
        <w:tc>
          <w:tcPr>
            <w:tcW w:w="1313" w:type="dxa"/>
            <w:tcBorders>
              <w:top w:val="nil"/>
              <w:left w:val="nil"/>
              <w:bottom w:val="single" w:sz="4" w:space="0" w:color="auto"/>
              <w:right w:val="nil"/>
            </w:tcBorders>
            <w:shd w:val="clear" w:color="auto" w:fill="auto"/>
            <w:noWrap/>
            <w:vAlign w:val="center"/>
            <w:hideMark/>
          </w:tcPr>
          <w:p w14:paraId="4C9EB2F1" w14:textId="77777777" w:rsidR="005B5D28" w:rsidRPr="00763409" w:rsidRDefault="005B5D28" w:rsidP="00DE5626">
            <w:pPr>
              <w:spacing w:after="0" w:line="240" w:lineRule="auto"/>
              <w:jc w:val="right"/>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11 375 265</w:t>
            </w:r>
          </w:p>
        </w:tc>
      </w:tr>
      <w:tr w:rsidR="00DE5626" w:rsidRPr="00763409" w14:paraId="4466B23A" w14:textId="77777777" w:rsidTr="002B7CEF">
        <w:trPr>
          <w:trHeight w:val="70"/>
          <w:jc w:val="center"/>
        </w:trPr>
        <w:tc>
          <w:tcPr>
            <w:tcW w:w="3402" w:type="dxa"/>
            <w:tcBorders>
              <w:top w:val="single" w:sz="4" w:space="0" w:color="auto"/>
              <w:left w:val="nil"/>
              <w:bottom w:val="nil"/>
              <w:right w:val="nil"/>
            </w:tcBorders>
            <w:shd w:val="clear" w:color="auto" w:fill="auto"/>
            <w:noWrap/>
            <w:vAlign w:val="center"/>
            <w:hideMark/>
          </w:tcPr>
          <w:p w14:paraId="6E41363A" w14:textId="77777777" w:rsidR="005B5D28" w:rsidRPr="00763409" w:rsidRDefault="005B5D28" w:rsidP="005B5D28">
            <w:pPr>
              <w:spacing w:after="0" w:line="240" w:lineRule="auto"/>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Fondos de Capitalización Laboral</w:t>
            </w:r>
          </w:p>
        </w:tc>
        <w:tc>
          <w:tcPr>
            <w:tcW w:w="1985" w:type="dxa"/>
            <w:tcBorders>
              <w:top w:val="single" w:sz="4" w:space="0" w:color="auto"/>
              <w:left w:val="nil"/>
              <w:bottom w:val="nil"/>
              <w:right w:val="nil"/>
            </w:tcBorders>
            <w:shd w:val="clear" w:color="auto" w:fill="auto"/>
            <w:noWrap/>
            <w:vAlign w:val="center"/>
            <w:hideMark/>
          </w:tcPr>
          <w:p w14:paraId="4A21D55F"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62 164</w:t>
            </w:r>
          </w:p>
        </w:tc>
        <w:tc>
          <w:tcPr>
            <w:tcW w:w="1410" w:type="dxa"/>
            <w:tcBorders>
              <w:top w:val="single" w:sz="4" w:space="0" w:color="auto"/>
              <w:left w:val="nil"/>
              <w:bottom w:val="nil"/>
              <w:right w:val="nil"/>
            </w:tcBorders>
            <w:shd w:val="clear" w:color="auto" w:fill="auto"/>
            <w:noWrap/>
            <w:vAlign w:val="center"/>
            <w:hideMark/>
          </w:tcPr>
          <w:p w14:paraId="360A2F9A"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37 467</w:t>
            </w:r>
          </w:p>
        </w:tc>
        <w:tc>
          <w:tcPr>
            <w:tcW w:w="1263" w:type="dxa"/>
            <w:tcBorders>
              <w:top w:val="single" w:sz="4" w:space="0" w:color="auto"/>
              <w:left w:val="nil"/>
              <w:bottom w:val="nil"/>
              <w:right w:val="nil"/>
            </w:tcBorders>
            <w:shd w:val="clear" w:color="auto" w:fill="auto"/>
            <w:noWrap/>
            <w:vAlign w:val="center"/>
            <w:hideMark/>
          </w:tcPr>
          <w:p w14:paraId="15CE5278"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192 810</w:t>
            </w:r>
          </w:p>
        </w:tc>
        <w:tc>
          <w:tcPr>
            <w:tcW w:w="1259" w:type="dxa"/>
            <w:tcBorders>
              <w:top w:val="single" w:sz="4" w:space="0" w:color="auto"/>
              <w:left w:val="nil"/>
              <w:bottom w:val="nil"/>
              <w:right w:val="nil"/>
            </w:tcBorders>
            <w:shd w:val="clear" w:color="auto" w:fill="auto"/>
            <w:noWrap/>
            <w:vAlign w:val="center"/>
            <w:hideMark/>
          </w:tcPr>
          <w:p w14:paraId="1242A3BE"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322 962</w:t>
            </w:r>
          </w:p>
        </w:tc>
        <w:tc>
          <w:tcPr>
            <w:tcW w:w="1313" w:type="dxa"/>
            <w:tcBorders>
              <w:top w:val="nil"/>
              <w:left w:val="nil"/>
              <w:bottom w:val="nil"/>
              <w:right w:val="nil"/>
            </w:tcBorders>
            <w:shd w:val="clear" w:color="auto" w:fill="auto"/>
            <w:noWrap/>
            <w:vAlign w:val="center"/>
            <w:hideMark/>
          </w:tcPr>
          <w:p w14:paraId="2A56ECD6" w14:textId="77777777" w:rsidR="005B5D28" w:rsidRPr="00763409" w:rsidRDefault="005B5D28" w:rsidP="00DE5626">
            <w:pPr>
              <w:spacing w:after="0" w:line="240" w:lineRule="auto"/>
              <w:jc w:val="right"/>
              <w:rPr>
                <w:rFonts w:asciiTheme="majorHAnsi" w:eastAsia="Times New Roman" w:hAnsiTheme="majorHAnsi" w:cstheme="minorHAnsi"/>
                <w:color w:val="000000"/>
                <w:lang w:val="es-CR" w:eastAsia="es-CR"/>
              </w:rPr>
            </w:pPr>
            <w:r w:rsidRPr="00763409">
              <w:rPr>
                <w:rFonts w:asciiTheme="majorHAnsi" w:eastAsia="Times New Roman" w:hAnsiTheme="majorHAnsi" w:cstheme="minorHAnsi"/>
                <w:color w:val="000000"/>
                <w:lang w:val="es-CR" w:eastAsia="es-CR"/>
              </w:rPr>
              <w:t xml:space="preserve">615 402 </w:t>
            </w:r>
          </w:p>
        </w:tc>
      </w:tr>
      <w:tr w:rsidR="00DE5626" w:rsidRPr="00763409" w14:paraId="3881787D" w14:textId="77777777" w:rsidTr="002B7CEF">
        <w:trPr>
          <w:trHeight w:val="80"/>
          <w:jc w:val="center"/>
        </w:trPr>
        <w:tc>
          <w:tcPr>
            <w:tcW w:w="3402" w:type="dxa"/>
            <w:tcBorders>
              <w:top w:val="nil"/>
              <w:left w:val="nil"/>
              <w:bottom w:val="single" w:sz="4" w:space="0" w:color="auto"/>
              <w:right w:val="nil"/>
            </w:tcBorders>
            <w:shd w:val="clear" w:color="auto" w:fill="auto"/>
            <w:noWrap/>
            <w:vAlign w:val="center"/>
            <w:hideMark/>
          </w:tcPr>
          <w:p w14:paraId="4580CDB5" w14:textId="77777777" w:rsidR="005B5D28" w:rsidRPr="00763409" w:rsidRDefault="005B5D28" w:rsidP="005B5D28">
            <w:pPr>
              <w:spacing w:after="0" w:line="240" w:lineRule="auto"/>
              <w:rPr>
                <w:rFonts w:asciiTheme="majorHAnsi" w:eastAsia="Times New Roman" w:hAnsiTheme="majorHAnsi" w:cstheme="minorHAnsi"/>
                <w:b/>
                <w:bCs/>
                <w:color w:val="000000"/>
                <w:lang w:val="es-CR" w:eastAsia="es-CR"/>
              </w:rPr>
            </w:pPr>
            <w:r w:rsidRPr="00763409">
              <w:rPr>
                <w:rFonts w:asciiTheme="majorHAnsi" w:eastAsia="Times New Roman" w:hAnsiTheme="majorHAnsi" w:cstheme="minorHAnsi"/>
                <w:b/>
                <w:bCs/>
                <w:color w:val="000000"/>
                <w:lang w:val="es-CR" w:eastAsia="es-CR"/>
              </w:rPr>
              <w:t xml:space="preserve">Total </w:t>
            </w:r>
          </w:p>
        </w:tc>
        <w:tc>
          <w:tcPr>
            <w:tcW w:w="1985" w:type="dxa"/>
            <w:tcBorders>
              <w:top w:val="nil"/>
              <w:left w:val="nil"/>
              <w:bottom w:val="single" w:sz="4" w:space="0" w:color="auto"/>
              <w:right w:val="nil"/>
            </w:tcBorders>
            <w:shd w:val="clear" w:color="auto" w:fill="auto"/>
            <w:noWrap/>
            <w:vAlign w:val="center"/>
            <w:hideMark/>
          </w:tcPr>
          <w:p w14:paraId="43F0C857" w14:textId="77777777" w:rsidR="005B5D28" w:rsidRPr="00763409" w:rsidRDefault="005B5D28" w:rsidP="00DE5626">
            <w:pPr>
              <w:spacing w:after="0" w:line="240" w:lineRule="auto"/>
              <w:jc w:val="right"/>
              <w:rPr>
                <w:rFonts w:asciiTheme="majorHAnsi" w:eastAsia="Times New Roman" w:hAnsiTheme="majorHAnsi" w:cstheme="minorHAnsi"/>
                <w:b/>
                <w:color w:val="000000"/>
                <w:lang w:val="es-CR" w:eastAsia="es-CR"/>
              </w:rPr>
            </w:pPr>
            <w:r w:rsidRPr="00763409">
              <w:rPr>
                <w:rFonts w:asciiTheme="majorHAnsi" w:eastAsia="Times New Roman" w:hAnsiTheme="majorHAnsi" w:cstheme="minorHAnsi"/>
                <w:b/>
                <w:color w:val="000000"/>
                <w:lang w:val="es-CR" w:eastAsia="es-CR"/>
              </w:rPr>
              <w:t>260 680</w:t>
            </w:r>
          </w:p>
        </w:tc>
        <w:tc>
          <w:tcPr>
            <w:tcW w:w="1410" w:type="dxa"/>
            <w:tcBorders>
              <w:top w:val="nil"/>
              <w:left w:val="nil"/>
              <w:bottom w:val="single" w:sz="4" w:space="0" w:color="auto"/>
              <w:right w:val="nil"/>
            </w:tcBorders>
            <w:shd w:val="clear" w:color="auto" w:fill="auto"/>
            <w:noWrap/>
            <w:vAlign w:val="center"/>
            <w:hideMark/>
          </w:tcPr>
          <w:p w14:paraId="0A0E0B47" w14:textId="77777777" w:rsidR="005B5D28" w:rsidRPr="00763409" w:rsidRDefault="005B5D28" w:rsidP="00DE5626">
            <w:pPr>
              <w:spacing w:after="0" w:line="240" w:lineRule="auto"/>
              <w:jc w:val="right"/>
              <w:rPr>
                <w:rFonts w:asciiTheme="majorHAnsi" w:eastAsia="Times New Roman" w:hAnsiTheme="majorHAnsi" w:cstheme="minorHAnsi"/>
                <w:b/>
                <w:color w:val="000000"/>
                <w:lang w:val="es-CR" w:eastAsia="es-CR"/>
              </w:rPr>
            </w:pPr>
            <w:r w:rsidRPr="00763409">
              <w:rPr>
                <w:rFonts w:asciiTheme="majorHAnsi" w:eastAsia="Times New Roman" w:hAnsiTheme="majorHAnsi" w:cstheme="minorHAnsi"/>
                <w:b/>
                <w:color w:val="000000"/>
                <w:lang w:val="es-CR" w:eastAsia="es-CR"/>
              </w:rPr>
              <w:t>792 210</w:t>
            </w:r>
          </w:p>
        </w:tc>
        <w:tc>
          <w:tcPr>
            <w:tcW w:w="1263" w:type="dxa"/>
            <w:tcBorders>
              <w:top w:val="nil"/>
              <w:left w:val="nil"/>
              <w:bottom w:val="single" w:sz="4" w:space="0" w:color="auto"/>
              <w:right w:val="nil"/>
            </w:tcBorders>
            <w:shd w:val="clear" w:color="auto" w:fill="auto"/>
            <w:noWrap/>
            <w:vAlign w:val="center"/>
            <w:hideMark/>
          </w:tcPr>
          <w:p w14:paraId="5EDD5F3D" w14:textId="77777777" w:rsidR="005B5D28" w:rsidRPr="00763409" w:rsidRDefault="00DE5626" w:rsidP="00DE5626">
            <w:pPr>
              <w:spacing w:after="0" w:line="240" w:lineRule="auto"/>
              <w:jc w:val="right"/>
              <w:rPr>
                <w:rFonts w:asciiTheme="majorHAnsi" w:eastAsia="Times New Roman" w:hAnsiTheme="majorHAnsi" w:cstheme="minorHAnsi"/>
                <w:b/>
                <w:color w:val="000000"/>
                <w:lang w:val="es-CR" w:eastAsia="es-CR"/>
              </w:rPr>
            </w:pPr>
            <w:r w:rsidRPr="00763409">
              <w:rPr>
                <w:rFonts w:asciiTheme="majorHAnsi" w:eastAsia="Times New Roman" w:hAnsiTheme="majorHAnsi" w:cstheme="minorHAnsi"/>
                <w:b/>
                <w:color w:val="000000"/>
                <w:lang w:val="es-CR" w:eastAsia="es-CR"/>
              </w:rPr>
              <w:t>2 088 313</w:t>
            </w:r>
          </w:p>
        </w:tc>
        <w:tc>
          <w:tcPr>
            <w:tcW w:w="1259" w:type="dxa"/>
            <w:tcBorders>
              <w:top w:val="nil"/>
              <w:left w:val="nil"/>
              <w:bottom w:val="single" w:sz="4" w:space="0" w:color="auto"/>
              <w:right w:val="nil"/>
            </w:tcBorders>
            <w:shd w:val="clear" w:color="auto" w:fill="auto"/>
            <w:noWrap/>
            <w:vAlign w:val="center"/>
            <w:hideMark/>
          </w:tcPr>
          <w:p w14:paraId="25B7DB69" w14:textId="77777777" w:rsidR="005B5D28" w:rsidRPr="00763409" w:rsidRDefault="00DE5626" w:rsidP="00DE5626">
            <w:pPr>
              <w:spacing w:after="0" w:line="240" w:lineRule="auto"/>
              <w:jc w:val="right"/>
              <w:rPr>
                <w:rFonts w:asciiTheme="majorHAnsi" w:eastAsia="Times New Roman" w:hAnsiTheme="majorHAnsi" w:cstheme="minorHAnsi"/>
                <w:b/>
                <w:color w:val="000000"/>
                <w:lang w:val="es-CR" w:eastAsia="es-CR"/>
              </w:rPr>
            </w:pPr>
            <w:r w:rsidRPr="00763409">
              <w:rPr>
                <w:rFonts w:asciiTheme="majorHAnsi" w:eastAsia="Times New Roman" w:hAnsiTheme="majorHAnsi" w:cstheme="minorHAnsi"/>
                <w:b/>
                <w:color w:val="000000"/>
                <w:lang w:val="es-CR" w:eastAsia="es-CR"/>
              </w:rPr>
              <w:t>8 849 465</w:t>
            </w:r>
          </w:p>
        </w:tc>
        <w:tc>
          <w:tcPr>
            <w:tcW w:w="1313" w:type="dxa"/>
            <w:tcBorders>
              <w:top w:val="nil"/>
              <w:left w:val="nil"/>
              <w:bottom w:val="single" w:sz="4" w:space="0" w:color="auto"/>
              <w:right w:val="nil"/>
            </w:tcBorders>
            <w:shd w:val="clear" w:color="auto" w:fill="auto"/>
            <w:noWrap/>
            <w:vAlign w:val="center"/>
            <w:hideMark/>
          </w:tcPr>
          <w:p w14:paraId="2F8B9EE2" w14:textId="77777777" w:rsidR="005B5D28" w:rsidRPr="00763409" w:rsidRDefault="005B5D28" w:rsidP="00DE5626">
            <w:pPr>
              <w:spacing w:after="0" w:line="240" w:lineRule="auto"/>
              <w:jc w:val="right"/>
              <w:rPr>
                <w:rFonts w:asciiTheme="majorHAnsi" w:eastAsia="Times New Roman" w:hAnsiTheme="majorHAnsi" w:cstheme="minorHAnsi"/>
                <w:b/>
                <w:color w:val="000000"/>
                <w:lang w:val="es-CR" w:eastAsia="es-CR"/>
              </w:rPr>
            </w:pPr>
            <w:r w:rsidRPr="00763409">
              <w:rPr>
                <w:rFonts w:asciiTheme="majorHAnsi" w:eastAsia="Times New Roman" w:hAnsiTheme="majorHAnsi" w:cstheme="minorHAnsi"/>
                <w:b/>
                <w:color w:val="000000"/>
                <w:lang w:val="es-CR" w:eastAsia="es-CR"/>
              </w:rPr>
              <w:t>11 990 667</w:t>
            </w:r>
          </w:p>
        </w:tc>
      </w:tr>
    </w:tbl>
    <w:p w14:paraId="4909C1FB" w14:textId="77777777" w:rsidR="005B5D28" w:rsidRPr="009B7058" w:rsidRDefault="00DE5626" w:rsidP="00DE5626">
      <w:pPr>
        <w:spacing w:after="0" w:line="240" w:lineRule="auto"/>
        <w:rPr>
          <w:rFonts w:asciiTheme="majorHAnsi" w:hAnsiTheme="majorHAnsi" w:cstheme="minorHAnsi"/>
          <w:sz w:val="20"/>
          <w:lang w:val="es-CR"/>
        </w:rPr>
      </w:pPr>
      <w:r w:rsidRPr="009B7058">
        <w:rPr>
          <w:rFonts w:asciiTheme="majorHAnsi" w:hAnsiTheme="majorHAnsi" w:cstheme="minorHAnsi"/>
          <w:sz w:val="20"/>
          <w:lang w:val="es-CR"/>
        </w:rPr>
        <w:t>Fuente: Elaboración propia con datos suministrados por las entidades</w:t>
      </w:r>
    </w:p>
    <w:p w14:paraId="2DBF0D7D" w14:textId="77777777" w:rsidR="00947FD6" w:rsidRDefault="00947FD6" w:rsidP="00DE5626">
      <w:pPr>
        <w:spacing w:after="0" w:line="240" w:lineRule="auto"/>
        <w:rPr>
          <w:rFonts w:asciiTheme="majorHAnsi" w:hAnsiTheme="majorHAnsi" w:cstheme="minorHAnsi"/>
          <w:b/>
        </w:rPr>
      </w:pPr>
    </w:p>
    <w:p w14:paraId="412A85AF" w14:textId="77777777" w:rsidR="00947FD6" w:rsidRDefault="00947FD6" w:rsidP="00947FD6">
      <w:pPr>
        <w:spacing w:after="0" w:line="240" w:lineRule="auto"/>
        <w:jc w:val="both"/>
        <w:rPr>
          <w:rFonts w:asciiTheme="majorHAnsi" w:hAnsiTheme="majorHAnsi" w:cstheme="minorHAnsi"/>
        </w:rPr>
      </w:pPr>
      <w:r w:rsidRPr="008F5D99">
        <w:rPr>
          <w:rFonts w:asciiTheme="majorHAnsi" w:hAnsiTheme="majorHAnsi" w:cstheme="minorHAnsi"/>
        </w:rPr>
        <w:t xml:space="preserve">Los gestores con más recursos invertidos en el Sector Público local son en primer lugar el IVM con 1,9 billones de colones, seguido por el fondo de Capitalización Colectiva del Magisterio nacional (FCCMN) con 1,7 billones de colones, en tercer lugar, Popular Pensiones con 1,4 billones </w:t>
      </w:r>
      <w:r w:rsidRPr="008F5D99">
        <w:rPr>
          <w:rFonts w:asciiTheme="majorHAnsi" w:hAnsiTheme="majorHAnsi" w:cstheme="minorHAnsi"/>
        </w:rPr>
        <w:lastRenderedPageBreak/>
        <w:t>de colones, en cuarto lugar, BN-Vital con 0,9 billones de colones y en quinto lugar BCR Pensión con 0,7 billones de colones. Estas cinco entidades representan el 75,2% del total de activos invertidos en el Sector Público local.</w:t>
      </w:r>
    </w:p>
    <w:p w14:paraId="6B62F1B3" w14:textId="77777777" w:rsidR="00947FD6" w:rsidRDefault="00947FD6" w:rsidP="00947FD6">
      <w:pPr>
        <w:spacing w:after="0" w:line="240" w:lineRule="auto"/>
        <w:jc w:val="both"/>
        <w:rPr>
          <w:rFonts w:asciiTheme="majorHAnsi" w:hAnsiTheme="majorHAnsi" w:cstheme="minorHAnsi"/>
          <w:b/>
        </w:rPr>
      </w:pPr>
    </w:p>
    <w:p w14:paraId="590273C5" w14:textId="77777777" w:rsidR="00947FD6" w:rsidRPr="00947FD6" w:rsidRDefault="00A873F0" w:rsidP="00947FD6">
      <w:pPr>
        <w:rPr>
          <w:rFonts w:asciiTheme="majorHAnsi" w:hAnsiTheme="majorHAnsi" w:cstheme="minorHAnsi"/>
          <w:b/>
        </w:rPr>
      </w:pPr>
      <w:r>
        <w:rPr>
          <w:rFonts w:asciiTheme="majorHAnsi" w:hAnsiTheme="majorHAnsi" w:cstheme="minorHAnsi"/>
          <w:b/>
        </w:rPr>
        <w:t>Límite</w:t>
      </w:r>
      <w:r w:rsidR="004C63EC">
        <w:rPr>
          <w:rFonts w:asciiTheme="majorHAnsi" w:hAnsiTheme="majorHAnsi" w:cstheme="minorHAnsi"/>
          <w:b/>
        </w:rPr>
        <w:t>s de las inversiones</w:t>
      </w:r>
    </w:p>
    <w:p w14:paraId="59E5638E" w14:textId="77777777" w:rsidR="004C63EC" w:rsidRDefault="00A873F0" w:rsidP="004C63EC">
      <w:pPr>
        <w:spacing w:after="0" w:line="240" w:lineRule="auto"/>
        <w:jc w:val="both"/>
        <w:rPr>
          <w:rFonts w:asciiTheme="majorHAnsi" w:hAnsiTheme="majorHAnsi" w:cstheme="minorHAnsi"/>
        </w:rPr>
      </w:pPr>
      <w:r>
        <w:rPr>
          <w:rFonts w:asciiTheme="majorHAnsi" w:hAnsiTheme="majorHAnsi" w:cstheme="minorHAnsi"/>
        </w:rPr>
        <w:t xml:space="preserve">De manera prudencial el RGA establece límites </w:t>
      </w:r>
      <w:r w:rsidR="004C63EC">
        <w:rPr>
          <w:rFonts w:asciiTheme="majorHAnsi" w:hAnsiTheme="majorHAnsi" w:cstheme="minorHAnsi"/>
        </w:rPr>
        <w:t xml:space="preserve">para la gestión de las inversiones de los fondos, que tienen como fin promover una adecuada diversificación de los portafolios. Sin embargo, es responsabilidad de las entidades reguladas definir los límites en función de los objetivos y riesgos determinados para los fondos en aras de la mejor relación posible entre riesgo y rendimiento. </w:t>
      </w:r>
    </w:p>
    <w:p w14:paraId="02F2C34E" w14:textId="77777777" w:rsidR="004C63EC" w:rsidRDefault="004C63EC" w:rsidP="004C63EC">
      <w:pPr>
        <w:spacing w:after="0" w:line="240" w:lineRule="auto"/>
        <w:jc w:val="both"/>
        <w:rPr>
          <w:rFonts w:asciiTheme="majorHAnsi" w:hAnsiTheme="majorHAnsi" w:cstheme="minorHAnsi"/>
        </w:rPr>
      </w:pPr>
    </w:p>
    <w:p w14:paraId="2ECCC617" w14:textId="77777777" w:rsidR="004C63EC" w:rsidRDefault="004C63EC" w:rsidP="004C63EC">
      <w:pPr>
        <w:spacing w:after="0" w:line="240" w:lineRule="auto"/>
        <w:jc w:val="both"/>
        <w:rPr>
          <w:rFonts w:asciiTheme="majorHAnsi" w:hAnsiTheme="majorHAnsi" w:cstheme="minorHAnsi"/>
        </w:rPr>
      </w:pPr>
      <w:r>
        <w:rPr>
          <w:rFonts w:asciiTheme="majorHAnsi" w:hAnsiTheme="majorHAnsi" w:cstheme="minorHAnsi"/>
        </w:rPr>
        <w:t>Los límites señalados en este Reglamento no constituyen una política de inversión de los fondos administrados, por lo que las entidades reguladas tienen un transitorio de seis meses</w:t>
      </w:r>
      <w:r>
        <w:rPr>
          <w:rStyle w:val="Refdenotaalpie"/>
          <w:rFonts w:asciiTheme="majorHAnsi" w:hAnsiTheme="majorHAnsi" w:cstheme="minorHAnsi"/>
        </w:rPr>
        <w:footnoteReference w:id="3"/>
      </w:r>
      <w:r>
        <w:rPr>
          <w:rFonts w:asciiTheme="majorHAnsi" w:hAnsiTheme="majorHAnsi" w:cstheme="minorHAnsi"/>
        </w:rPr>
        <w:t xml:space="preserve"> para el cumplimiento de lo establecido en el </w:t>
      </w:r>
      <w:r w:rsidRPr="00A873F0">
        <w:rPr>
          <w:rFonts w:asciiTheme="majorHAnsi" w:hAnsiTheme="majorHAnsi" w:cstheme="minorHAnsi"/>
          <w:i/>
        </w:rPr>
        <w:t>“Título II. Gobierno de las Inversiones”</w:t>
      </w:r>
      <w:r>
        <w:rPr>
          <w:rFonts w:asciiTheme="majorHAnsi" w:hAnsiTheme="majorHAnsi" w:cstheme="minorHAnsi"/>
        </w:rPr>
        <w:t xml:space="preserve"> del RGA, donde se establecen los principios relativos a la gestión de los activos sobre la planificación estratégica de las inversiones, la política de inversiones, el manejo de las inversiones (administración prudente, debida diligencia, toma de decisiones, idoneidad, separación de funciones, costo-beneficio, dotación de recursos y rendición de cuentas), y aspectos relacionados con el comité de inversiones.</w:t>
      </w:r>
    </w:p>
    <w:p w14:paraId="680A4E5D" w14:textId="77777777" w:rsidR="004C63EC" w:rsidRDefault="004C63EC" w:rsidP="00947FD6">
      <w:pPr>
        <w:spacing w:after="0" w:line="240" w:lineRule="auto"/>
        <w:jc w:val="both"/>
        <w:rPr>
          <w:rFonts w:asciiTheme="majorHAnsi" w:hAnsiTheme="majorHAnsi" w:cstheme="minorHAnsi"/>
        </w:rPr>
      </w:pPr>
    </w:p>
    <w:p w14:paraId="62FBCB53" w14:textId="77777777" w:rsidR="00900928" w:rsidRPr="00900928" w:rsidRDefault="00900928" w:rsidP="00900928">
      <w:pPr>
        <w:rPr>
          <w:rFonts w:asciiTheme="majorHAnsi" w:hAnsiTheme="majorHAnsi" w:cstheme="minorHAnsi"/>
          <w:b/>
        </w:rPr>
      </w:pPr>
      <w:r w:rsidRPr="00900928">
        <w:rPr>
          <w:rFonts w:asciiTheme="majorHAnsi" w:hAnsiTheme="majorHAnsi" w:cstheme="minorHAnsi"/>
          <w:b/>
        </w:rPr>
        <w:t>Sector Público Local</w:t>
      </w:r>
    </w:p>
    <w:p w14:paraId="4FFE4A4C" w14:textId="77777777" w:rsidR="004C63EC" w:rsidRDefault="004C63EC" w:rsidP="00947FD6">
      <w:pPr>
        <w:spacing w:after="0" w:line="240" w:lineRule="auto"/>
        <w:jc w:val="both"/>
        <w:rPr>
          <w:rFonts w:asciiTheme="majorHAnsi" w:hAnsiTheme="majorHAnsi" w:cstheme="minorHAnsi"/>
        </w:rPr>
      </w:pPr>
      <w:r>
        <w:rPr>
          <w:rFonts w:asciiTheme="majorHAnsi" w:hAnsiTheme="majorHAnsi" w:cstheme="minorHAnsi"/>
        </w:rPr>
        <w:t>Al analizar el límite del sector público local al 31 de diciembre del 201</w:t>
      </w:r>
      <w:r w:rsidR="006920CB">
        <w:rPr>
          <w:rFonts w:asciiTheme="majorHAnsi" w:hAnsiTheme="majorHAnsi" w:cstheme="minorHAnsi"/>
        </w:rPr>
        <w:t>8</w:t>
      </w:r>
      <w:r>
        <w:rPr>
          <w:rFonts w:asciiTheme="majorHAnsi" w:hAnsiTheme="majorHAnsi" w:cstheme="minorHAnsi"/>
        </w:rPr>
        <w:t xml:space="preserve">, podemos observar que en el caso de las operadoras de pensiones todos los fondos están por debajo del </w:t>
      </w:r>
      <w:r w:rsidR="00D1171C">
        <w:rPr>
          <w:rFonts w:asciiTheme="majorHAnsi" w:hAnsiTheme="majorHAnsi" w:cstheme="minorHAnsi"/>
        </w:rPr>
        <w:t>71</w:t>
      </w:r>
      <w:r>
        <w:rPr>
          <w:rFonts w:asciiTheme="majorHAnsi" w:hAnsiTheme="majorHAnsi" w:cstheme="minorHAnsi"/>
        </w:rPr>
        <w:t>%</w:t>
      </w:r>
      <w:r w:rsidR="00D1171C">
        <w:rPr>
          <w:rFonts w:asciiTheme="majorHAnsi" w:hAnsiTheme="majorHAnsi" w:cstheme="minorHAnsi"/>
        </w:rPr>
        <w:t>. En el caso del ROP, la entidad más concentrada es BCR Pensión con un 71% y la que tiene menos inversiones del sector es CCSS OPC con un 44% del total del activo administrado.</w:t>
      </w:r>
    </w:p>
    <w:p w14:paraId="19219836" w14:textId="77777777" w:rsidR="00F76E5A" w:rsidRPr="008F5D99" w:rsidRDefault="00F76E5A" w:rsidP="00947FD6">
      <w:pPr>
        <w:spacing w:after="0" w:line="240" w:lineRule="auto"/>
        <w:jc w:val="both"/>
        <w:rPr>
          <w:rFonts w:asciiTheme="majorHAnsi" w:hAnsiTheme="majorHAnsi" w:cstheme="minorHAnsi"/>
        </w:rPr>
      </w:pPr>
    </w:p>
    <w:p w14:paraId="6DD3159A" w14:textId="7628F4A1" w:rsidR="00F76E5A" w:rsidRDefault="00F76E5A" w:rsidP="00F76E5A">
      <w:pPr>
        <w:spacing w:after="0" w:line="240" w:lineRule="auto"/>
        <w:jc w:val="center"/>
        <w:rPr>
          <w:rFonts w:asciiTheme="majorHAnsi" w:hAnsiTheme="majorHAnsi" w:cstheme="minorHAnsi"/>
        </w:rPr>
      </w:pPr>
      <w:r w:rsidRPr="0033676D">
        <w:rPr>
          <w:rFonts w:asciiTheme="majorHAnsi" w:hAnsiTheme="majorHAnsi" w:cstheme="minorHAnsi"/>
        </w:rPr>
        <w:t xml:space="preserve">Gráfico </w:t>
      </w:r>
      <w:r w:rsidRPr="0033676D">
        <w:rPr>
          <w:rFonts w:asciiTheme="majorHAnsi" w:hAnsiTheme="majorHAnsi" w:cstheme="minorHAnsi"/>
        </w:rPr>
        <w:fldChar w:fldCharType="begin"/>
      </w:r>
      <w:r w:rsidRPr="0033676D">
        <w:rPr>
          <w:rFonts w:asciiTheme="majorHAnsi" w:hAnsiTheme="majorHAnsi" w:cstheme="minorHAnsi"/>
        </w:rPr>
        <w:instrText xml:space="preserve"> SEQ Gráfico \* ARABIC </w:instrText>
      </w:r>
      <w:r w:rsidRPr="0033676D">
        <w:rPr>
          <w:rFonts w:asciiTheme="majorHAnsi" w:hAnsiTheme="majorHAnsi" w:cstheme="minorHAnsi"/>
        </w:rPr>
        <w:fldChar w:fldCharType="separate"/>
      </w:r>
      <w:r w:rsidR="00F7428D">
        <w:rPr>
          <w:rFonts w:asciiTheme="majorHAnsi" w:hAnsiTheme="majorHAnsi" w:cstheme="minorHAnsi"/>
          <w:noProof/>
        </w:rPr>
        <w:t>2</w:t>
      </w:r>
      <w:r w:rsidRPr="0033676D">
        <w:rPr>
          <w:rFonts w:asciiTheme="majorHAnsi" w:hAnsiTheme="majorHAnsi" w:cstheme="minorHAnsi"/>
        </w:rPr>
        <w:fldChar w:fldCharType="end"/>
      </w:r>
    </w:p>
    <w:p w14:paraId="3F5DDB4B" w14:textId="77777777" w:rsidR="00947FD6" w:rsidRDefault="002E3FEA" w:rsidP="00947FD6">
      <w:pPr>
        <w:spacing w:after="0" w:line="240" w:lineRule="auto"/>
        <w:jc w:val="center"/>
        <w:rPr>
          <w:rFonts w:asciiTheme="majorHAnsi" w:hAnsiTheme="majorHAnsi" w:cstheme="minorHAnsi"/>
        </w:rPr>
      </w:pPr>
      <w:r>
        <w:rPr>
          <w:rFonts w:asciiTheme="majorHAnsi" w:hAnsiTheme="majorHAnsi" w:cstheme="minorHAnsi"/>
        </w:rPr>
        <w:t xml:space="preserve">Límite en </w:t>
      </w:r>
      <w:r w:rsidR="00947FD6">
        <w:rPr>
          <w:rFonts w:asciiTheme="majorHAnsi" w:hAnsiTheme="majorHAnsi" w:cstheme="minorHAnsi"/>
        </w:rPr>
        <w:t>S</w:t>
      </w:r>
      <w:r>
        <w:rPr>
          <w:rFonts w:asciiTheme="majorHAnsi" w:hAnsiTheme="majorHAnsi" w:cstheme="minorHAnsi"/>
        </w:rPr>
        <w:t xml:space="preserve">ector </w:t>
      </w:r>
      <w:r w:rsidR="00947FD6">
        <w:rPr>
          <w:rFonts w:asciiTheme="majorHAnsi" w:hAnsiTheme="majorHAnsi" w:cstheme="minorHAnsi"/>
        </w:rPr>
        <w:t>P</w:t>
      </w:r>
      <w:r>
        <w:rPr>
          <w:rFonts w:asciiTheme="majorHAnsi" w:hAnsiTheme="majorHAnsi" w:cstheme="minorHAnsi"/>
        </w:rPr>
        <w:t>úblico</w:t>
      </w:r>
      <w:r w:rsidR="00947FD6">
        <w:rPr>
          <w:rFonts w:asciiTheme="majorHAnsi" w:hAnsiTheme="majorHAnsi" w:cstheme="minorHAnsi"/>
        </w:rPr>
        <w:t xml:space="preserve"> Local</w:t>
      </w:r>
    </w:p>
    <w:p w14:paraId="1B11F200" w14:textId="77777777" w:rsidR="002E3FEA" w:rsidRDefault="00D03A51" w:rsidP="00947FD6">
      <w:pPr>
        <w:spacing w:after="0" w:line="240" w:lineRule="auto"/>
        <w:jc w:val="center"/>
        <w:rPr>
          <w:rFonts w:asciiTheme="majorHAnsi" w:hAnsiTheme="majorHAnsi" w:cstheme="minorHAnsi"/>
        </w:rPr>
      </w:pPr>
      <w:r>
        <w:rPr>
          <w:rFonts w:asciiTheme="majorHAnsi" w:hAnsiTheme="majorHAnsi" w:cstheme="minorHAnsi"/>
        </w:rPr>
        <w:t xml:space="preserve">De </w:t>
      </w:r>
      <w:r w:rsidR="005E0A6C">
        <w:rPr>
          <w:rFonts w:asciiTheme="majorHAnsi" w:hAnsiTheme="majorHAnsi" w:cstheme="minorHAnsi"/>
        </w:rPr>
        <w:t xml:space="preserve">los </w:t>
      </w:r>
      <w:r w:rsidR="002E3FEA">
        <w:rPr>
          <w:rFonts w:asciiTheme="majorHAnsi" w:hAnsiTheme="majorHAnsi" w:cstheme="minorHAnsi"/>
        </w:rPr>
        <w:t xml:space="preserve">fondos administrados por las </w:t>
      </w:r>
      <w:r w:rsidR="005E0A6C">
        <w:rPr>
          <w:rFonts w:asciiTheme="majorHAnsi" w:hAnsiTheme="majorHAnsi" w:cstheme="minorHAnsi"/>
        </w:rPr>
        <w:t>OPC</w:t>
      </w:r>
    </w:p>
    <w:p w14:paraId="104EC9FB" w14:textId="77777777" w:rsidR="00947FD6" w:rsidRDefault="00947FD6" w:rsidP="00947FD6">
      <w:pPr>
        <w:spacing w:after="0" w:line="240" w:lineRule="auto"/>
        <w:jc w:val="center"/>
        <w:rPr>
          <w:rFonts w:asciiTheme="majorHAnsi" w:hAnsiTheme="majorHAnsi" w:cstheme="minorHAnsi"/>
        </w:rPr>
      </w:pPr>
      <w:r>
        <w:rPr>
          <w:rFonts w:asciiTheme="majorHAnsi" w:hAnsiTheme="majorHAnsi" w:cstheme="minorHAnsi"/>
        </w:rPr>
        <w:t>A</w:t>
      </w:r>
      <w:r w:rsidR="006920CB">
        <w:rPr>
          <w:rFonts w:asciiTheme="majorHAnsi" w:hAnsiTheme="majorHAnsi" w:cstheme="minorHAnsi"/>
        </w:rPr>
        <w:t>l 31 de</w:t>
      </w:r>
      <w:r>
        <w:rPr>
          <w:rFonts w:asciiTheme="majorHAnsi" w:hAnsiTheme="majorHAnsi" w:cstheme="minorHAnsi"/>
        </w:rPr>
        <w:t xml:space="preserve"> d</w:t>
      </w:r>
      <w:r w:rsidRPr="008F5D99">
        <w:rPr>
          <w:rFonts w:asciiTheme="majorHAnsi" w:hAnsiTheme="majorHAnsi" w:cstheme="minorHAnsi"/>
        </w:rPr>
        <w:t>iciembre 2018</w:t>
      </w:r>
    </w:p>
    <w:p w14:paraId="296FEF7D" w14:textId="77777777" w:rsidR="00F76E5A" w:rsidRDefault="000A724A" w:rsidP="000A724A">
      <w:pPr>
        <w:spacing w:after="20" w:line="240" w:lineRule="auto"/>
        <w:jc w:val="center"/>
        <w:rPr>
          <w:rFonts w:asciiTheme="majorHAnsi" w:hAnsiTheme="majorHAnsi" w:cstheme="minorHAnsi"/>
        </w:rPr>
      </w:pPr>
      <w:r>
        <w:rPr>
          <w:noProof/>
        </w:rPr>
        <w:drawing>
          <wp:inline distT="0" distB="0" distL="0" distR="0" wp14:anchorId="7B68F2AD" wp14:editId="1E6D0C17">
            <wp:extent cx="4880758" cy="2167247"/>
            <wp:effectExtent l="0" t="0" r="15240" b="5080"/>
            <wp:docPr id="5" name="Gráfico 5">
              <a:extLst xmlns:a="http://schemas.openxmlformats.org/drawingml/2006/main">
                <a:ext uri="{FF2B5EF4-FFF2-40B4-BE49-F238E27FC236}">
                  <a16:creationId xmlns:a16="http://schemas.microsoft.com/office/drawing/2014/main" id="{184613CC-DC25-4F8B-BB81-3A78E3827D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0CBD68" w14:textId="77777777" w:rsidR="00D1171C" w:rsidRPr="009B7058" w:rsidRDefault="00D1171C" w:rsidP="009B7058">
      <w:pPr>
        <w:spacing w:after="20" w:line="240" w:lineRule="auto"/>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7194DBDC" w14:textId="58759C48" w:rsidR="004C63EC" w:rsidRDefault="004C63EC" w:rsidP="00947FD6">
      <w:pPr>
        <w:spacing w:after="0" w:line="240" w:lineRule="auto"/>
        <w:jc w:val="center"/>
        <w:rPr>
          <w:rFonts w:asciiTheme="majorHAnsi" w:hAnsiTheme="majorHAnsi" w:cstheme="minorHAnsi"/>
        </w:rPr>
      </w:pPr>
    </w:p>
    <w:p w14:paraId="32F94C66" w14:textId="77777777" w:rsidR="00F7428D" w:rsidRPr="00D03A51" w:rsidRDefault="00F7428D" w:rsidP="00947FD6">
      <w:pPr>
        <w:spacing w:after="0" w:line="240" w:lineRule="auto"/>
        <w:jc w:val="center"/>
        <w:rPr>
          <w:rFonts w:asciiTheme="majorHAnsi" w:hAnsiTheme="majorHAnsi" w:cstheme="minorHAnsi"/>
        </w:rPr>
      </w:pPr>
    </w:p>
    <w:p w14:paraId="5F6E43D2" w14:textId="77777777" w:rsidR="002E3FEA" w:rsidRDefault="00A15466" w:rsidP="007B4082">
      <w:pPr>
        <w:spacing w:after="0" w:line="240" w:lineRule="auto"/>
        <w:jc w:val="both"/>
        <w:rPr>
          <w:rFonts w:asciiTheme="majorHAnsi" w:hAnsiTheme="majorHAnsi" w:cstheme="minorHAnsi"/>
        </w:rPr>
      </w:pPr>
      <w:r>
        <w:rPr>
          <w:rFonts w:asciiTheme="majorHAnsi" w:hAnsiTheme="majorHAnsi" w:cstheme="minorHAnsi"/>
          <w:lang w:val="es-CR"/>
        </w:rPr>
        <w:lastRenderedPageBreak/>
        <w:t>De</w:t>
      </w:r>
      <w:r w:rsidR="00D1171C">
        <w:rPr>
          <w:rFonts w:asciiTheme="majorHAnsi" w:hAnsiTheme="majorHAnsi" w:cstheme="minorHAnsi"/>
          <w:lang w:val="es-CR"/>
        </w:rPr>
        <w:t xml:space="preserve"> los </w:t>
      </w:r>
      <w:r w:rsidR="00D1171C">
        <w:rPr>
          <w:rFonts w:asciiTheme="majorHAnsi" w:hAnsiTheme="majorHAnsi" w:cstheme="minorHAnsi"/>
        </w:rPr>
        <w:t>regímenes básicos</w:t>
      </w:r>
      <w:r w:rsidR="00436FB1">
        <w:rPr>
          <w:rFonts w:asciiTheme="majorHAnsi" w:hAnsiTheme="majorHAnsi" w:cstheme="minorHAnsi"/>
        </w:rPr>
        <w:t xml:space="preserve"> sólo</w:t>
      </w:r>
      <w:r w:rsidR="00D1171C">
        <w:rPr>
          <w:rFonts w:asciiTheme="majorHAnsi" w:hAnsiTheme="majorHAnsi" w:cstheme="minorHAnsi"/>
        </w:rPr>
        <w:t xml:space="preserve"> el Fondo del Poder Judicial</w:t>
      </w:r>
      <w:r w:rsidR="001E35D3">
        <w:rPr>
          <w:rFonts w:asciiTheme="majorHAnsi" w:hAnsiTheme="majorHAnsi" w:cstheme="minorHAnsi"/>
        </w:rPr>
        <w:t xml:space="preserve"> excede el 80% del límite </w:t>
      </w:r>
      <w:r w:rsidR="00436FB1">
        <w:rPr>
          <w:rFonts w:asciiTheme="majorHAnsi" w:hAnsiTheme="majorHAnsi" w:cstheme="minorHAnsi"/>
        </w:rPr>
        <w:t xml:space="preserve">prudencial del sector público local, </w:t>
      </w:r>
      <w:r>
        <w:rPr>
          <w:rFonts w:asciiTheme="majorHAnsi" w:hAnsiTheme="majorHAnsi" w:cstheme="minorHAnsi"/>
        </w:rPr>
        <w:t>establecido</w:t>
      </w:r>
      <w:r w:rsidR="001E35D3">
        <w:rPr>
          <w:rFonts w:asciiTheme="majorHAnsi" w:hAnsiTheme="majorHAnsi" w:cstheme="minorHAnsi"/>
        </w:rPr>
        <w:t xml:space="preserve"> en el artículo </w:t>
      </w:r>
      <w:r w:rsidR="00436FB1">
        <w:rPr>
          <w:rFonts w:asciiTheme="majorHAnsi" w:hAnsiTheme="majorHAnsi" w:cstheme="minorHAnsi"/>
        </w:rPr>
        <w:t xml:space="preserve">67 del RGA, </w:t>
      </w:r>
      <w:r w:rsidR="000F690D">
        <w:rPr>
          <w:rFonts w:asciiTheme="majorHAnsi" w:hAnsiTheme="majorHAnsi" w:cstheme="minorHAnsi"/>
        </w:rPr>
        <w:t>la composición d</w:t>
      </w:r>
      <w:r w:rsidR="00436FB1">
        <w:rPr>
          <w:rFonts w:asciiTheme="majorHAnsi" w:hAnsiTheme="majorHAnsi" w:cstheme="minorHAnsi"/>
        </w:rPr>
        <w:t>el portaf</w:t>
      </w:r>
      <w:r w:rsidR="000F690D">
        <w:rPr>
          <w:rFonts w:asciiTheme="majorHAnsi" w:hAnsiTheme="majorHAnsi" w:cstheme="minorHAnsi"/>
        </w:rPr>
        <w:t>o</w:t>
      </w:r>
      <w:r w:rsidR="00436FB1">
        <w:rPr>
          <w:rFonts w:asciiTheme="majorHAnsi" w:hAnsiTheme="majorHAnsi" w:cstheme="minorHAnsi"/>
        </w:rPr>
        <w:t>lio</w:t>
      </w:r>
      <w:r>
        <w:rPr>
          <w:rFonts w:asciiTheme="majorHAnsi" w:hAnsiTheme="majorHAnsi" w:cstheme="minorHAnsi"/>
        </w:rPr>
        <w:t xml:space="preserve"> por emisor es 67% en el Ministerio de Hacienda, 12% en bancos públicos, 5% en el ICE y un 2% en el BCCR.</w:t>
      </w:r>
    </w:p>
    <w:p w14:paraId="5B6FDC09" w14:textId="73F10C3F" w:rsidR="00947FD6" w:rsidRDefault="00947FD6" w:rsidP="00947FD6">
      <w:pPr>
        <w:spacing w:after="0" w:line="240" w:lineRule="auto"/>
        <w:jc w:val="center"/>
        <w:rPr>
          <w:rFonts w:asciiTheme="majorHAnsi" w:hAnsiTheme="majorHAnsi" w:cstheme="minorHAnsi"/>
        </w:rPr>
      </w:pPr>
      <w:r w:rsidRPr="00947FD6">
        <w:rPr>
          <w:rFonts w:asciiTheme="majorHAnsi" w:hAnsiTheme="majorHAnsi" w:cstheme="minorHAnsi"/>
        </w:rPr>
        <w:t xml:space="preserve">Cuadro </w:t>
      </w:r>
      <w:r w:rsidRPr="00947FD6">
        <w:rPr>
          <w:rFonts w:asciiTheme="majorHAnsi" w:hAnsiTheme="majorHAnsi" w:cstheme="minorHAnsi"/>
        </w:rPr>
        <w:fldChar w:fldCharType="begin"/>
      </w:r>
      <w:r w:rsidRPr="00947FD6">
        <w:rPr>
          <w:rFonts w:asciiTheme="majorHAnsi" w:hAnsiTheme="majorHAnsi" w:cstheme="minorHAnsi"/>
        </w:rPr>
        <w:instrText xml:space="preserve"> SEQ Cuadro \* ARABIC </w:instrText>
      </w:r>
      <w:r w:rsidRPr="00947FD6">
        <w:rPr>
          <w:rFonts w:asciiTheme="majorHAnsi" w:hAnsiTheme="majorHAnsi" w:cstheme="minorHAnsi"/>
        </w:rPr>
        <w:fldChar w:fldCharType="separate"/>
      </w:r>
      <w:r w:rsidR="00F7428D">
        <w:rPr>
          <w:rFonts w:asciiTheme="majorHAnsi" w:hAnsiTheme="majorHAnsi" w:cstheme="minorHAnsi"/>
          <w:noProof/>
        </w:rPr>
        <w:t>5</w:t>
      </w:r>
      <w:r w:rsidRPr="00947FD6">
        <w:rPr>
          <w:rFonts w:asciiTheme="majorHAnsi" w:hAnsiTheme="majorHAnsi" w:cstheme="minorHAnsi"/>
        </w:rPr>
        <w:fldChar w:fldCharType="end"/>
      </w:r>
    </w:p>
    <w:p w14:paraId="71493C64" w14:textId="77777777" w:rsidR="00947FD6" w:rsidRDefault="00947FD6" w:rsidP="00947FD6">
      <w:pPr>
        <w:spacing w:after="0" w:line="240" w:lineRule="auto"/>
        <w:jc w:val="center"/>
        <w:rPr>
          <w:rFonts w:asciiTheme="majorHAnsi" w:hAnsiTheme="majorHAnsi" w:cstheme="minorHAnsi"/>
        </w:rPr>
      </w:pPr>
      <w:r>
        <w:rPr>
          <w:rFonts w:asciiTheme="majorHAnsi" w:hAnsiTheme="majorHAnsi" w:cstheme="minorHAnsi"/>
        </w:rPr>
        <w:t>Límite en Sector Público Local</w:t>
      </w:r>
    </w:p>
    <w:p w14:paraId="4C84C653" w14:textId="77777777" w:rsidR="00947FD6" w:rsidRDefault="005E0A6C" w:rsidP="00947FD6">
      <w:pPr>
        <w:spacing w:after="0" w:line="240" w:lineRule="auto"/>
        <w:jc w:val="center"/>
        <w:rPr>
          <w:rFonts w:asciiTheme="majorHAnsi" w:hAnsiTheme="majorHAnsi" w:cstheme="minorHAnsi"/>
        </w:rPr>
      </w:pPr>
      <w:r>
        <w:rPr>
          <w:rFonts w:asciiTheme="majorHAnsi" w:hAnsiTheme="majorHAnsi" w:cstheme="minorHAnsi"/>
        </w:rPr>
        <w:t>D</w:t>
      </w:r>
      <w:r w:rsidR="00947FD6">
        <w:rPr>
          <w:rFonts w:asciiTheme="majorHAnsi" w:hAnsiTheme="majorHAnsi" w:cstheme="minorHAnsi"/>
        </w:rPr>
        <w:t>e los Regímenes Básicos y Complementarios</w:t>
      </w:r>
    </w:p>
    <w:p w14:paraId="73A660A4" w14:textId="77777777" w:rsidR="00947FD6" w:rsidRDefault="00947FD6" w:rsidP="00947FD6">
      <w:pPr>
        <w:spacing w:after="0" w:line="240" w:lineRule="auto"/>
        <w:jc w:val="center"/>
        <w:rPr>
          <w:rFonts w:asciiTheme="majorHAnsi" w:hAnsiTheme="majorHAnsi" w:cstheme="minorHAnsi"/>
        </w:rPr>
      </w:pPr>
      <w:r>
        <w:rPr>
          <w:rFonts w:asciiTheme="majorHAnsi" w:hAnsiTheme="majorHAnsi" w:cstheme="minorHAnsi"/>
        </w:rPr>
        <w:t>A</w:t>
      </w:r>
      <w:r w:rsidR="00436FB1">
        <w:rPr>
          <w:rFonts w:asciiTheme="majorHAnsi" w:hAnsiTheme="majorHAnsi" w:cstheme="minorHAnsi"/>
        </w:rPr>
        <w:t xml:space="preserve">l 31 de </w:t>
      </w:r>
      <w:r>
        <w:rPr>
          <w:rFonts w:asciiTheme="majorHAnsi" w:hAnsiTheme="majorHAnsi" w:cstheme="minorHAnsi"/>
        </w:rPr>
        <w:t>d</w:t>
      </w:r>
      <w:r w:rsidRPr="008F5D99">
        <w:rPr>
          <w:rFonts w:asciiTheme="majorHAnsi" w:hAnsiTheme="majorHAnsi" w:cstheme="minorHAnsi"/>
        </w:rPr>
        <w:t>iciembre 2018</w:t>
      </w:r>
    </w:p>
    <w:tbl>
      <w:tblPr>
        <w:tblW w:w="4820" w:type="dxa"/>
        <w:jc w:val="center"/>
        <w:tblCellMar>
          <w:left w:w="70" w:type="dxa"/>
          <w:right w:w="70" w:type="dxa"/>
        </w:tblCellMar>
        <w:tblLook w:val="04A0" w:firstRow="1" w:lastRow="0" w:firstColumn="1" w:lastColumn="0" w:noHBand="0" w:noVBand="1"/>
      </w:tblPr>
      <w:tblGrid>
        <w:gridCol w:w="2977"/>
        <w:gridCol w:w="1843"/>
      </w:tblGrid>
      <w:tr w:rsidR="00947FD6" w:rsidRPr="00947FD6" w14:paraId="372D36EB" w14:textId="77777777" w:rsidTr="002B7CEF">
        <w:trPr>
          <w:trHeight w:val="315"/>
          <w:jc w:val="center"/>
        </w:trPr>
        <w:tc>
          <w:tcPr>
            <w:tcW w:w="2977" w:type="dxa"/>
            <w:tcBorders>
              <w:top w:val="single" w:sz="4" w:space="0" w:color="auto"/>
              <w:left w:val="nil"/>
              <w:bottom w:val="double" w:sz="6" w:space="0" w:color="auto"/>
              <w:right w:val="nil"/>
            </w:tcBorders>
            <w:shd w:val="clear" w:color="auto" w:fill="auto"/>
            <w:noWrap/>
            <w:vAlign w:val="bottom"/>
            <w:hideMark/>
          </w:tcPr>
          <w:p w14:paraId="76F0315D" w14:textId="77777777" w:rsidR="00947FD6" w:rsidRPr="00947FD6" w:rsidRDefault="00947FD6" w:rsidP="00947FD6">
            <w:pPr>
              <w:spacing w:after="0" w:line="240" w:lineRule="auto"/>
              <w:rPr>
                <w:rFonts w:ascii="Cambria" w:eastAsia="Times New Roman" w:hAnsi="Cambria" w:cs="Calibri"/>
                <w:b/>
                <w:bCs/>
                <w:color w:val="000000"/>
                <w:lang w:val="es-CR" w:eastAsia="es-CR"/>
              </w:rPr>
            </w:pPr>
            <w:r w:rsidRPr="00947FD6">
              <w:rPr>
                <w:rFonts w:ascii="Cambria" w:eastAsia="Times New Roman" w:hAnsi="Cambria" w:cs="Calibri"/>
                <w:b/>
                <w:bCs/>
                <w:color w:val="000000"/>
                <w:lang w:val="es-CR" w:eastAsia="es-CR"/>
              </w:rPr>
              <w:t>Fondo de Pensión</w:t>
            </w:r>
          </w:p>
        </w:tc>
        <w:tc>
          <w:tcPr>
            <w:tcW w:w="1843" w:type="dxa"/>
            <w:tcBorders>
              <w:top w:val="single" w:sz="4" w:space="0" w:color="auto"/>
              <w:left w:val="nil"/>
              <w:bottom w:val="double" w:sz="6" w:space="0" w:color="auto"/>
              <w:right w:val="nil"/>
            </w:tcBorders>
            <w:shd w:val="clear" w:color="auto" w:fill="auto"/>
            <w:noWrap/>
            <w:vAlign w:val="bottom"/>
            <w:hideMark/>
          </w:tcPr>
          <w:p w14:paraId="64699D54" w14:textId="77777777" w:rsidR="00947FD6" w:rsidRPr="00947FD6" w:rsidRDefault="00947FD6" w:rsidP="00947FD6">
            <w:pPr>
              <w:spacing w:after="0" w:line="240" w:lineRule="auto"/>
              <w:rPr>
                <w:rFonts w:ascii="Cambria" w:eastAsia="Times New Roman" w:hAnsi="Cambria" w:cs="Calibri"/>
                <w:b/>
                <w:bCs/>
                <w:color w:val="000000"/>
                <w:lang w:val="es-CR" w:eastAsia="es-CR"/>
              </w:rPr>
            </w:pPr>
            <w:r w:rsidRPr="00947FD6">
              <w:rPr>
                <w:rFonts w:ascii="Cambria" w:eastAsia="Times New Roman" w:hAnsi="Cambria" w:cs="Calibri"/>
                <w:b/>
                <w:bCs/>
                <w:color w:val="000000"/>
                <w:lang w:val="es-CR" w:eastAsia="es-CR"/>
              </w:rPr>
              <w:t>Secto</w:t>
            </w:r>
            <w:r>
              <w:rPr>
                <w:rFonts w:ascii="Cambria" w:eastAsia="Times New Roman" w:hAnsi="Cambria" w:cs="Calibri"/>
                <w:b/>
                <w:bCs/>
                <w:color w:val="000000"/>
                <w:lang w:val="es-CR" w:eastAsia="es-CR"/>
              </w:rPr>
              <w:t>r</w:t>
            </w:r>
            <w:r w:rsidRPr="00947FD6">
              <w:rPr>
                <w:rFonts w:ascii="Cambria" w:eastAsia="Times New Roman" w:hAnsi="Cambria" w:cs="Calibri"/>
                <w:b/>
                <w:bCs/>
                <w:color w:val="000000"/>
                <w:lang w:val="es-CR" w:eastAsia="es-CR"/>
              </w:rPr>
              <w:t xml:space="preserve"> Público</w:t>
            </w:r>
          </w:p>
        </w:tc>
      </w:tr>
      <w:tr w:rsidR="00947FD6" w:rsidRPr="00947FD6" w14:paraId="3502ACE0" w14:textId="77777777" w:rsidTr="002B7CEF">
        <w:trPr>
          <w:trHeight w:val="315"/>
          <w:jc w:val="center"/>
        </w:trPr>
        <w:tc>
          <w:tcPr>
            <w:tcW w:w="4815" w:type="dxa"/>
            <w:gridSpan w:val="2"/>
            <w:tcBorders>
              <w:top w:val="double" w:sz="6" w:space="0" w:color="auto"/>
              <w:left w:val="nil"/>
              <w:bottom w:val="nil"/>
              <w:right w:val="nil"/>
            </w:tcBorders>
            <w:shd w:val="clear" w:color="auto" w:fill="auto"/>
            <w:noWrap/>
            <w:vAlign w:val="bottom"/>
            <w:hideMark/>
          </w:tcPr>
          <w:p w14:paraId="76C40806" w14:textId="77777777" w:rsidR="00947FD6" w:rsidRPr="00947FD6" w:rsidRDefault="00947FD6" w:rsidP="00947FD6">
            <w:pPr>
              <w:spacing w:after="0" w:line="240" w:lineRule="auto"/>
              <w:rPr>
                <w:rFonts w:ascii="Cambria" w:eastAsia="Times New Roman" w:hAnsi="Cambria" w:cs="Calibri"/>
                <w:b/>
                <w:i/>
                <w:color w:val="000000"/>
                <w:lang w:val="es-CR" w:eastAsia="es-CR"/>
              </w:rPr>
            </w:pPr>
            <w:r w:rsidRPr="00947FD6">
              <w:rPr>
                <w:rFonts w:ascii="Cambria" w:eastAsia="Times New Roman" w:hAnsi="Cambria" w:cs="Calibri"/>
                <w:b/>
                <w:i/>
                <w:color w:val="000000"/>
                <w:lang w:val="es-CR" w:eastAsia="es-CR"/>
              </w:rPr>
              <w:t>Regímenes Básicos</w:t>
            </w:r>
          </w:p>
        </w:tc>
      </w:tr>
      <w:tr w:rsidR="00947FD6" w:rsidRPr="00947FD6" w14:paraId="4FA4A448" w14:textId="77777777" w:rsidTr="002B7CEF">
        <w:trPr>
          <w:trHeight w:val="300"/>
          <w:jc w:val="center"/>
        </w:trPr>
        <w:tc>
          <w:tcPr>
            <w:tcW w:w="2977" w:type="dxa"/>
            <w:tcBorders>
              <w:top w:val="nil"/>
              <w:left w:val="nil"/>
              <w:bottom w:val="nil"/>
              <w:right w:val="nil"/>
            </w:tcBorders>
            <w:shd w:val="clear" w:color="auto" w:fill="auto"/>
            <w:noWrap/>
            <w:vAlign w:val="bottom"/>
            <w:hideMark/>
          </w:tcPr>
          <w:p w14:paraId="0DE42C13" w14:textId="77777777" w:rsidR="00947FD6" w:rsidRPr="00947FD6" w:rsidRDefault="00947FD6" w:rsidP="00947FD6">
            <w:pPr>
              <w:spacing w:after="0" w:line="240" w:lineRule="auto"/>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 xml:space="preserve"> FRIVM </w:t>
            </w:r>
          </w:p>
        </w:tc>
        <w:tc>
          <w:tcPr>
            <w:tcW w:w="1843" w:type="dxa"/>
            <w:tcBorders>
              <w:top w:val="nil"/>
              <w:left w:val="nil"/>
              <w:bottom w:val="nil"/>
              <w:right w:val="nil"/>
            </w:tcBorders>
            <w:shd w:val="clear" w:color="auto" w:fill="auto"/>
            <w:noWrap/>
            <w:vAlign w:val="bottom"/>
            <w:hideMark/>
          </w:tcPr>
          <w:p w14:paraId="59FC0BBD" w14:textId="77777777" w:rsidR="00947FD6" w:rsidRPr="00947FD6" w:rsidRDefault="00947FD6" w:rsidP="00947FD6">
            <w:pPr>
              <w:spacing w:after="0" w:line="240" w:lineRule="auto"/>
              <w:jc w:val="right"/>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69%</w:t>
            </w:r>
          </w:p>
        </w:tc>
      </w:tr>
      <w:tr w:rsidR="00947FD6" w:rsidRPr="00947FD6" w14:paraId="55FB528D" w14:textId="77777777" w:rsidTr="002B7CEF">
        <w:trPr>
          <w:trHeight w:val="300"/>
          <w:jc w:val="center"/>
        </w:trPr>
        <w:tc>
          <w:tcPr>
            <w:tcW w:w="2977" w:type="dxa"/>
            <w:tcBorders>
              <w:top w:val="nil"/>
              <w:left w:val="nil"/>
              <w:bottom w:val="nil"/>
              <w:right w:val="nil"/>
            </w:tcBorders>
            <w:shd w:val="clear" w:color="auto" w:fill="auto"/>
            <w:noWrap/>
            <w:vAlign w:val="bottom"/>
            <w:hideMark/>
          </w:tcPr>
          <w:p w14:paraId="446B8783" w14:textId="77777777" w:rsidR="00947FD6" w:rsidRPr="00947FD6" w:rsidRDefault="00947FD6" w:rsidP="00947FD6">
            <w:pPr>
              <w:spacing w:after="0" w:line="240" w:lineRule="auto"/>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 xml:space="preserve"> FCCMN </w:t>
            </w:r>
          </w:p>
        </w:tc>
        <w:tc>
          <w:tcPr>
            <w:tcW w:w="1843" w:type="dxa"/>
            <w:tcBorders>
              <w:top w:val="nil"/>
              <w:left w:val="nil"/>
              <w:bottom w:val="nil"/>
              <w:right w:val="nil"/>
            </w:tcBorders>
            <w:shd w:val="clear" w:color="auto" w:fill="auto"/>
            <w:noWrap/>
            <w:vAlign w:val="bottom"/>
            <w:hideMark/>
          </w:tcPr>
          <w:p w14:paraId="00697F6D" w14:textId="77777777" w:rsidR="00947FD6" w:rsidRPr="00947FD6" w:rsidRDefault="00947FD6" w:rsidP="00947FD6">
            <w:pPr>
              <w:spacing w:after="0" w:line="240" w:lineRule="auto"/>
              <w:jc w:val="right"/>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70%</w:t>
            </w:r>
          </w:p>
        </w:tc>
      </w:tr>
      <w:tr w:rsidR="00947FD6" w:rsidRPr="00947FD6" w14:paraId="709DA8B1" w14:textId="77777777" w:rsidTr="002B7CEF">
        <w:trPr>
          <w:trHeight w:val="300"/>
          <w:jc w:val="center"/>
        </w:trPr>
        <w:tc>
          <w:tcPr>
            <w:tcW w:w="2977" w:type="dxa"/>
            <w:tcBorders>
              <w:top w:val="nil"/>
              <w:left w:val="nil"/>
              <w:bottom w:val="nil"/>
              <w:right w:val="nil"/>
            </w:tcBorders>
            <w:shd w:val="clear" w:color="auto" w:fill="auto"/>
            <w:noWrap/>
            <w:vAlign w:val="bottom"/>
            <w:hideMark/>
          </w:tcPr>
          <w:p w14:paraId="24CE81CD" w14:textId="77777777" w:rsidR="00947FD6" w:rsidRPr="00947FD6" w:rsidRDefault="00947FD6" w:rsidP="00947FD6">
            <w:pPr>
              <w:spacing w:after="0" w:line="240" w:lineRule="auto"/>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 xml:space="preserve"> FPJ </w:t>
            </w:r>
          </w:p>
        </w:tc>
        <w:tc>
          <w:tcPr>
            <w:tcW w:w="1843" w:type="dxa"/>
            <w:tcBorders>
              <w:top w:val="nil"/>
              <w:left w:val="nil"/>
              <w:bottom w:val="nil"/>
              <w:right w:val="nil"/>
            </w:tcBorders>
            <w:shd w:val="clear" w:color="auto" w:fill="auto"/>
            <w:noWrap/>
            <w:vAlign w:val="bottom"/>
            <w:hideMark/>
          </w:tcPr>
          <w:p w14:paraId="06BF8727" w14:textId="77777777" w:rsidR="00947FD6" w:rsidRPr="00947FD6" w:rsidRDefault="00947FD6" w:rsidP="00947FD6">
            <w:pPr>
              <w:spacing w:after="0" w:line="240" w:lineRule="auto"/>
              <w:jc w:val="right"/>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86%</w:t>
            </w:r>
          </w:p>
        </w:tc>
      </w:tr>
      <w:tr w:rsidR="00947FD6" w:rsidRPr="00947FD6" w14:paraId="096F4E34" w14:textId="77777777" w:rsidTr="002B7CEF">
        <w:trPr>
          <w:trHeight w:val="300"/>
          <w:jc w:val="center"/>
        </w:trPr>
        <w:tc>
          <w:tcPr>
            <w:tcW w:w="2977" w:type="dxa"/>
            <w:tcBorders>
              <w:top w:val="nil"/>
              <w:left w:val="nil"/>
              <w:bottom w:val="nil"/>
              <w:right w:val="nil"/>
            </w:tcBorders>
            <w:shd w:val="clear" w:color="auto" w:fill="auto"/>
            <w:noWrap/>
            <w:vAlign w:val="bottom"/>
            <w:hideMark/>
          </w:tcPr>
          <w:p w14:paraId="5BB554EC" w14:textId="77777777" w:rsidR="00947FD6" w:rsidRPr="00947FD6" w:rsidRDefault="00947FD6" w:rsidP="00947FD6">
            <w:pPr>
              <w:spacing w:after="0" w:line="240" w:lineRule="auto"/>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 xml:space="preserve"> FBOMBEROS </w:t>
            </w:r>
          </w:p>
        </w:tc>
        <w:tc>
          <w:tcPr>
            <w:tcW w:w="1843" w:type="dxa"/>
            <w:tcBorders>
              <w:top w:val="nil"/>
              <w:left w:val="nil"/>
              <w:bottom w:val="nil"/>
              <w:right w:val="nil"/>
            </w:tcBorders>
            <w:shd w:val="clear" w:color="auto" w:fill="auto"/>
            <w:noWrap/>
            <w:vAlign w:val="bottom"/>
            <w:hideMark/>
          </w:tcPr>
          <w:p w14:paraId="7628A188" w14:textId="77777777" w:rsidR="00947FD6" w:rsidRPr="00947FD6" w:rsidRDefault="00947FD6" w:rsidP="00947FD6">
            <w:pPr>
              <w:spacing w:after="0" w:line="240" w:lineRule="auto"/>
              <w:jc w:val="right"/>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70%</w:t>
            </w:r>
          </w:p>
        </w:tc>
      </w:tr>
      <w:tr w:rsidR="00947FD6" w:rsidRPr="00947FD6" w14:paraId="6C9C5D62" w14:textId="77777777" w:rsidTr="002B7CEF">
        <w:trPr>
          <w:trHeight w:val="300"/>
          <w:jc w:val="center"/>
        </w:trPr>
        <w:tc>
          <w:tcPr>
            <w:tcW w:w="4815" w:type="dxa"/>
            <w:gridSpan w:val="2"/>
            <w:tcBorders>
              <w:top w:val="nil"/>
              <w:left w:val="nil"/>
              <w:bottom w:val="nil"/>
              <w:right w:val="nil"/>
            </w:tcBorders>
            <w:shd w:val="clear" w:color="auto" w:fill="auto"/>
            <w:noWrap/>
            <w:vAlign w:val="bottom"/>
            <w:hideMark/>
          </w:tcPr>
          <w:p w14:paraId="4324BDEB" w14:textId="77777777" w:rsidR="00947FD6" w:rsidRPr="00947FD6" w:rsidRDefault="00947FD6" w:rsidP="00947FD6">
            <w:pPr>
              <w:spacing w:after="0" w:line="240" w:lineRule="auto"/>
              <w:rPr>
                <w:rFonts w:ascii="Cambria" w:eastAsia="Times New Roman" w:hAnsi="Cambria" w:cs="Calibri"/>
                <w:b/>
                <w:i/>
                <w:color w:val="000000"/>
                <w:lang w:val="es-CR" w:eastAsia="es-CR"/>
              </w:rPr>
            </w:pPr>
            <w:r w:rsidRPr="00947FD6">
              <w:rPr>
                <w:rFonts w:ascii="Cambria" w:eastAsia="Times New Roman" w:hAnsi="Cambria" w:cs="Calibri"/>
                <w:b/>
                <w:i/>
                <w:color w:val="000000"/>
                <w:lang w:val="es-CR" w:eastAsia="es-CR"/>
              </w:rPr>
              <w:t xml:space="preserve"> Regímenes Complementarios </w:t>
            </w:r>
          </w:p>
        </w:tc>
      </w:tr>
      <w:tr w:rsidR="00947FD6" w:rsidRPr="00947FD6" w14:paraId="66BDEFCC" w14:textId="77777777" w:rsidTr="002B7CEF">
        <w:trPr>
          <w:trHeight w:val="300"/>
          <w:jc w:val="center"/>
        </w:trPr>
        <w:tc>
          <w:tcPr>
            <w:tcW w:w="2977" w:type="dxa"/>
            <w:tcBorders>
              <w:top w:val="nil"/>
              <w:left w:val="nil"/>
              <w:bottom w:val="nil"/>
              <w:right w:val="nil"/>
            </w:tcBorders>
            <w:shd w:val="clear" w:color="auto" w:fill="auto"/>
            <w:noWrap/>
            <w:vAlign w:val="bottom"/>
            <w:hideMark/>
          </w:tcPr>
          <w:p w14:paraId="7E9DF76E" w14:textId="77777777" w:rsidR="00947FD6" w:rsidRPr="00947FD6" w:rsidRDefault="00947FD6" w:rsidP="00947FD6">
            <w:pPr>
              <w:spacing w:after="0" w:line="240" w:lineRule="auto"/>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 xml:space="preserve"> FBNCR </w:t>
            </w:r>
          </w:p>
        </w:tc>
        <w:tc>
          <w:tcPr>
            <w:tcW w:w="1843" w:type="dxa"/>
            <w:tcBorders>
              <w:top w:val="nil"/>
              <w:left w:val="nil"/>
              <w:bottom w:val="nil"/>
              <w:right w:val="nil"/>
            </w:tcBorders>
            <w:shd w:val="clear" w:color="auto" w:fill="auto"/>
            <w:noWrap/>
            <w:vAlign w:val="bottom"/>
            <w:hideMark/>
          </w:tcPr>
          <w:p w14:paraId="035F0F82" w14:textId="77777777" w:rsidR="00947FD6" w:rsidRPr="00947FD6" w:rsidRDefault="00947FD6" w:rsidP="00947FD6">
            <w:pPr>
              <w:spacing w:after="0" w:line="240" w:lineRule="auto"/>
              <w:jc w:val="right"/>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78%</w:t>
            </w:r>
          </w:p>
        </w:tc>
      </w:tr>
      <w:tr w:rsidR="00947FD6" w:rsidRPr="00947FD6" w14:paraId="52880C05" w14:textId="77777777" w:rsidTr="002B7CEF">
        <w:trPr>
          <w:trHeight w:val="300"/>
          <w:jc w:val="center"/>
        </w:trPr>
        <w:tc>
          <w:tcPr>
            <w:tcW w:w="2977" w:type="dxa"/>
            <w:tcBorders>
              <w:top w:val="nil"/>
              <w:left w:val="nil"/>
              <w:bottom w:val="nil"/>
              <w:right w:val="nil"/>
            </w:tcBorders>
            <w:shd w:val="clear" w:color="auto" w:fill="auto"/>
            <w:noWrap/>
            <w:vAlign w:val="bottom"/>
            <w:hideMark/>
          </w:tcPr>
          <w:p w14:paraId="73F9B607" w14:textId="77777777" w:rsidR="00947FD6" w:rsidRPr="00947FD6" w:rsidRDefault="00947FD6" w:rsidP="00947FD6">
            <w:pPr>
              <w:spacing w:after="0" w:line="240" w:lineRule="auto"/>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 xml:space="preserve"> FICE </w:t>
            </w:r>
          </w:p>
        </w:tc>
        <w:tc>
          <w:tcPr>
            <w:tcW w:w="1843" w:type="dxa"/>
            <w:tcBorders>
              <w:top w:val="nil"/>
              <w:left w:val="nil"/>
              <w:bottom w:val="nil"/>
              <w:right w:val="nil"/>
            </w:tcBorders>
            <w:shd w:val="clear" w:color="auto" w:fill="auto"/>
            <w:noWrap/>
            <w:vAlign w:val="bottom"/>
            <w:hideMark/>
          </w:tcPr>
          <w:p w14:paraId="5191E957" w14:textId="77777777" w:rsidR="00947FD6" w:rsidRPr="00947FD6" w:rsidRDefault="00947FD6" w:rsidP="00947FD6">
            <w:pPr>
              <w:spacing w:after="0" w:line="240" w:lineRule="auto"/>
              <w:jc w:val="right"/>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82%</w:t>
            </w:r>
          </w:p>
        </w:tc>
      </w:tr>
      <w:tr w:rsidR="00947FD6" w:rsidRPr="00947FD6" w14:paraId="2EB46491" w14:textId="77777777" w:rsidTr="002B7CEF">
        <w:trPr>
          <w:trHeight w:val="300"/>
          <w:jc w:val="center"/>
        </w:trPr>
        <w:tc>
          <w:tcPr>
            <w:tcW w:w="2977" w:type="dxa"/>
            <w:tcBorders>
              <w:top w:val="nil"/>
              <w:left w:val="nil"/>
              <w:bottom w:val="nil"/>
              <w:right w:val="nil"/>
            </w:tcBorders>
            <w:shd w:val="clear" w:color="auto" w:fill="auto"/>
            <w:noWrap/>
            <w:vAlign w:val="bottom"/>
            <w:hideMark/>
          </w:tcPr>
          <w:p w14:paraId="330CEE76" w14:textId="77777777" w:rsidR="00947FD6" w:rsidRPr="00947FD6" w:rsidRDefault="00947FD6" w:rsidP="00947FD6">
            <w:pPr>
              <w:spacing w:after="0" w:line="240" w:lineRule="auto"/>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 xml:space="preserve"> FRE </w:t>
            </w:r>
          </w:p>
        </w:tc>
        <w:tc>
          <w:tcPr>
            <w:tcW w:w="1843" w:type="dxa"/>
            <w:tcBorders>
              <w:top w:val="nil"/>
              <w:left w:val="nil"/>
              <w:bottom w:val="nil"/>
              <w:right w:val="nil"/>
            </w:tcBorders>
            <w:shd w:val="clear" w:color="auto" w:fill="auto"/>
            <w:noWrap/>
            <w:vAlign w:val="bottom"/>
            <w:hideMark/>
          </w:tcPr>
          <w:p w14:paraId="286A4130" w14:textId="77777777" w:rsidR="00947FD6" w:rsidRPr="00947FD6" w:rsidRDefault="00947FD6" w:rsidP="00947FD6">
            <w:pPr>
              <w:spacing w:after="0" w:line="240" w:lineRule="auto"/>
              <w:jc w:val="right"/>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71%</w:t>
            </w:r>
          </w:p>
        </w:tc>
      </w:tr>
      <w:tr w:rsidR="00947FD6" w:rsidRPr="00947FD6" w14:paraId="5BF966A3" w14:textId="77777777" w:rsidTr="002B7CEF">
        <w:trPr>
          <w:trHeight w:val="300"/>
          <w:jc w:val="center"/>
        </w:trPr>
        <w:tc>
          <w:tcPr>
            <w:tcW w:w="2977" w:type="dxa"/>
            <w:tcBorders>
              <w:top w:val="nil"/>
              <w:left w:val="nil"/>
              <w:bottom w:val="nil"/>
              <w:right w:val="nil"/>
            </w:tcBorders>
            <w:shd w:val="clear" w:color="auto" w:fill="auto"/>
            <w:noWrap/>
            <w:vAlign w:val="bottom"/>
            <w:hideMark/>
          </w:tcPr>
          <w:p w14:paraId="20AFC14A" w14:textId="77777777" w:rsidR="00947FD6" w:rsidRPr="00947FD6" w:rsidRDefault="00947FD6" w:rsidP="00947FD6">
            <w:pPr>
              <w:spacing w:after="0" w:line="240" w:lineRule="auto"/>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 xml:space="preserve"> FRECOPE </w:t>
            </w:r>
          </w:p>
        </w:tc>
        <w:tc>
          <w:tcPr>
            <w:tcW w:w="1843" w:type="dxa"/>
            <w:tcBorders>
              <w:top w:val="nil"/>
              <w:left w:val="nil"/>
              <w:bottom w:val="nil"/>
              <w:right w:val="nil"/>
            </w:tcBorders>
            <w:shd w:val="clear" w:color="auto" w:fill="auto"/>
            <w:noWrap/>
            <w:vAlign w:val="bottom"/>
            <w:hideMark/>
          </w:tcPr>
          <w:p w14:paraId="6E5F5AD6" w14:textId="77777777" w:rsidR="00947FD6" w:rsidRPr="00947FD6" w:rsidRDefault="00947FD6" w:rsidP="00947FD6">
            <w:pPr>
              <w:spacing w:after="0" w:line="240" w:lineRule="auto"/>
              <w:jc w:val="right"/>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61%</w:t>
            </w:r>
          </w:p>
        </w:tc>
      </w:tr>
      <w:tr w:rsidR="00947FD6" w:rsidRPr="00947FD6" w14:paraId="7B169777" w14:textId="77777777" w:rsidTr="002B7CEF">
        <w:trPr>
          <w:trHeight w:val="300"/>
          <w:jc w:val="center"/>
        </w:trPr>
        <w:tc>
          <w:tcPr>
            <w:tcW w:w="2977" w:type="dxa"/>
            <w:tcBorders>
              <w:top w:val="nil"/>
              <w:left w:val="nil"/>
              <w:bottom w:val="single" w:sz="4" w:space="0" w:color="auto"/>
              <w:right w:val="nil"/>
            </w:tcBorders>
            <w:shd w:val="clear" w:color="auto" w:fill="auto"/>
            <w:noWrap/>
            <w:vAlign w:val="bottom"/>
            <w:hideMark/>
          </w:tcPr>
          <w:p w14:paraId="78513252" w14:textId="77777777" w:rsidR="00947FD6" w:rsidRPr="00947FD6" w:rsidRDefault="00947FD6" w:rsidP="00947FD6">
            <w:pPr>
              <w:spacing w:after="0" w:line="240" w:lineRule="auto"/>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 xml:space="preserve"> FVENLOT </w:t>
            </w:r>
          </w:p>
        </w:tc>
        <w:tc>
          <w:tcPr>
            <w:tcW w:w="1843" w:type="dxa"/>
            <w:tcBorders>
              <w:top w:val="nil"/>
              <w:left w:val="nil"/>
              <w:bottom w:val="single" w:sz="4" w:space="0" w:color="auto"/>
              <w:right w:val="nil"/>
            </w:tcBorders>
            <w:shd w:val="clear" w:color="auto" w:fill="auto"/>
            <w:noWrap/>
            <w:vAlign w:val="bottom"/>
            <w:hideMark/>
          </w:tcPr>
          <w:p w14:paraId="5B7E48BC" w14:textId="77777777" w:rsidR="00947FD6" w:rsidRPr="00947FD6" w:rsidRDefault="00947FD6" w:rsidP="00947FD6">
            <w:pPr>
              <w:spacing w:after="0" w:line="240" w:lineRule="auto"/>
              <w:jc w:val="right"/>
              <w:rPr>
                <w:rFonts w:ascii="Cambria" w:eastAsia="Times New Roman" w:hAnsi="Cambria" w:cs="Calibri"/>
                <w:color w:val="000000"/>
                <w:lang w:val="es-CR" w:eastAsia="es-CR"/>
              </w:rPr>
            </w:pPr>
            <w:r w:rsidRPr="00947FD6">
              <w:rPr>
                <w:rFonts w:ascii="Cambria" w:eastAsia="Times New Roman" w:hAnsi="Cambria" w:cs="Calibri"/>
                <w:color w:val="000000"/>
                <w:lang w:val="es-CR" w:eastAsia="es-CR"/>
              </w:rPr>
              <w:t>62%</w:t>
            </w:r>
          </w:p>
        </w:tc>
      </w:tr>
    </w:tbl>
    <w:p w14:paraId="7D50B2E0" w14:textId="77777777" w:rsidR="00947FD6" w:rsidRPr="009B7058" w:rsidRDefault="00947FD6" w:rsidP="002B7CEF">
      <w:pPr>
        <w:spacing w:after="20" w:line="240" w:lineRule="auto"/>
        <w:ind w:left="2127" w:right="2034"/>
        <w:jc w:val="both"/>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54CD245A" w14:textId="77777777" w:rsidR="00947FD6" w:rsidRPr="00947FD6" w:rsidRDefault="00947FD6" w:rsidP="00947FD6">
      <w:pPr>
        <w:spacing w:after="0" w:line="240" w:lineRule="auto"/>
        <w:jc w:val="center"/>
        <w:rPr>
          <w:rFonts w:asciiTheme="majorHAnsi" w:hAnsiTheme="majorHAnsi" w:cstheme="minorHAnsi"/>
          <w:lang w:val="es-CR"/>
        </w:rPr>
      </w:pPr>
    </w:p>
    <w:p w14:paraId="5A06D092" w14:textId="77777777" w:rsidR="007D0BC7" w:rsidRPr="008F5D99" w:rsidRDefault="00D4432B" w:rsidP="00C215C6">
      <w:pPr>
        <w:rPr>
          <w:rFonts w:asciiTheme="majorHAnsi" w:hAnsiTheme="majorHAnsi" w:cstheme="minorHAnsi"/>
          <w:b/>
        </w:rPr>
      </w:pPr>
      <w:bookmarkStart w:id="8" w:name="_Toc530733758"/>
      <w:r w:rsidRPr="008F5D99">
        <w:rPr>
          <w:rFonts w:asciiTheme="majorHAnsi" w:hAnsiTheme="majorHAnsi" w:cstheme="minorHAnsi"/>
          <w:b/>
        </w:rPr>
        <w:t>Sector P</w:t>
      </w:r>
      <w:r w:rsidR="007D0BC7" w:rsidRPr="008F5D99">
        <w:rPr>
          <w:rFonts w:asciiTheme="majorHAnsi" w:hAnsiTheme="majorHAnsi" w:cstheme="minorHAnsi"/>
          <w:b/>
        </w:rPr>
        <w:t>rivado</w:t>
      </w:r>
      <w:bookmarkEnd w:id="8"/>
    </w:p>
    <w:p w14:paraId="3F9D58FF"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Los fondos de pensión tienen 2</w:t>
      </w:r>
      <w:r w:rsidR="007B4082" w:rsidRPr="008F5D99">
        <w:rPr>
          <w:rFonts w:asciiTheme="majorHAnsi" w:hAnsiTheme="majorHAnsi" w:cstheme="minorHAnsi"/>
        </w:rPr>
        <w:t>,1</w:t>
      </w:r>
      <w:r w:rsidRPr="008F5D99">
        <w:rPr>
          <w:rFonts w:asciiTheme="majorHAnsi" w:hAnsiTheme="majorHAnsi" w:cstheme="minorHAnsi"/>
        </w:rPr>
        <w:t xml:space="preserve"> billones de colones invertidos en títulos del sector privado local, este monto representa el 1</w:t>
      </w:r>
      <w:r w:rsidR="00E3068D" w:rsidRPr="008F5D99">
        <w:rPr>
          <w:rFonts w:asciiTheme="majorHAnsi" w:hAnsiTheme="majorHAnsi" w:cstheme="minorHAnsi"/>
        </w:rPr>
        <w:t>6</w:t>
      </w:r>
      <w:r w:rsidRPr="008F5D99">
        <w:rPr>
          <w:rFonts w:asciiTheme="majorHAnsi" w:hAnsiTheme="majorHAnsi" w:cstheme="minorHAnsi"/>
        </w:rPr>
        <w:t>% del total de activos administrados por el SNP. El 6</w:t>
      </w:r>
      <w:r w:rsidR="007B4082" w:rsidRPr="008F5D99">
        <w:rPr>
          <w:rFonts w:asciiTheme="majorHAnsi" w:hAnsiTheme="majorHAnsi" w:cstheme="minorHAnsi"/>
        </w:rPr>
        <w:t>8</w:t>
      </w:r>
      <w:r w:rsidRPr="008F5D99">
        <w:rPr>
          <w:rFonts w:asciiTheme="majorHAnsi" w:hAnsiTheme="majorHAnsi" w:cstheme="minorHAnsi"/>
        </w:rPr>
        <w:t xml:space="preserve">% de las inversiones está colocado en moneda local y el resto en dólares. </w:t>
      </w:r>
      <w:r w:rsidR="00A7049A">
        <w:rPr>
          <w:rFonts w:asciiTheme="majorHAnsi" w:hAnsiTheme="majorHAnsi" w:cstheme="minorHAnsi"/>
        </w:rPr>
        <w:t>Del total de activos en este sector</w:t>
      </w:r>
      <w:r w:rsidRPr="008F5D99">
        <w:rPr>
          <w:rFonts w:asciiTheme="majorHAnsi" w:hAnsiTheme="majorHAnsi" w:cstheme="minorHAnsi"/>
        </w:rPr>
        <w:t xml:space="preserve">, el </w:t>
      </w:r>
      <w:r w:rsidR="007B4082" w:rsidRPr="008F5D99">
        <w:rPr>
          <w:rFonts w:asciiTheme="majorHAnsi" w:hAnsiTheme="majorHAnsi" w:cstheme="minorHAnsi"/>
        </w:rPr>
        <w:t>78</w:t>
      </w:r>
      <w:r w:rsidRPr="008F5D99">
        <w:rPr>
          <w:rFonts w:asciiTheme="majorHAnsi" w:hAnsiTheme="majorHAnsi" w:cstheme="minorHAnsi"/>
        </w:rPr>
        <w:t>% de estos recursos está concentrado en 10 emisores que correspo</w:t>
      </w:r>
      <w:r w:rsidR="00E628C3" w:rsidRPr="008F5D99">
        <w:rPr>
          <w:rFonts w:asciiTheme="majorHAnsi" w:hAnsiTheme="majorHAnsi" w:cstheme="minorHAnsi"/>
        </w:rPr>
        <w:t xml:space="preserve">nden a </w:t>
      </w:r>
      <w:r w:rsidR="007B4082" w:rsidRPr="008F5D99">
        <w:rPr>
          <w:rFonts w:asciiTheme="majorHAnsi" w:hAnsiTheme="majorHAnsi" w:cstheme="minorHAnsi"/>
        </w:rPr>
        <w:t>4</w:t>
      </w:r>
      <w:r w:rsidR="00E628C3" w:rsidRPr="008F5D99">
        <w:rPr>
          <w:rFonts w:asciiTheme="majorHAnsi" w:hAnsiTheme="majorHAnsi" w:cstheme="minorHAnsi"/>
        </w:rPr>
        <w:t xml:space="preserve"> bancos, 2 mutuales, 2 sociedades administradoras de f</w:t>
      </w:r>
      <w:r w:rsidRPr="008F5D99">
        <w:rPr>
          <w:rFonts w:asciiTheme="majorHAnsi" w:hAnsiTheme="majorHAnsi" w:cstheme="minorHAnsi"/>
        </w:rPr>
        <w:t>ond</w:t>
      </w:r>
      <w:r w:rsidR="00E628C3" w:rsidRPr="008F5D99">
        <w:rPr>
          <w:rFonts w:asciiTheme="majorHAnsi" w:hAnsiTheme="majorHAnsi" w:cstheme="minorHAnsi"/>
        </w:rPr>
        <w:t>os de i</w:t>
      </w:r>
      <w:r w:rsidRPr="008F5D99">
        <w:rPr>
          <w:rFonts w:asciiTheme="majorHAnsi" w:hAnsiTheme="majorHAnsi" w:cstheme="minorHAnsi"/>
        </w:rPr>
        <w:t>nversión</w:t>
      </w:r>
      <w:r w:rsidR="007B4082" w:rsidRPr="008F5D99">
        <w:rPr>
          <w:rFonts w:asciiTheme="majorHAnsi" w:hAnsiTheme="majorHAnsi" w:cstheme="minorHAnsi"/>
        </w:rPr>
        <w:t>, el BCIE</w:t>
      </w:r>
      <w:r w:rsidRPr="008F5D99">
        <w:rPr>
          <w:rFonts w:asciiTheme="majorHAnsi" w:hAnsiTheme="majorHAnsi" w:cstheme="minorHAnsi"/>
        </w:rPr>
        <w:t xml:space="preserve"> y Florida Ice and Farm.</w:t>
      </w:r>
    </w:p>
    <w:p w14:paraId="1231BE67" w14:textId="77777777" w:rsidR="007D0BC7" w:rsidRPr="008F5D99" w:rsidRDefault="007D0BC7" w:rsidP="00AB1521">
      <w:pPr>
        <w:spacing w:after="0" w:line="240" w:lineRule="auto"/>
        <w:rPr>
          <w:rFonts w:asciiTheme="majorHAnsi" w:hAnsiTheme="majorHAnsi" w:cstheme="minorHAnsi"/>
        </w:rPr>
      </w:pPr>
    </w:p>
    <w:p w14:paraId="1F13A008" w14:textId="757D0BCF" w:rsidR="0033676D" w:rsidRDefault="0033676D" w:rsidP="0033676D">
      <w:pPr>
        <w:spacing w:after="0" w:line="240" w:lineRule="auto"/>
        <w:jc w:val="center"/>
        <w:rPr>
          <w:rFonts w:asciiTheme="majorHAnsi" w:hAnsiTheme="majorHAnsi" w:cstheme="minorHAnsi"/>
        </w:rPr>
      </w:pPr>
      <w:r w:rsidRPr="0033676D">
        <w:rPr>
          <w:rFonts w:asciiTheme="majorHAnsi" w:hAnsiTheme="majorHAnsi" w:cstheme="minorHAnsi"/>
        </w:rPr>
        <w:t xml:space="preserve">Cuadro </w:t>
      </w:r>
      <w:r w:rsidRPr="0033676D">
        <w:rPr>
          <w:rFonts w:asciiTheme="majorHAnsi" w:hAnsiTheme="majorHAnsi" w:cstheme="minorHAnsi"/>
        </w:rPr>
        <w:fldChar w:fldCharType="begin"/>
      </w:r>
      <w:r w:rsidRPr="0033676D">
        <w:rPr>
          <w:rFonts w:asciiTheme="majorHAnsi" w:hAnsiTheme="majorHAnsi" w:cstheme="minorHAnsi"/>
        </w:rPr>
        <w:instrText xml:space="preserve"> SEQ Cuadro \* ARABIC </w:instrText>
      </w:r>
      <w:r w:rsidRPr="0033676D">
        <w:rPr>
          <w:rFonts w:asciiTheme="majorHAnsi" w:hAnsiTheme="majorHAnsi" w:cstheme="minorHAnsi"/>
        </w:rPr>
        <w:fldChar w:fldCharType="separate"/>
      </w:r>
      <w:r w:rsidR="00F7428D">
        <w:rPr>
          <w:rFonts w:asciiTheme="majorHAnsi" w:hAnsiTheme="majorHAnsi" w:cstheme="minorHAnsi"/>
          <w:noProof/>
        </w:rPr>
        <w:t>6</w:t>
      </w:r>
      <w:r w:rsidRPr="0033676D">
        <w:rPr>
          <w:rFonts w:asciiTheme="majorHAnsi" w:hAnsiTheme="majorHAnsi" w:cstheme="minorHAnsi"/>
        </w:rPr>
        <w:fldChar w:fldCharType="end"/>
      </w:r>
    </w:p>
    <w:p w14:paraId="6A04AC83"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Inversiones de los Fondos de Pensión en el sector privado local</w:t>
      </w:r>
    </w:p>
    <w:p w14:paraId="503ED35B"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 xml:space="preserve">Diez principales emisores (representan el </w:t>
      </w:r>
      <w:r w:rsidR="007B4082" w:rsidRPr="008F5D99">
        <w:rPr>
          <w:rFonts w:asciiTheme="majorHAnsi" w:hAnsiTheme="majorHAnsi" w:cstheme="minorHAnsi"/>
        </w:rPr>
        <w:t>78</w:t>
      </w:r>
      <w:r w:rsidRPr="008F5D99">
        <w:rPr>
          <w:rFonts w:asciiTheme="majorHAnsi" w:hAnsiTheme="majorHAnsi" w:cstheme="minorHAnsi"/>
        </w:rPr>
        <w:t>%)</w:t>
      </w:r>
    </w:p>
    <w:p w14:paraId="6883240C" w14:textId="77777777" w:rsidR="007D0BC7" w:rsidRPr="008F5D99" w:rsidRDefault="00457C4D" w:rsidP="00AB1521">
      <w:pPr>
        <w:spacing w:after="0" w:line="240" w:lineRule="auto"/>
        <w:jc w:val="center"/>
        <w:rPr>
          <w:rFonts w:asciiTheme="majorHAnsi" w:hAnsiTheme="majorHAnsi" w:cstheme="minorHAnsi"/>
        </w:rPr>
      </w:pPr>
      <w:r w:rsidRPr="008F5D99">
        <w:rPr>
          <w:rFonts w:asciiTheme="majorHAnsi" w:hAnsiTheme="majorHAnsi" w:cstheme="minorHAnsi"/>
        </w:rPr>
        <w:t>En millones de colones</w:t>
      </w:r>
      <w:r w:rsidR="007B4082" w:rsidRPr="008F5D99">
        <w:rPr>
          <w:rFonts w:asciiTheme="majorHAnsi" w:hAnsiTheme="majorHAnsi" w:cstheme="minorHAnsi"/>
        </w:rPr>
        <w:t xml:space="preserve"> a</w:t>
      </w:r>
      <w:r w:rsidRPr="008F5D99">
        <w:rPr>
          <w:rFonts w:asciiTheme="majorHAnsi" w:hAnsiTheme="majorHAnsi" w:cstheme="minorHAnsi"/>
        </w:rPr>
        <w:t xml:space="preserve"> </w:t>
      </w:r>
      <w:r w:rsidR="007B4082" w:rsidRPr="008F5D99">
        <w:rPr>
          <w:rFonts w:asciiTheme="majorHAnsi" w:hAnsiTheme="majorHAnsi" w:cstheme="minorHAnsi"/>
        </w:rPr>
        <w:t>diciembre</w:t>
      </w:r>
      <w:r w:rsidR="007D0BC7" w:rsidRPr="008F5D99">
        <w:rPr>
          <w:rFonts w:asciiTheme="majorHAnsi" w:hAnsiTheme="majorHAnsi" w:cstheme="minorHAnsi"/>
        </w:rPr>
        <w:t xml:space="preserve"> 2018</w:t>
      </w:r>
    </w:p>
    <w:tbl>
      <w:tblPr>
        <w:tblW w:w="8647" w:type="dxa"/>
        <w:jc w:val="center"/>
        <w:tblCellMar>
          <w:left w:w="70" w:type="dxa"/>
          <w:right w:w="70" w:type="dxa"/>
        </w:tblCellMar>
        <w:tblLook w:val="04A0" w:firstRow="1" w:lastRow="0" w:firstColumn="1" w:lastColumn="0" w:noHBand="0" w:noVBand="1"/>
      </w:tblPr>
      <w:tblGrid>
        <w:gridCol w:w="5670"/>
        <w:gridCol w:w="1701"/>
        <w:gridCol w:w="1276"/>
      </w:tblGrid>
      <w:tr w:rsidR="007B4082" w:rsidRPr="00C56F2E" w14:paraId="53144656" w14:textId="77777777" w:rsidTr="00E3068D">
        <w:trPr>
          <w:trHeight w:val="106"/>
          <w:jc w:val="center"/>
        </w:trPr>
        <w:tc>
          <w:tcPr>
            <w:tcW w:w="5670" w:type="dxa"/>
            <w:tcBorders>
              <w:top w:val="single" w:sz="4" w:space="0" w:color="auto"/>
              <w:left w:val="nil"/>
              <w:bottom w:val="single" w:sz="4" w:space="0" w:color="auto"/>
              <w:right w:val="nil"/>
            </w:tcBorders>
            <w:shd w:val="clear" w:color="auto" w:fill="auto"/>
            <w:noWrap/>
            <w:vAlign w:val="bottom"/>
            <w:hideMark/>
          </w:tcPr>
          <w:p w14:paraId="5DFAD106" w14:textId="77777777" w:rsidR="007B4082" w:rsidRPr="00C56F2E" w:rsidRDefault="007B4082" w:rsidP="007B4082">
            <w:pPr>
              <w:spacing w:after="0" w:line="240" w:lineRule="auto"/>
              <w:rPr>
                <w:rFonts w:asciiTheme="majorHAnsi" w:eastAsia="Times New Roman" w:hAnsiTheme="majorHAnsi" w:cstheme="minorHAnsi"/>
                <w:b/>
                <w:bCs/>
                <w:color w:val="000000"/>
                <w:szCs w:val="18"/>
                <w:lang w:val="es-CR" w:eastAsia="es-CR"/>
              </w:rPr>
            </w:pPr>
            <w:r w:rsidRPr="00C56F2E">
              <w:rPr>
                <w:rFonts w:asciiTheme="majorHAnsi" w:eastAsia="Times New Roman" w:hAnsiTheme="majorHAnsi" w:cstheme="minorHAnsi"/>
                <w:b/>
                <w:bCs/>
                <w:color w:val="000000"/>
                <w:szCs w:val="18"/>
                <w:lang w:val="es-CR" w:eastAsia="es-CR"/>
              </w:rPr>
              <w:t xml:space="preserve">Emisor </w:t>
            </w:r>
          </w:p>
        </w:tc>
        <w:tc>
          <w:tcPr>
            <w:tcW w:w="1701" w:type="dxa"/>
            <w:tcBorders>
              <w:top w:val="single" w:sz="4" w:space="0" w:color="auto"/>
              <w:left w:val="nil"/>
              <w:bottom w:val="single" w:sz="4" w:space="0" w:color="auto"/>
              <w:right w:val="nil"/>
            </w:tcBorders>
            <w:shd w:val="clear" w:color="auto" w:fill="auto"/>
            <w:noWrap/>
            <w:vAlign w:val="bottom"/>
            <w:hideMark/>
          </w:tcPr>
          <w:p w14:paraId="557B9C8A" w14:textId="77777777" w:rsidR="007B4082" w:rsidRPr="00C56F2E" w:rsidRDefault="007B4082" w:rsidP="00E3068D">
            <w:pPr>
              <w:spacing w:after="0" w:line="240" w:lineRule="auto"/>
              <w:jc w:val="center"/>
              <w:rPr>
                <w:rFonts w:asciiTheme="majorHAnsi" w:eastAsia="Times New Roman" w:hAnsiTheme="majorHAnsi" w:cstheme="minorHAnsi"/>
                <w:b/>
                <w:bCs/>
                <w:color w:val="000000"/>
                <w:szCs w:val="18"/>
                <w:lang w:val="es-CR" w:eastAsia="es-CR"/>
              </w:rPr>
            </w:pPr>
            <w:r w:rsidRPr="00C56F2E">
              <w:rPr>
                <w:rFonts w:asciiTheme="majorHAnsi" w:eastAsia="Times New Roman" w:hAnsiTheme="majorHAnsi" w:cstheme="minorHAnsi"/>
                <w:b/>
                <w:bCs/>
                <w:color w:val="000000"/>
                <w:szCs w:val="18"/>
                <w:lang w:val="es-CR" w:eastAsia="es-CR"/>
              </w:rPr>
              <w:t>Monto</w:t>
            </w:r>
          </w:p>
        </w:tc>
        <w:tc>
          <w:tcPr>
            <w:tcW w:w="1276" w:type="dxa"/>
            <w:tcBorders>
              <w:top w:val="single" w:sz="4" w:space="0" w:color="auto"/>
              <w:left w:val="nil"/>
              <w:bottom w:val="single" w:sz="4" w:space="0" w:color="auto"/>
              <w:right w:val="nil"/>
            </w:tcBorders>
            <w:shd w:val="clear" w:color="auto" w:fill="auto"/>
            <w:noWrap/>
            <w:vAlign w:val="bottom"/>
            <w:hideMark/>
          </w:tcPr>
          <w:p w14:paraId="3F27C703" w14:textId="77777777" w:rsidR="007B4082" w:rsidRPr="00C56F2E" w:rsidRDefault="007B4082" w:rsidP="00E3068D">
            <w:pPr>
              <w:spacing w:after="0" w:line="240" w:lineRule="auto"/>
              <w:jc w:val="center"/>
              <w:rPr>
                <w:rFonts w:asciiTheme="majorHAnsi" w:eastAsia="Times New Roman" w:hAnsiTheme="majorHAnsi" w:cstheme="minorHAnsi"/>
                <w:b/>
                <w:bCs/>
                <w:color w:val="000000"/>
                <w:szCs w:val="18"/>
                <w:lang w:val="es-CR" w:eastAsia="es-CR"/>
              </w:rPr>
            </w:pPr>
            <w:r w:rsidRPr="00C56F2E">
              <w:rPr>
                <w:rFonts w:asciiTheme="majorHAnsi" w:eastAsia="Times New Roman" w:hAnsiTheme="majorHAnsi" w:cstheme="minorHAnsi"/>
                <w:b/>
                <w:bCs/>
                <w:color w:val="000000"/>
                <w:szCs w:val="18"/>
                <w:lang w:val="es-CR" w:eastAsia="es-CR"/>
              </w:rPr>
              <w:t>Porcentaje</w:t>
            </w:r>
          </w:p>
        </w:tc>
      </w:tr>
      <w:tr w:rsidR="007B4082" w:rsidRPr="00C56F2E" w14:paraId="3A6D2F2D" w14:textId="77777777" w:rsidTr="00E3068D">
        <w:trPr>
          <w:trHeight w:val="106"/>
          <w:jc w:val="center"/>
        </w:trPr>
        <w:tc>
          <w:tcPr>
            <w:tcW w:w="5670" w:type="dxa"/>
            <w:tcBorders>
              <w:top w:val="nil"/>
              <w:left w:val="nil"/>
              <w:bottom w:val="nil"/>
              <w:right w:val="nil"/>
            </w:tcBorders>
            <w:shd w:val="clear" w:color="auto" w:fill="auto"/>
            <w:noWrap/>
            <w:vAlign w:val="bottom"/>
            <w:hideMark/>
          </w:tcPr>
          <w:p w14:paraId="50B21074" w14:textId="77777777" w:rsidR="007B4082" w:rsidRPr="00C56F2E" w:rsidRDefault="007B4082" w:rsidP="007B4082">
            <w:pPr>
              <w:spacing w:after="0" w:line="240" w:lineRule="auto"/>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Banco Bac San José S.A. </w:t>
            </w:r>
          </w:p>
        </w:tc>
        <w:tc>
          <w:tcPr>
            <w:tcW w:w="1701" w:type="dxa"/>
            <w:tcBorders>
              <w:top w:val="nil"/>
              <w:left w:val="nil"/>
              <w:bottom w:val="nil"/>
              <w:right w:val="nil"/>
            </w:tcBorders>
            <w:shd w:val="clear" w:color="auto" w:fill="auto"/>
            <w:noWrap/>
            <w:vAlign w:val="bottom"/>
            <w:hideMark/>
          </w:tcPr>
          <w:p w14:paraId="56D5382C"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429 835,53 </w:t>
            </w:r>
          </w:p>
        </w:tc>
        <w:tc>
          <w:tcPr>
            <w:tcW w:w="1276" w:type="dxa"/>
            <w:tcBorders>
              <w:top w:val="nil"/>
              <w:left w:val="nil"/>
              <w:bottom w:val="nil"/>
              <w:right w:val="nil"/>
            </w:tcBorders>
            <w:shd w:val="clear" w:color="auto" w:fill="auto"/>
            <w:noWrap/>
            <w:vAlign w:val="bottom"/>
            <w:hideMark/>
          </w:tcPr>
          <w:p w14:paraId="357D9F3D"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20,58%</w:t>
            </w:r>
          </w:p>
        </w:tc>
      </w:tr>
      <w:tr w:rsidR="007B4082" w:rsidRPr="00C56F2E" w14:paraId="5DEA31F4" w14:textId="77777777" w:rsidTr="00E3068D">
        <w:trPr>
          <w:trHeight w:val="106"/>
          <w:jc w:val="center"/>
        </w:trPr>
        <w:tc>
          <w:tcPr>
            <w:tcW w:w="5670" w:type="dxa"/>
            <w:tcBorders>
              <w:top w:val="nil"/>
              <w:left w:val="nil"/>
              <w:bottom w:val="nil"/>
              <w:right w:val="nil"/>
            </w:tcBorders>
            <w:shd w:val="clear" w:color="auto" w:fill="auto"/>
            <w:noWrap/>
            <w:vAlign w:val="bottom"/>
            <w:hideMark/>
          </w:tcPr>
          <w:p w14:paraId="2F2DF1F6" w14:textId="77777777" w:rsidR="007B4082" w:rsidRPr="00C56F2E" w:rsidRDefault="007B4082" w:rsidP="007B4082">
            <w:pPr>
              <w:spacing w:after="0" w:line="240" w:lineRule="auto"/>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Mutual Alajuela de Ahorro y Préstamo </w:t>
            </w:r>
          </w:p>
        </w:tc>
        <w:tc>
          <w:tcPr>
            <w:tcW w:w="1701" w:type="dxa"/>
            <w:tcBorders>
              <w:top w:val="nil"/>
              <w:left w:val="nil"/>
              <w:bottom w:val="nil"/>
              <w:right w:val="nil"/>
            </w:tcBorders>
            <w:shd w:val="clear" w:color="auto" w:fill="auto"/>
            <w:noWrap/>
            <w:vAlign w:val="bottom"/>
            <w:hideMark/>
          </w:tcPr>
          <w:p w14:paraId="5B7B7994"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215 967,62 </w:t>
            </w:r>
          </w:p>
        </w:tc>
        <w:tc>
          <w:tcPr>
            <w:tcW w:w="1276" w:type="dxa"/>
            <w:tcBorders>
              <w:top w:val="nil"/>
              <w:left w:val="nil"/>
              <w:bottom w:val="nil"/>
              <w:right w:val="nil"/>
            </w:tcBorders>
            <w:shd w:val="clear" w:color="auto" w:fill="auto"/>
            <w:noWrap/>
            <w:vAlign w:val="bottom"/>
            <w:hideMark/>
          </w:tcPr>
          <w:p w14:paraId="149B8E38"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10,34%</w:t>
            </w:r>
          </w:p>
        </w:tc>
      </w:tr>
      <w:tr w:rsidR="007B4082" w:rsidRPr="00C56F2E" w14:paraId="5A591AF9" w14:textId="77777777" w:rsidTr="00E3068D">
        <w:trPr>
          <w:trHeight w:val="106"/>
          <w:jc w:val="center"/>
        </w:trPr>
        <w:tc>
          <w:tcPr>
            <w:tcW w:w="5670" w:type="dxa"/>
            <w:tcBorders>
              <w:top w:val="nil"/>
              <w:left w:val="nil"/>
              <w:bottom w:val="nil"/>
              <w:right w:val="nil"/>
            </w:tcBorders>
            <w:shd w:val="clear" w:color="auto" w:fill="auto"/>
            <w:noWrap/>
            <w:vAlign w:val="bottom"/>
            <w:hideMark/>
          </w:tcPr>
          <w:p w14:paraId="66C82E88" w14:textId="77777777" w:rsidR="007B4082" w:rsidRPr="00C56F2E" w:rsidRDefault="007B4082" w:rsidP="007B4082">
            <w:pPr>
              <w:spacing w:after="0" w:line="240" w:lineRule="auto"/>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Banca Promerica S.A. </w:t>
            </w:r>
          </w:p>
        </w:tc>
        <w:tc>
          <w:tcPr>
            <w:tcW w:w="1701" w:type="dxa"/>
            <w:tcBorders>
              <w:top w:val="nil"/>
              <w:left w:val="nil"/>
              <w:bottom w:val="nil"/>
              <w:right w:val="nil"/>
            </w:tcBorders>
            <w:shd w:val="clear" w:color="auto" w:fill="auto"/>
            <w:noWrap/>
            <w:vAlign w:val="bottom"/>
            <w:hideMark/>
          </w:tcPr>
          <w:p w14:paraId="0900E60B"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202 229,54 </w:t>
            </w:r>
          </w:p>
        </w:tc>
        <w:tc>
          <w:tcPr>
            <w:tcW w:w="1276" w:type="dxa"/>
            <w:tcBorders>
              <w:top w:val="nil"/>
              <w:left w:val="nil"/>
              <w:bottom w:val="nil"/>
              <w:right w:val="nil"/>
            </w:tcBorders>
            <w:shd w:val="clear" w:color="auto" w:fill="auto"/>
            <w:noWrap/>
            <w:vAlign w:val="bottom"/>
            <w:hideMark/>
          </w:tcPr>
          <w:p w14:paraId="1713BAB2"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9,68%</w:t>
            </w:r>
          </w:p>
        </w:tc>
      </w:tr>
      <w:tr w:rsidR="007B4082" w:rsidRPr="00C56F2E" w14:paraId="7A06E5FB" w14:textId="77777777" w:rsidTr="00E3068D">
        <w:trPr>
          <w:trHeight w:val="106"/>
          <w:jc w:val="center"/>
        </w:trPr>
        <w:tc>
          <w:tcPr>
            <w:tcW w:w="5670" w:type="dxa"/>
            <w:tcBorders>
              <w:top w:val="nil"/>
              <w:left w:val="nil"/>
              <w:bottom w:val="nil"/>
              <w:right w:val="nil"/>
            </w:tcBorders>
            <w:shd w:val="clear" w:color="auto" w:fill="auto"/>
            <w:noWrap/>
            <w:vAlign w:val="bottom"/>
            <w:hideMark/>
          </w:tcPr>
          <w:p w14:paraId="70669705" w14:textId="77777777" w:rsidR="007B4082" w:rsidRPr="00C56F2E" w:rsidRDefault="007B4082" w:rsidP="007B4082">
            <w:pPr>
              <w:spacing w:after="0" w:line="240" w:lineRule="auto"/>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Banco Davivienda Costa Rica </w:t>
            </w:r>
          </w:p>
        </w:tc>
        <w:tc>
          <w:tcPr>
            <w:tcW w:w="1701" w:type="dxa"/>
            <w:tcBorders>
              <w:top w:val="nil"/>
              <w:left w:val="nil"/>
              <w:bottom w:val="nil"/>
              <w:right w:val="nil"/>
            </w:tcBorders>
            <w:shd w:val="clear" w:color="auto" w:fill="auto"/>
            <w:noWrap/>
            <w:vAlign w:val="bottom"/>
            <w:hideMark/>
          </w:tcPr>
          <w:p w14:paraId="24C8DC39"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180 598,79 </w:t>
            </w:r>
          </w:p>
        </w:tc>
        <w:tc>
          <w:tcPr>
            <w:tcW w:w="1276" w:type="dxa"/>
            <w:tcBorders>
              <w:top w:val="nil"/>
              <w:left w:val="nil"/>
              <w:bottom w:val="nil"/>
              <w:right w:val="nil"/>
            </w:tcBorders>
            <w:shd w:val="clear" w:color="auto" w:fill="auto"/>
            <w:noWrap/>
            <w:vAlign w:val="bottom"/>
            <w:hideMark/>
          </w:tcPr>
          <w:p w14:paraId="31F0F142"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8,65%</w:t>
            </w:r>
          </w:p>
        </w:tc>
      </w:tr>
      <w:tr w:rsidR="007B4082" w:rsidRPr="00C56F2E" w14:paraId="2AB34276" w14:textId="77777777" w:rsidTr="00E3068D">
        <w:trPr>
          <w:trHeight w:val="106"/>
          <w:jc w:val="center"/>
        </w:trPr>
        <w:tc>
          <w:tcPr>
            <w:tcW w:w="5670" w:type="dxa"/>
            <w:tcBorders>
              <w:top w:val="nil"/>
              <w:left w:val="nil"/>
              <w:bottom w:val="nil"/>
              <w:right w:val="nil"/>
            </w:tcBorders>
            <w:shd w:val="clear" w:color="auto" w:fill="auto"/>
            <w:noWrap/>
            <w:vAlign w:val="bottom"/>
            <w:hideMark/>
          </w:tcPr>
          <w:p w14:paraId="2D7D14C2" w14:textId="77777777" w:rsidR="007B4082" w:rsidRPr="00C56F2E" w:rsidRDefault="007B4082" w:rsidP="007B4082">
            <w:pPr>
              <w:spacing w:after="0" w:line="240" w:lineRule="auto"/>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Gibraltar, SFI S.A. </w:t>
            </w:r>
          </w:p>
        </w:tc>
        <w:tc>
          <w:tcPr>
            <w:tcW w:w="1701" w:type="dxa"/>
            <w:tcBorders>
              <w:top w:val="nil"/>
              <w:left w:val="nil"/>
              <w:bottom w:val="nil"/>
              <w:right w:val="nil"/>
            </w:tcBorders>
            <w:shd w:val="clear" w:color="auto" w:fill="auto"/>
            <w:noWrap/>
            <w:vAlign w:val="bottom"/>
            <w:hideMark/>
          </w:tcPr>
          <w:p w14:paraId="48F4394F"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136 938,46 </w:t>
            </w:r>
          </w:p>
        </w:tc>
        <w:tc>
          <w:tcPr>
            <w:tcW w:w="1276" w:type="dxa"/>
            <w:tcBorders>
              <w:top w:val="nil"/>
              <w:left w:val="nil"/>
              <w:bottom w:val="nil"/>
              <w:right w:val="nil"/>
            </w:tcBorders>
            <w:shd w:val="clear" w:color="auto" w:fill="auto"/>
            <w:noWrap/>
            <w:vAlign w:val="bottom"/>
            <w:hideMark/>
          </w:tcPr>
          <w:p w14:paraId="6D8C3317"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6,56%</w:t>
            </w:r>
          </w:p>
        </w:tc>
      </w:tr>
      <w:tr w:rsidR="007B4082" w:rsidRPr="00C56F2E" w14:paraId="6D469041" w14:textId="77777777" w:rsidTr="00E3068D">
        <w:trPr>
          <w:trHeight w:val="106"/>
          <w:jc w:val="center"/>
        </w:trPr>
        <w:tc>
          <w:tcPr>
            <w:tcW w:w="5670" w:type="dxa"/>
            <w:tcBorders>
              <w:top w:val="nil"/>
              <w:left w:val="nil"/>
              <w:bottom w:val="nil"/>
              <w:right w:val="nil"/>
            </w:tcBorders>
            <w:shd w:val="clear" w:color="auto" w:fill="auto"/>
            <w:noWrap/>
            <w:vAlign w:val="bottom"/>
            <w:hideMark/>
          </w:tcPr>
          <w:p w14:paraId="5B8AEB07" w14:textId="77777777" w:rsidR="007B4082" w:rsidRPr="00C56F2E" w:rsidRDefault="007B4082" w:rsidP="007B4082">
            <w:pPr>
              <w:spacing w:after="0" w:line="240" w:lineRule="auto"/>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Scotiabank de Costa Rica </w:t>
            </w:r>
          </w:p>
        </w:tc>
        <w:tc>
          <w:tcPr>
            <w:tcW w:w="1701" w:type="dxa"/>
            <w:tcBorders>
              <w:top w:val="nil"/>
              <w:left w:val="nil"/>
              <w:bottom w:val="nil"/>
              <w:right w:val="nil"/>
            </w:tcBorders>
            <w:shd w:val="clear" w:color="auto" w:fill="auto"/>
            <w:noWrap/>
            <w:vAlign w:val="bottom"/>
            <w:hideMark/>
          </w:tcPr>
          <w:p w14:paraId="7038E321"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119 728,06 </w:t>
            </w:r>
          </w:p>
        </w:tc>
        <w:tc>
          <w:tcPr>
            <w:tcW w:w="1276" w:type="dxa"/>
            <w:tcBorders>
              <w:top w:val="nil"/>
              <w:left w:val="nil"/>
              <w:bottom w:val="nil"/>
              <w:right w:val="nil"/>
            </w:tcBorders>
            <w:shd w:val="clear" w:color="auto" w:fill="auto"/>
            <w:noWrap/>
            <w:vAlign w:val="bottom"/>
            <w:hideMark/>
          </w:tcPr>
          <w:p w14:paraId="11267EC1"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5,73%</w:t>
            </w:r>
          </w:p>
        </w:tc>
      </w:tr>
      <w:tr w:rsidR="007B4082" w:rsidRPr="00C56F2E" w14:paraId="437E8FAE" w14:textId="77777777" w:rsidTr="00E3068D">
        <w:trPr>
          <w:trHeight w:val="106"/>
          <w:jc w:val="center"/>
        </w:trPr>
        <w:tc>
          <w:tcPr>
            <w:tcW w:w="5670" w:type="dxa"/>
            <w:tcBorders>
              <w:top w:val="nil"/>
              <w:left w:val="nil"/>
              <w:bottom w:val="nil"/>
              <w:right w:val="nil"/>
            </w:tcBorders>
            <w:shd w:val="clear" w:color="auto" w:fill="auto"/>
            <w:noWrap/>
            <w:vAlign w:val="bottom"/>
            <w:hideMark/>
          </w:tcPr>
          <w:p w14:paraId="314692F1" w14:textId="77777777" w:rsidR="007B4082" w:rsidRPr="00C56F2E" w:rsidRDefault="007B4082" w:rsidP="007B4082">
            <w:pPr>
              <w:spacing w:after="0" w:line="240" w:lineRule="auto"/>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BCR Sociedad Administradora de Fondos de Inversión S.A. </w:t>
            </w:r>
          </w:p>
        </w:tc>
        <w:tc>
          <w:tcPr>
            <w:tcW w:w="1701" w:type="dxa"/>
            <w:tcBorders>
              <w:top w:val="nil"/>
              <w:left w:val="nil"/>
              <w:bottom w:val="nil"/>
              <w:right w:val="nil"/>
            </w:tcBorders>
            <w:shd w:val="clear" w:color="auto" w:fill="auto"/>
            <w:noWrap/>
            <w:vAlign w:val="bottom"/>
            <w:hideMark/>
          </w:tcPr>
          <w:p w14:paraId="408021E1"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118 908,41 </w:t>
            </w:r>
          </w:p>
        </w:tc>
        <w:tc>
          <w:tcPr>
            <w:tcW w:w="1276" w:type="dxa"/>
            <w:tcBorders>
              <w:top w:val="nil"/>
              <w:left w:val="nil"/>
              <w:bottom w:val="nil"/>
              <w:right w:val="nil"/>
            </w:tcBorders>
            <w:shd w:val="clear" w:color="auto" w:fill="auto"/>
            <w:noWrap/>
            <w:vAlign w:val="bottom"/>
            <w:hideMark/>
          </w:tcPr>
          <w:p w14:paraId="1C9777B5"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5,69%</w:t>
            </w:r>
          </w:p>
        </w:tc>
      </w:tr>
      <w:tr w:rsidR="007B4082" w:rsidRPr="00C56F2E" w14:paraId="6EC6ED2F" w14:textId="77777777" w:rsidTr="00E3068D">
        <w:trPr>
          <w:trHeight w:val="106"/>
          <w:jc w:val="center"/>
        </w:trPr>
        <w:tc>
          <w:tcPr>
            <w:tcW w:w="5670" w:type="dxa"/>
            <w:tcBorders>
              <w:top w:val="nil"/>
              <w:left w:val="nil"/>
              <w:bottom w:val="nil"/>
              <w:right w:val="nil"/>
            </w:tcBorders>
            <w:shd w:val="clear" w:color="auto" w:fill="auto"/>
            <w:noWrap/>
            <w:vAlign w:val="bottom"/>
            <w:hideMark/>
          </w:tcPr>
          <w:p w14:paraId="5F68FB2D" w14:textId="77777777" w:rsidR="007B4082" w:rsidRPr="00C56F2E" w:rsidRDefault="007B4082" w:rsidP="007B4082">
            <w:pPr>
              <w:spacing w:after="0" w:line="240" w:lineRule="auto"/>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Mutual Cartago de Ahorro y Préstamo </w:t>
            </w:r>
          </w:p>
        </w:tc>
        <w:tc>
          <w:tcPr>
            <w:tcW w:w="1701" w:type="dxa"/>
            <w:tcBorders>
              <w:top w:val="nil"/>
              <w:left w:val="nil"/>
              <w:bottom w:val="nil"/>
              <w:right w:val="nil"/>
            </w:tcBorders>
            <w:shd w:val="clear" w:color="auto" w:fill="auto"/>
            <w:noWrap/>
            <w:vAlign w:val="bottom"/>
            <w:hideMark/>
          </w:tcPr>
          <w:p w14:paraId="32473DE1"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80 391,64 </w:t>
            </w:r>
          </w:p>
        </w:tc>
        <w:tc>
          <w:tcPr>
            <w:tcW w:w="1276" w:type="dxa"/>
            <w:tcBorders>
              <w:top w:val="nil"/>
              <w:left w:val="nil"/>
              <w:bottom w:val="nil"/>
              <w:right w:val="nil"/>
            </w:tcBorders>
            <w:shd w:val="clear" w:color="auto" w:fill="auto"/>
            <w:noWrap/>
            <w:vAlign w:val="bottom"/>
            <w:hideMark/>
          </w:tcPr>
          <w:p w14:paraId="182D4F15"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3,85%</w:t>
            </w:r>
          </w:p>
        </w:tc>
      </w:tr>
      <w:tr w:rsidR="007B4082" w:rsidRPr="00C56F2E" w14:paraId="58A119B1" w14:textId="77777777" w:rsidTr="00E3068D">
        <w:trPr>
          <w:trHeight w:val="106"/>
          <w:jc w:val="center"/>
        </w:trPr>
        <w:tc>
          <w:tcPr>
            <w:tcW w:w="5670" w:type="dxa"/>
            <w:tcBorders>
              <w:top w:val="nil"/>
              <w:left w:val="nil"/>
              <w:bottom w:val="nil"/>
              <w:right w:val="nil"/>
            </w:tcBorders>
            <w:shd w:val="clear" w:color="auto" w:fill="auto"/>
            <w:noWrap/>
            <w:vAlign w:val="bottom"/>
            <w:hideMark/>
          </w:tcPr>
          <w:p w14:paraId="08782F66" w14:textId="77777777" w:rsidR="007B4082" w:rsidRPr="00C56F2E" w:rsidRDefault="007B4082" w:rsidP="007B4082">
            <w:pPr>
              <w:spacing w:after="0" w:line="240" w:lineRule="auto"/>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Banco Centroamericano de Integración Económica </w:t>
            </w:r>
          </w:p>
        </w:tc>
        <w:tc>
          <w:tcPr>
            <w:tcW w:w="1701" w:type="dxa"/>
            <w:tcBorders>
              <w:top w:val="nil"/>
              <w:left w:val="nil"/>
              <w:bottom w:val="nil"/>
              <w:right w:val="nil"/>
            </w:tcBorders>
            <w:shd w:val="clear" w:color="auto" w:fill="auto"/>
            <w:noWrap/>
            <w:vAlign w:val="bottom"/>
            <w:hideMark/>
          </w:tcPr>
          <w:p w14:paraId="29135F58"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 xml:space="preserve"> 71 503,86 </w:t>
            </w:r>
          </w:p>
        </w:tc>
        <w:tc>
          <w:tcPr>
            <w:tcW w:w="1276" w:type="dxa"/>
            <w:tcBorders>
              <w:top w:val="nil"/>
              <w:left w:val="nil"/>
              <w:bottom w:val="nil"/>
              <w:right w:val="nil"/>
            </w:tcBorders>
            <w:shd w:val="clear" w:color="auto" w:fill="auto"/>
            <w:noWrap/>
            <w:vAlign w:val="bottom"/>
            <w:hideMark/>
          </w:tcPr>
          <w:p w14:paraId="0644DBFF"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3,42%</w:t>
            </w:r>
          </w:p>
        </w:tc>
      </w:tr>
      <w:tr w:rsidR="007B4082" w:rsidRPr="00C56F2E" w14:paraId="093383EA" w14:textId="77777777" w:rsidTr="00E3068D">
        <w:trPr>
          <w:trHeight w:val="106"/>
          <w:jc w:val="center"/>
        </w:trPr>
        <w:tc>
          <w:tcPr>
            <w:tcW w:w="5670" w:type="dxa"/>
            <w:tcBorders>
              <w:top w:val="nil"/>
              <w:left w:val="nil"/>
              <w:bottom w:val="single" w:sz="4" w:space="0" w:color="auto"/>
              <w:right w:val="nil"/>
            </w:tcBorders>
            <w:shd w:val="clear" w:color="auto" w:fill="auto"/>
            <w:noWrap/>
            <w:vAlign w:val="bottom"/>
            <w:hideMark/>
          </w:tcPr>
          <w:p w14:paraId="0AD255A4" w14:textId="77777777" w:rsidR="007B4082" w:rsidRPr="00C56F2E" w:rsidRDefault="007B4082" w:rsidP="007B4082">
            <w:pPr>
              <w:spacing w:after="0" w:line="240" w:lineRule="auto"/>
              <w:rPr>
                <w:rFonts w:asciiTheme="majorHAnsi" w:eastAsia="Times New Roman" w:hAnsiTheme="majorHAnsi" w:cstheme="minorHAnsi"/>
                <w:color w:val="000000"/>
                <w:szCs w:val="18"/>
                <w:lang w:val="en-US" w:eastAsia="es-CR"/>
              </w:rPr>
            </w:pPr>
            <w:r w:rsidRPr="00C56F2E">
              <w:rPr>
                <w:rFonts w:asciiTheme="majorHAnsi" w:eastAsia="Times New Roman" w:hAnsiTheme="majorHAnsi" w:cstheme="minorHAnsi"/>
                <w:color w:val="000000"/>
                <w:szCs w:val="18"/>
                <w:lang w:val="en-US" w:eastAsia="es-CR"/>
              </w:rPr>
              <w:t xml:space="preserve"> Florida ICE AND FARM S.A. </w:t>
            </w:r>
          </w:p>
        </w:tc>
        <w:tc>
          <w:tcPr>
            <w:tcW w:w="1701" w:type="dxa"/>
            <w:tcBorders>
              <w:top w:val="nil"/>
              <w:left w:val="nil"/>
              <w:bottom w:val="single" w:sz="4" w:space="0" w:color="auto"/>
              <w:right w:val="nil"/>
            </w:tcBorders>
            <w:shd w:val="clear" w:color="auto" w:fill="auto"/>
            <w:noWrap/>
            <w:vAlign w:val="bottom"/>
            <w:hideMark/>
          </w:tcPr>
          <w:p w14:paraId="2F46EA01" w14:textId="77777777" w:rsidR="007B4082" w:rsidRPr="00C56F2E" w:rsidRDefault="007B4082" w:rsidP="00C56F2E">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n-US" w:eastAsia="es-CR"/>
              </w:rPr>
              <w:t xml:space="preserve"> </w:t>
            </w:r>
            <w:r w:rsidRPr="00C56F2E">
              <w:rPr>
                <w:rFonts w:asciiTheme="majorHAnsi" w:eastAsia="Times New Roman" w:hAnsiTheme="majorHAnsi" w:cstheme="minorHAnsi"/>
                <w:color w:val="000000"/>
                <w:szCs w:val="18"/>
                <w:lang w:val="es-CR" w:eastAsia="es-CR"/>
              </w:rPr>
              <w:t xml:space="preserve">70 543,62 </w:t>
            </w:r>
          </w:p>
        </w:tc>
        <w:tc>
          <w:tcPr>
            <w:tcW w:w="1276" w:type="dxa"/>
            <w:tcBorders>
              <w:top w:val="nil"/>
              <w:left w:val="nil"/>
              <w:bottom w:val="single" w:sz="4" w:space="0" w:color="auto"/>
              <w:right w:val="nil"/>
            </w:tcBorders>
            <w:shd w:val="clear" w:color="auto" w:fill="auto"/>
            <w:noWrap/>
            <w:vAlign w:val="bottom"/>
            <w:hideMark/>
          </w:tcPr>
          <w:p w14:paraId="0C5BB1E0" w14:textId="77777777" w:rsidR="007B4082" w:rsidRPr="00C56F2E" w:rsidRDefault="007B4082" w:rsidP="007B4082">
            <w:pPr>
              <w:spacing w:after="0" w:line="240" w:lineRule="auto"/>
              <w:jc w:val="right"/>
              <w:rPr>
                <w:rFonts w:asciiTheme="majorHAnsi" w:eastAsia="Times New Roman" w:hAnsiTheme="majorHAnsi" w:cstheme="minorHAnsi"/>
                <w:color w:val="000000"/>
                <w:szCs w:val="18"/>
                <w:lang w:val="es-CR" w:eastAsia="es-CR"/>
              </w:rPr>
            </w:pPr>
            <w:r w:rsidRPr="00C56F2E">
              <w:rPr>
                <w:rFonts w:asciiTheme="majorHAnsi" w:eastAsia="Times New Roman" w:hAnsiTheme="majorHAnsi" w:cstheme="minorHAnsi"/>
                <w:color w:val="000000"/>
                <w:szCs w:val="18"/>
                <w:lang w:val="es-CR" w:eastAsia="es-CR"/>
              </w:rPr>
              <w:t>3,38%</w:t>
            </w:r>
          </w:p>
        </w:tc>
      </w:tr>
    </w:tbl>
    <w:p w14:paraId="1AB15B91" w14:textId="77777777" w:rsidR="00E3068D" w:rsidRPr="009B7058" w:rsidRDefault="00E3068D" w:rsidP="00E15415">
      <w:pPr>
        <w:spacing w:after="20" w:line="240" w:lineRule="auto"/>
        <w:ind w:left="142"/>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36FEB5B0" w14:textId="77777777" w:rsidR="007B4082" w:rsidRPr="008F5D99" w:rsidRDefault="007B4082" w:rsidP="00AB1521">
      <w:pPr>
        <w:spacing w:after="0" w:line="240" w:lineRule="auto"/>
        <w:jc w:val="center"/>
        <w:rPr>
          <w:rFonts w:asciiTheme="majorHAnsi" w:hAnsiTheme="majorHAnsi" w:cstheme="minorHAnsi"/>
          <w:lang w:val="es-CR"/>
        </w:rPr>
      </w:pPr>
    </w:p>
    <w:p w14:paraId="000B3C19"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 xml:space="preserve">Del total de activos invertidos en títulos del sector privado local </w:t>
      </w:r>
      <w:r w:rsidR="00E3068D" w:rsidRPr="008F5D99">
        <w:rPr>
          <w:rFonts w:asciiTheme="majorHAnsi" w:hAnsiTheme="majorHAnsi" w:cstheme="minorHAnsi"/>
        </w:rPr>
        <w:t>un</w:t>
      </w:r>
      <w:r w:rsidRPr="008F5D99">
        <w:rPr>
          <w:rFonts w:asciiTheme="majorHAnsi" w:hAnsiTheme="majorHAnsi" w:cstheme="minorHAnsi"/>
        </w:rPr>
        <w:t xml:space="preserve"> </w:t>
      </w:r>
      <w:r w:rsidR="00E3068D" w:rsidRPr="008F5D99">
        <w:rPr>
          <w:rFonts w:asciiTheme="majorHAnsi" w:hAnsiTheme="majorHAnsi" w:cstheme="minorHAnsi"/>
        </w:rPr>
        <w:t>billón</w:t>
      </w:r>
      <w:r w:rsidRPr="008F5D99">
        <w:rPr>
          <w:rFonts w:asciiTheme="majorHAnsi" w:hAnsiTheme="majorHAnsi" w:cstheme="minorHAnsi"/>
        </w:rPr>
        <w:t xml:space="preserve"> de colones (el </w:t>
      </w:r>
      <w:r w:rsidR="00E3068D" w:rsidRPr="008F5D99">
        <w:rPr>
          <w:rFonts w:asciiTheme="majorHAnsi" w:hAnsiTheme="majorHAnsi" w:cstheme="minorHAnsi"/>
        </w:rPr>
        <w:t>51</w:t>
      </w:r>
      <w:r w:rsidRPr="008F5D99">
        <w:rPr>
          <w:rFonts w:asciiTheme="majorHAnsi" w:hAnsiTheme="majorHAnsi" w:cstheme="minorHAnsi"/>
        </w:rPr>
        <w:t xml:space="preserve">%) se encuentra en deuda estandarizada, 0.6 billones de colones (el </w:t>
      </w:r>
      <w:r w:rsidR="00E3068D" w:rsidRPr="008F5D99">
        <w:rPr>
          <w:rFonts w:asciiTheme="majorHAnsi" w:hAnsiTheme="majorHAnsi" w:cstheme="minorHAnsi"/>
        </w:rPr>
        <w:t>29</w:t>
      </w:r>
      <w:r w:rsidRPr="008F5D99">
        <w:rPr>
          <w:rFonts w:asciiTheme="majorHAnsi" w:hAnsiTheme="majorHAnsi" w:cstheme="minorHAnsi"/>
        </w:rPr>
        <w:t>%) están colocados en deuda individual y 0.</w:t>
      </w:r>
      <w:r w:rsidR="00E3068D" w:rsidRPr="008F5D99">
        <w:rPr>
          <w:rFonts w:asciiTheme="majorHAnsi" w:hAnsiTheme="majorHAnsi" w:cstheme="minorHAnsi"/>
        </w:rPr>
        <w:t>04</w:t>
      </w:r>
      <w:r w:rsidRPr="008F5D99">
        <w:rPr>
          <w:rFonts w:asciiTheme="majorHAnsi" w:hAnsiTheme="majorHAnsi" w:cstheme="minorHAnsi"/>
        </w:rPr>
        <w:t xml:space="preserve"> </w:t>
      </w:r>
      <w:r w:rsidR="00E3068D" w:rsidRPr="008F5D99">
        <w:rPr>
          <w:rFonts w:asciiTheme="majorHAnsi" w:hAnsiTheme="majorHAnsi" w:cstheme="minorHAnsi"/>
        </w:rPr>
        <w:t>b</w:t>
      </w:r>
      <w:r w:rsidRPr="008F5D99">
        <w:rPr>
          <w:rFonts w:asciiTheme="majorHAnsi" w:hAnsiTheme="majorHAnsi" w:cstheme="minorHAnsi"/>
        </w:rPr>
        <w:t xml:space="preserve">illones de colones (el </w:t>
      </w:r>
      <w:r w:rsidR="00E3068D" w:rsidRPr="008F5D99">
        <w:rPr>
          <w:rFonts w:asciiTheme="majorHAnsi" w:hAnsiTheme="majorHAnsi" w:cstheme="minorHAnsi"/>
        </w:rPr>
        <w:t>18</w:t>
      </w:r>
      <w:r w:rsidRPr="008F5D99">
        <w:rPr>
          <w:rFonts w:asciiTheme="majorHAnsi" w:hAnsiTheme="majorHAnsi" w:cstheme="minorHAnsi"/>
        </w:rPr>
        <w:t>%) en acciones y fondos de inversión abiertos y cerrados. Ahora bien, del total de activos</w:t>
      </w:r>
      <w:r w:rsidR="00C77B75" w:rsidRPr="008F5D99">
        <w:rPr>
          <w:rFonts w:asciiTheme="majorHAnsi" w:hAnsiTheme="majorHAnsi" w:cstheme="minorHAnsi"/>
        </w:rPr>
        <w:t xml:space="preserve"> del SNP</w:t>
      </w:r>
      <w:r w:rsidRPr="008F5D99">
        <w:rPr>
          <w:rFonts w:asciiTheme="majorHAnsi" w:hAnsiTheme="majorHAnsi" w:cstheme="minorHAnsi"/>
        </w:rPr>
        <w:t xml:space="preserve"> invertidos en el sector privado local el </w:t>
      </w:r>
      <w:r w:rsidR="00E3068D" w:rsidRPr="008F5D99">
        <w:rPr>
          <w:rFonts w:asciiTheme="majorHAnsi" w:hAnsiTheme="majorHAnsi" w:cstheme="minorHAnsi"/>
        </w:rPr>
        <w:t>51</w:t>
      </w:r>
      <w:r w:rsidRPr="008F5D99">
        <w:rPr>
          <w:rFonts w:asciiTheme="majorHAnsi" w:hAnsiTheme="majorHAnsi" w:cstheme="minorHAnsi"/>
        </w:rPr>
        <w:t xml:space="preserve">% está colocado en los ROP, </w:t>
      </w:r>
      <w:r w:rsidR="00E3068D" w:rsidRPr="008F5D99">
        <w:rPr>
          <w:rFonts w:asciiTheme="majorHAnsi" w:hAnsiTheme="majorHAnsi" w:cstheme="minorHAnsi"/>
        </w:rPr>
        <w:t>el 27% en regímenes básicos,</w:t>
      </w:r>
      <w:r w:rsidR="00C77B75" w:rsidRPr="008F5D99">
        <w:rPr>
          <w:rFonts w:asciiTheme="majorHAnsi" w:hAnsiTheme="majorHAnsi" w:cstheme="minorHAnsi"/>
        </w:rPr>
        <w:t xml:space="preserve"> el 9% en el FCL,</w:t>
      </w:r>
      <w:r w:rsidR="00E3068D" w:rsidRPr="008F5D99">
        <w:rPr>
          <w:rFonts w:asciiTheme="majorHAnsi" w:hAnsiTheme="majorHAnsi" w:cstheme="minorHAnsi"/>
        </w:rPr>
        <w:t xml:space="preserve"> el </w:t>
      </w:r>
      <w:r w:rsidR="006A5EF9" w:rsidRPr="008F5D99">
        <w:rPr>
          <w:rFonts w:asciiTheme="majorHAnsi" w:hAnsiTheme="majorHAnsi" w:cstheme="minorHAnsi"/>
        </w:rPr>
        <w:t>7</w:t>
      </w:r>
      <w:r w:rsidRPr="008F5D99">
        <w:rPr>
          <w:rFonts w:asciiTheme="majorHAnsi" w:hAnsiTheme="majorHAnsi" w:cstheme="minorHAnsi"/>
        </w:rPr>
        <w:t>% en regímenes especiales y otros</w:t>
      </w:r>
      <w:r w:rsidR="006A5EF9" w:rsidRPr="008F5D99">
        <w:rPr>
          <w:rFonts w:asciiTheme="majorHAnsi" w:hAnsiTheme="majorHAnsi" w:cstheme="minorHAnsi"/>
        </w:rPr>
        <w:t xml:space="preserve"> y el restante 5% en los fondos voluntarios</w:t>
      </w:r>
      <w:r w:rsidRPr="008F5D99">
        <w:rPr>
          <w:rFonts w:asciiTheme="majorHAnsi" w:hAnsiTheme="majorHAnsi" w:cstheme="minorHAnsi"/>
        </w:rPr>
        <w:t xml:space="preserve">. </w:t>
      </w:r>
    </w:p>
    <w:p w14:paraId="30D7AA69" w14:textId="77777777" w:rsidR="00C77B75" w:rsidRPr="008F5D99" w:rsidRDefault="00C77B75" w:rsidP="00AB1521">
      <w:pPr>
        <w:spacing w:after="0" w:line="240" w:lineRule="auto"/>
        <w:jc w:val="both"/>
        <w:rPr>
          <w:rFonts w:asciiTheme="majorHAnsi" w:hAnsiTheme="majorHAnsi" w:cstheme="minorHAnsi"/>
        </w:rPr>
      </w:pPr>
    </w:p>
    <w:p w14:paraId="00719CF1" w14:textId="77777777" w:rsidR="00C02EEE" w:rsidRDefault="00D97237" w:rsidP="00AB1521">
      <w:pPr>
        <w:spacing w:after="0" w:line="240" w:lineRule="auto"/>
        <w:jc w:val="both"/>
        <w:rPr>
          <w:rFonts w:asciiTheme="majorHAnsi" w:hAnsiTheme="majorHAnsi" w:cstheme="minorHAnsi"/>
        </w:rPr>
      </w:pPr>
      <w:r w:rsidRPr="008F5D99">
        <w:rPr>
          <w:rFonts w:asciiTheme="majorHAnsi" w:hAnsiTheme="majorHAnsi" w:cstheme="minorHAnsi"/>
        </w:rPr>
        <w:t>En</w:t>
      </w:r>
      <w:r w:rsidR="00C02EEE" w:rsidRPr="008F5D99">
        <w:rPr>
          <w:rFonts w:asciiTheme="majorHAnsi" w:hAnsiTheme="majorHAnsi" w:cstheme="minorHAnsi"/>
        </w:rPr>
        <w:t xml:space="preserve"> este sector el </w:t>
      </w:r>
      <w:r w:rsidR="00D3139E" w:rsidRPr="008F5D99">
        <w:rPr>
          <w:rFonts w:asciiTheme="majorHAnsi" w:hAnsiTheme="majorHAnsi" w:cstheme="minorHAnsi"/>
        </w:rPr>
        <w:t xml:space="preserve">RCC del Magisterio Nacional </w:t>
      </w:r>
      <w:r w:rsidR="00A31090" w:rsidRPr="008F5D99">
        <w:rPr>
          <w:rFonts w:asciiTheme="majorHAnsi" w:hAnsiTheme="majorHAnsi" w:cstheme="minorHAnsi"/>
        </w:rPr>
        <w:t>representa</w:t>
      </w:r>
      <w:r w:rsidR="00D011F6" w:rsidRPr="008F5D99">
        <w:rPr>
          <w:rFonts w:asciiTheme="majorHAnsi" w:hAnsiTheme="majorHAnsi" w:cstheme="minorHAnsi"/>
        </w:rPr>
        <w:t xml:space="preserve"> un </w:t>
      </w:r>
      <w:r w:rsidR="00C77B75" w:rsidRPr="008F5D99">
        <w:rPr>
          <w:rFonts w:asciiTheme="majorHAnsi" w:hAnsiTheme="majorHAnsi" w:cstheme="minorHAnsi"/>
        </w:rPr>
        <w:t>20</w:t>
      </w:r>
      <w:r w:rsidR="00D011F6" w:rsidRPr="008F5D99">
        <w:rPr>
          <w:rFonts w:asciiTheme="majorHAnsi" w:hAnsiTheme="majorHAnsi" w:cstheme="minorHAnsi"/>
        </w:rPr>
        <w:t xml:space="preserve">%, BN Vital con </w:t>
      </w:r>
      <w:r w:rsidR="00C77B75" w:rsidRPr="008F5D99">
        <w:rPr>
          <w:rFonts w:asciiTheme="majorHAnsi" w:hAnsiTheme="majorHAnsi" w:cstheme="minorHAnsi"/>
        </w:rPr>
        <w:t>19</w:t>
      </w:r>
      <w:r w:rsidR="00D011F6" w:rsidRPr="008F5D99">
        <w:rPr>
          <w:rFonts w:asciiTheme="majorHAnsi" w:hAnsiTheme="majorHAnsi" w:cstheme="minorHAnsi"/>
        </w:rPr>
        <w:t>%</w:t>
      </w:r>
      <w:r w:rsidR="00C77B75" w:rsidRPr="008F5D99">
        <w:rPr>
          <w:rFonts w:asciiTheme="majorHAnsi" w:hAnsiTheme="majorHAnsi" w:cstheme="minorHAnsi"/>
        </w:rPr>
        <w:t xml:space="preserve">, </w:t>
      </w:r>
      <w:r w:rsidR="00D011F6" w:rsidRPr="008F5D99">
        <w:rPr>
          <w:rFonts w:asciiTheme="majorHAnsi" w:hAnsiTheme="majorHAnsi" w:cstheme="minorHAnsi"/>
        </w:rPr>
        <w:t xml:space="preserve">BCR Pensión </w:t>
      </w:r>
      <w:r w:rsidR="00C02EEE" w:rsidRPr="008F5D99">
        <w:rPr>
          <w:rFonts w:asciiTheme="majorHAnsi" w:hAnsiTheme="majorHAnsi" w:cstheme="minorHAnsi"/>
        </w:rPr>
        <w:t>1</w:t>
      </w:r>
      <w:r w:rsidR="00C77B75" w:rsidRPr="008F5D99">
        <w:rPr>
          <w:rFonts w:asciiTheme="majorHAnsi" w:hAnsiTheme="majorHAnsi" w:cstheme="minorHAnsi"/>
        </w:rPr>
        <w:t>4</w:t>
      </w:r>
      <w:r w:rsidR="00C02EEE" w:rsidRPr="008F5D99">
        <w:rPr>
          <w:rFonts w:asciiTheme="majorHAnsi" w:hAnsiTheme="majorHAnsi" w:cstheme="minorHAnsi"/>
        </w:rPr>
        <w:t>%,</w:t>
      </w:r>
      <w:r w:rsidR="00C77B75" w:rsidRPr="008F5D99">
        <w:rPr>
          <w:rFonts w:asciiTheme="majorHAnsi" w:hAnsiTheme="majorHAnsi" w:cstheme="minorHAnsi"/>
        </w:rPr>
        <w:t xml:space="preserve"> Popular Pensiones 12%, </w:t>
      </w:r>
      <w:r w:rsidR="00C02EEE" w:rsidRPr="008F5D99">
        <w:rPr>
          <w:rFonts w:asciiTheme="majorHAnsi" w:hAnsiTheme="majorHAnsi" w:cstheme="minorHAnsi"/>
        </w:rPr>
        <w:t xml:space="preserve">el Vida Plena </w:t>
      </w:r>
      <w:r w:rsidR="00C77B75" w:rsidRPr="008F5D99">
        <w:rPr>
          <w:rFonts w:asciiTheme="majorHAnsi" w:hAnsiTheme="majorHAnsi" w:cstheme="minorHAnsi"/>
        </w:rPr>
        <w:t>10</w:t>
      </w:r>
      <w:r w:rsidR="00C02EEE" w:rsidRPr="008F5D99">
        <w:rPr>
          <w:rFonts w:asciiTheme="majorHAnsi" w:hAnsiTheme="majorHAnsi" w:cstheme="minorHAnsi"/>
        </w:rPr>
        <w:t xml:space="preserve">% y BAC SJ Pensiones con </w:t>
      </w:r>
      <w:r w:rsidR="00C77B75" w:rsidRPr="008F5D99">
        <w:rPr>
          <w:rFonts w:asciiTheme="majorHAnsi" w:hAnsiTheme="majorHAnsi" w:cstheme="minorHAnsi"/>
        </w:rPr>
        <w:t>6</w:t>
      </w:r>
      <w:r w:rsidR="00C02EEE" w:rsidRPr="008F5D99">
        <w:rPr>
          <w:rFonts w:asciiTheme="majorHAnsi" w:hAnsiTheme="majorHAnsi" w:cstheme="minorHAnsi"/>
        </w:rPr>
        <w:t>%. Estas seis entidades representan el 8</w:t>
      </w:r>
      <w:r w:rsidR="00C77B75" w:rsidRPr="008F5D99">
        <w:rPr>
          <w:rFonts w:asciiTheme="majorHAnsi" w:hAnsiTheme="majorHAnsi" w:cstheme="minorHAnsi"/>
        </w:rPr>
        <w:t>1</w:t>
      </w:r>
      <w:r w:rsidR="00C02EEE" w:rsidRPr="008F5D99">
        <w:rPr>
          <w:rFonts w:asciiTheme="majorHAnsi" w:hAnsiTheme="majorHAnsi" w:cstheme="minorHAnsi"/>
        </w:rPr>
        <w:t>% del total de activos</w:t>
      </w:r>
      <w:r w:rsidR="00C77B75" w:rsidRPr="008F5D99">
        <w:rPr>
          <w:rFonts w:asciiTheme="majorHAnsi" w:hAnsiTheme="majorHAnsi" w:cstheme="minorHAnsi"/>
        </w:rPr>
        <w:t xml:space="preserve"> del SNP</w:t>
      </w:r>
      <w:r w:rsidR="00C02EEE" w:rsidRPr="008F5D99">
        <w:rPr>
          <w:rFonts w:asciiTheme="majorHAnsi" w:hAnsiTheme="majorHAnsi" w:cstheme="minorHAnsi"/>
        </w:rPr>
        <w:t xml:space="preserve"> invertidos en el sector privado.</w:t>
      </w:r>
    </w:p>
    <w:p w14:paraId="7196D064" w14:textId="77777777" w:rsidR="001F7E5B" w:rsidRDefault="001F7E5B" w:rsidP="00AB1521">
      <w:pPr>
        <w:spacing w:after="0" w:line="240" w:lineRule="auto"/>
        <w:jc w:val="both"/>
        <w:rPr>
          <w:rFonts w:asciiTheme="majorHAnsi" w:hAnsiTheme="majorHAnsi" w:cstheme="minorHAnsi"/>
        </w:rPr>
      </w:pPr>
    </w:p>
    <w:p w14:paraId="229792EB" w14:textId="79CE21B1" w:rsidR="001F7E5B" w:rsidRDefault="001F7E5B" w:rsidP="001F7E5B">
      <w:pPr>
        <w:spacing w:after="0" w:line="240" w:lineRule="auto"/>
        <w:jc w:val="center"/>
        <w:rPr>
          <w:rFonts w:asciiTheme="majorHAnsi" w:hAnsiTheme="majorHAnsi" w:cstheme="minorHAnsi"/>
        </w:rPr>
      </w:pPr>
      <w:r w:rsidRPr="0033676D">
        <w:rPr>
          <w:rFonts w:asciiTheme="majorHAnsi" w:hAnsiTheme="majorHAnsi" w:cstheme="minorHAnsi"/>
        </w:rPr>
        <w:t xml:space="preserve">Gráfico </w:t>
      </w:r>
      <w:r w:rsidRPr="0033676D">
        <w:rPr>
          <w:rFonts w:asciiTheme="majorHAnsi" w:hAnsiTheme="majorHAnsi" w:cstheme="minorHAnsi"/>
        </w:rPr>
        <w:fldChar w:fldCharType="begin"/>
      </w:r>
      <w:r w:rsidRPr="0033676D">
        <w:rPr>
          <w:rFonts w:asciiTheme="majorHAnsi" w:hAnsiTheme="majorHAnsi" w:cstheme="minorHAnsi"/>
        </w:rPr>
        <w:instrText xml:space="preserve"> SEQ Gráfico \* ARABIC </w:instrText>
      </w:r>
      <w:r w:rsidRPr="0033676D">
        <w:rPr>
          <w:rFonts w:asciiTheme="majorHAnsi" w:hAnsiTheme="majorHAnsi" w:cstheme="minorHAnsi"/>
        </w:rPr>
        <w:fldChar w:fldCharType="separate"/>
      </w:r>
      <w:r w:rsidR="00F7428D">
        <w:rPr>
          <w:rFonts w:asciiTheme="majorHAnsi" w:hAnsiTheme="majorHAnsi" w:cstheme="minorHAnsi"/>
          <w:noProof/>
        </w:rPr>
        <w:t>3</w:t>
      </w:r>
      <w:r w:rsidRPr="0033676D">
        <w:rPr>
          <w:rFonts w:asciiTheme="majorHAnsi" w:hAnsiTheme="majorHAnsi" w:cstheme="minorHAnsi"/>
        </w:rPr>
        <w:fldChar w:fldCharType="end"/>
      </w:r>
    </w:p>
    <w:p w14:paraId="385019D1" w14:textId="77777777" w:rsidR="001F7E5B" w:rsidRDefault="001F7E5B" w:rsidP="001F7E5B">
      <w:pPr>
        <w:spacing w:after="0" w:line="240" w:lineRule="auto"/>
        <w:jc w:val="center"/>
        <w:rPr>
          <w:rFonts w:asciiTheme="majorHAnsi" w:hAnsiTheme="majorHAnsi" w:cstheme="minorHAnsi"/>
        </w:rPr>
      </w:pPr>
      <w:r>
        <w:rPr>
          <w:rFonts w:asciiTheme="majorHAnsi" w:hAnsiTheme="majorHAnsi" w:cstheme="minorHAnsi"/>
        </w:rPr>
        <w:t>Límite sector privado</w:t>
      </w:r>
    </w:p>
    <w:p w14:paraId="44A6D299" w14:textId="77777777" w:rsidR="001F7E5B" w:rsidRDefault="001F7E5B" w:rsidP="001F7E5B">
      <w:pPr>
        <w:spacing w:after="0" w:line="240" w:lineRule="auto"/>
        <w:jc w:val="center"/>
        <w:rPr>
          <w:rFonts w:asciiTheme="majorHAnsi" w:hAnsiTheme="majorHAnsi" w:cstheme="minorHAnsi"/>
        </w:rPr>
      </w:pPr>
      <w:r>
        <w:rPr>
          <w:rFonts w:asciiTheme="majorHAnsi" w:hAnsiTheme="majorHAnsi" w:cstheme="minorHAnsi"/>
        </w:rPr>
        <w:t>De los fondos administrados por las OPC</w:t>
      </w:r>
    </w:p>
    <w:p w14:paraId="0C84855D" w14:textId="77777777" w:rsidR="001F7E5B" w:rsidRDefault="001F7E5B" w:rsidP="001F7E5B">
      <w:pPr>
        <w:spacing w:after="0" w:line="240" w:lineRule="auto"/>
        <w:jc w:val="center"/>
        <w:rPr>
          <w:rFonts w:asciiTheme="majorHAnsi" w:hAnsiTheme="majorHAnsi" w:cstheme="minorHAnsi"/>
        </w:rPr>
      </w:pPr>
      <w:r>
        <w:rPr>
          <w:rFonts w:asciiTheme="majorHAnsi" w:hAnsiTheme="majorHAnsi" w:cstheme="minorHAnsi"/>
        </w:rPr>
        <w:t>Al 31 de d</w:t>
      </w:r>
      <w:r w:rsidRPr="008F5D99">
        <w:rPr>
          <w:rFonts w:asciiTheme="majorHAnsi" w:hAnsiTheme="majorHAnsi" w:cstheme="minorHAnsi"/>
        </w:rPr>
        <w:t>iciembre 2018</w:t>
      </w:r>
    </w:p>
    <w:p w14:paraId="34FF1C98" w14:textId="77777777" w:rsidR="001F7E5B" w:rsidRPr="008F5D99" w:rsidRDefault="001F7E5B" w:rsidP="001F7E5B">
      <w:pPr>
        <w:spacing w:after="20" w:line="240" w:lineRule="auto"/>
        <w:jc w:val="center"/>
        <w:rPr>
          <w:rFonts w:asciiTheme="majorHAnsi" w:hAnsiTheme="majorHAnsi" w:cstheme="minorHAnsi"/>
        </w:rPr>
      </w:pPr>
      <w:r>
        <w:rPr>
          <w:noProof/>
        </w:rPr>
        <w:drawing>
          <wp:inline distT="0" distB="0" distL="0" distR="0" wp14:anchorId="75F7BF1F" wp14:editId="3C6BFD27">
            <wp:extent cx="5562600" cy="2743200"/>
            <wp:effectExtent l="0" t="0" r="0" b="0"/>
            <wp:docPr id="10" name="Gráfico 10">
              <a:extLst xmlns:a="http://schemas.openxmlformats.org/drawingml/2006/main">
                <a:ext uri="{FF2B5EF4-FFF2-40B4-BE49-F238E27FC236}">
                  <a16:creationId xmlns:a16="http://schemas.microsoft.com/office/drawing/2014/main" id="{3F881E79-CC50-42B7-880C-FEA24A393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FCB5F7" w14:textId="77777777" w:rsidR="001F7E5B" w:rsidRPr="009B7058" w:rsidRDefault="001F7E5B" w:rsidP="001F7E5B">
      <w:pPr>
        <w:spacing w:after="20" w:line="240" w:lineRule="auto"/>
        <w:ind w:left="142"/>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6D072C0D" w14:textId="77777777" w:rsidR="007033BB" w:rsidRDefault="007033BB" w:rsidP="00AB1521">
      <w:pPr>
        <w:spacing w:after="0" w:line="240" w:lineRule="auto"/>
        <w:jc w:val="both"/>
        <w:rPr>
          <w:rFonts w:asciiTheme="majorHAnsi" w:hAnsiTheme="majorHAnsi" w:cstheme="minorHAnsi"/>
          <w:lang w:val="es-CR"/>
        </w:rPr>
      </w:pPr>
    </w:p>
    <w:p w14:paraId="558E9A0E" w14:textId="77777777" w:rsidR="004D7B7D" w:rsidRDefault="004D7B7D" w:rsidP="3373A143">
      <w:pPr>
        <w:spacing w:after="0" w:line="240" w:lineRule="auto"/>
        <w:jc w:val="both"/>
        <w:rPr>
          <w:rFonts w:asciiTheme="majorHAnsi" w:hAnsiTheme="majorHAnsi"/>
          <w:highlight w:val="yellow"/>
        </w:rPr>
      </w:pPr>
    </w:p>
    <w:p w14:paraId="485DF155" w14:textId="563211A7" w:rsidR="00E22597" w:rsidRPr="00D87ABD" w:rsidRDefault="00AB7F61" w:rsidP="00E22597">
      <w:pPr>
        <w:spacing w:after="0" w:line="240" w:lineRule="auto"/>
        <w:jc w:val="both"/>
        <w:rPr>
          <w:rFonts w:asciiTheme="majorHAnsi" w:hAnsiTheme="majorHAnsi"/>
        </w:rPr>
      </w:pPr>
      <w:r w:rsidRPr="00D87ABD">
        <w:rPr>
          <w:rFonts w:asciiTheme="majorHAnsi" w:hAnsiTheme="majorHAnsi"/>
        </w:rPr>
        <w:t xml:space="preserve">A nivel general </w:t>
      </w:r>
      <w:r w:rsidR="009904AC" w:rsidRPr="00D87ABD">
        <w:rPr>
          <w:rFonts w:asciiTheme="majorHAnsi" w:hAnsiTheme="majorHAnsi"/>
        </w:rPr>
        <w:t xml:space="preserve">los fondos que </w:t>
      </w:r>
      <w:r w:rsidR="00205B61" w:rsidRPr="00D87ABD">
        <w:rPr>
          <w:rFonts w:asciiTheme="majorHAnsi" w:hAnsiTheme="majorHAnsi"/>
        </w:rPr>
        <w:t>más porcentaje de la cartera invierte en el sector privado</w:t>
      </w:r>
      <w:r w:rsidR="00E83E41" w:rsidRPr="00D87ABD">
        <w:rPr>
          <w:rFonts w:asciiTheme="majorHAnsi" w:hAnsiTheme="majorHAnsi"/>
        </w:rPr>
        <w:t xml:space="preserve"> local</w:t>
      </w:r>
      <w:r w:rsidR="00205B61" w:rsidRPr="00D87ABD">
        <w:rPr>
          <w:rFonts w:asciiTheme="majorHAnsi" w:hAnsiTheme="majorHAnsi"/>
        </w:rPr>
        <w:t xml:space="preserve"> </w:t>
      </w:r>
      <w:r w:rsidR="009904AC" w:rsidRPr="00D87ABD">
        <w:rPr>
          <w:rFonts w:asciiTheme="majorHAnsi" w:hAnsiTheme="majorHAnsi"/>
        </w:rPr>
        <w:t xml:space="preserve">son los </w:t>
      </w:r>
      <w:r w:rsidR="004D7B7D" w:rsidRPr="00D87ABD">
        <w:rPr>
          <w:rFonts w:asciiTheme="majorHAnsi" w:hAnsiTheme="majorHAnsi"/>
        </w:rPr>
        <w:t>voluntarios en colones y dólares y el FCL</w:t>
      </w:r>
      <w:r w:rsidR="003E150F" w:rsidRPr="00D87ABD">
        <w:rPr>
          <w:rFonts w:asciiTheme="majorHAnsi" w:hAnsiTheme="majorHAnsi"/>
        </w:rPr>
        <w:t>.</w:t>
      </w:r>
      <w:r w:rsidR="00E22597" w:rsidRPr="00D87ABD">
        <w:rPr>
          <w:rFonts w:asciiTheme="majorHAnsi" w:hAnsiTheme="majorHAnsi"/>
        </w:rPr>
        <w:t xml:space="preserve"> </w:t>
      </w:r>
      <w:r w:rsidR="00205B61" w:rsidRPr="00D87ABD">
        <w:rPr>
          <w:rFonts w:asciiTheme="majorHAnsi" w:hAnsiTheme="majorHAnsi"/>
        </w:rPr>
        <w:t>El ranking de los</w:t>
      </w:r>
      <w:r w:rsidR="00E22597" w:rsidRPr="00D87ABD">
        <w:rPr>
          <w:rFonts w:asciiTheme="majorHAnsi" w:hAnsiTheme="majorHAnsi"/>
        </w:rPr>
        <w:t xml:space="preserve"> cinco fondos que más porcentaje de la cartera invierte en </w:t>
      </w:r>
      <w:r w:rsidR="00205B61" w:rsidRPr="00D87ABD">
        <w:rPr>
          <w:rFonts w:asciiTheme="majorHAnsi" w:hAnsiTheme="majorHAnsi"/>
        </w:rPr>
        <w:t>este</w:t>
      </w:r>
      <w:r w:rsidR="00E22597" w:rsidRPr="00D87ABD">
        <w:rPr>
          <w:rFonts w:asciiTheme="majorHAnsi" w:hAnsiTheme="majorHAnsi"/>
        </w:rPr>
        <w:t xml:space="preserve"> sector son administrados</w:t>
      </w:r>
      <w:r w:rsidR="00205B61" w:rsidRPr="00D87ABD">
        <w:rPr>
          <w:rFonts w:asciiTheme="majorHAnsi" w:hAnsiTheme="majorHAnsi"/>
        </w:rPr>
        <w:t xml:space="preserve"> una misma operadora de pensiones,</w:t>
      </w:r>
      <w:r w:rsidR="00E22597" w:rsidRPr="00D87ABD">
        <w:rPr>
          <w:rFonts w:asciiTheme="majorHAnsi" w:hAnsiTheme="majorHAnsi"/>
        </w:rPr>
        <w:t xml:space="preserve"> BCR Pensión</w:t>
      </w:r>
      <w:r w:rsidR="00205B61" w:rsidRPr="00D87ABD">
        <w:rPr>
          <w:rFonts w:asciiTheme="majorHAnsi" w:hAnsiTheme="majorHAnsi"/>
        </w:rPr>
        <w:t>,</w:t>
      </w:r>
      <w:r w:rsidR="00E22597" w:rsidRPr="00D87ABD">
        <w:rPr>
          <w:rFonts w:asciiTheme="majorHAnsi" w:hAnsiTheme="majorHAnsi"/>
        </w:rPr>
        <w:t xml:space="preserve"> con porcentajes respecto del activo que rondan el 45% y el 61%.</w:t>
      </w:r>
    </w:p>
    <w:p w14:paraId="236B5591" w14:textId="7A05B782" w:rsidR="00E22597" w:rsidRDefault="00E22597" w:rsidP="3373A143">
      <w:pPr>
        <w:spacing w:after="0" w:line="240" w:lineRule="auto"/>
        <w:jc w:val="both"/>
        <w:rPr>
          <w:rFonts w:asciiTheme="majorHAnsi" w:hAnsiTheme="majorHAnsi"/>
          <w:highlight w:val="yellow"/>
        </w:rPr>
      </w:pPr>
    </w:p>
    <w:p w14:paraId="01847ECC" w14:textId="66ED498C" w:rsidR="001F7E5B" w:rsidRDefault="3373A143" w:rsidP="3373A143">
      <w:pPr>
        <w:spacing w:after="0" w:line="240" w:lineRule="auto"/>
        <w:jc w:val="both"/>
        <w:rPr>
          <w:rFonts w:asciiTheme="majorHAnsi" w:hAnsiTheme="majorHAnsi"/>
        </w:rPr>
      </w:pPr>
      <w:r w:rsidRPr="3373A143">
        <w:rPr>
          <w:rFonts w:asciiTheme="majorHAnsi" w:hAnsiTheme="majorHAnsi"/>
        </w:rPr>
        <w:t xml:space="preserve">En el caso del ROP, la entidad más concentrada </w:t>
      </w:r>
      <w:r w:rsidR="00B9062B">
        <w:rPr>
          <w:rFonts w:asciiTheme="majorHAnsi" w:hAnsiTheme="majorHAnsi"/>
        </w:rPr>
        <w:t xml:space="preserve">en el sector </w:t>
      </w:r>
      <w:r w:rsidRPr="3373A143">
        <w:rPr>
          <w:rFonts w:asciiTheme="majorHAnsi" w:hAnsiTheme="majorHAnsi"/>
        </w:rPr>
        <w:t>es CCSS OPC con un 32% y la que tiene menos inversiones del sector es Popular Pensiones con un 8% del total del activo administrado.</w:t>
      </w:r>
    </w:p>
    <w:p w14:paraId="48A21919" w14:textId="77777777" w:rsidR="007C2C22" w:rsidRDefault="007C2C22" w:rsidP="001F7E5B">
      <w:pPr>
        <w:spacing w:after="0" w:line="240" w:lineRule="auto"/>
        <w:jc w:val="both"/>
        <w:rPr>
          <w:rFonts w:asciiTheme="majorHAnsi" w:hAnsiTheme="majorHAnsi" w:cstheme="minorHAnsi"/>
        </w:rPr>
      </w:pPr>
    </w:p>
    <w:p w14:paraId="6D7516B7" w14:textId="15CF694C" w:rsidR="007C2C22" w:rsidRDefault="007C2C22" w:rsidP="007C2C22">
      <w:pPr>
        <w:spacing w:after="0" w:line="240" w:lineRule="auto"/>
        <w:jc w:val="both"/>
        <w:rPr>
          <w:rFonts w:asciiTheme="majorHAnsi" w:hAnsiTheme="majorHAnsi" w:cstheme="minorHAnsi"/>
        </w:rPr>
      </w:pPr>
      <w:r>
        <w:rPr>
          <w:rFonts w:asciiTheme="majorHAnsi" w:hAnsiTheme="majorHAnsi" w:cstheme="minorHAnsi"/>
        </w:rPr>
        <w:t xml:space="preserve">En los regímenes básicos y </w:t>
      </w:r>
      <w:r w:rsidR="00695F60">
        <w:rPr>
          <w:rFonts w:asciiTheme="majorHAnsi" w:hAnsiTheme="majorHAnsi" w:cstheme="minorHAnsi"/>
        </w:rPr>
        <w:t>complementarios el</w:t>
      </w:r>
      <w:r>
        <w:rPr>
          <w:rFonts w:asciiTheme="majorHAnsi" w:hAnsiTheme="majorHAnsi" w:cstheme="minorHAnsi"/>
        </w:rPr>
        <w:t xml:space="preserve"> porcentaje del activo administrado</w:t>
      </w:r>
      <w:r w:rsidR="00695F60">
        <w:rPr>
          <w:rFonts w:asciiTheme="majorHAnsi" w:hAnsiTheme="majorHAnsi" w:cstheme="minorHAnsi"/>
        </w:rPr>
        <w:t xml:space="preserve"> invertido en el </w:t>
      </w:r>
      <w:r>
        <w:rPr>
          <w:rFonts w:asciiTheme="majorHAnsi" w:hAnsiTheme="majorHAnsi" w:cstheme="minorHAnsi"/>
        </w:rPr>
        <w:t>sector p</w:t>
      </w:r>
      <w:r w:rsidR="00695F60">
        <w:rPr>
          <w:rFonts w:asciiTheme="majorHAnsi" w:hAnsiTheme="majorHAnsi" w:cstheme="minorHAnsi"/>
        </w:rPr>
        <w:t>rivado</w:t>
      </w:r>
      <w:r>
        <w:rPr>
          <w:rFonts w:asciiTheme="majorHAnsi" w:hAnsiTheme="majorHAnsi" w:cstheme="minorHAnsi"/>
        </w:rPr>
        <w:t xml:space="preserve"> local</w:t>
      </w:r>
      <w:r w:rsidR="00695F60">
        <w:rPr>
          <w:rFonts w:asciiTheme="majorHAnsi" w:hAnsiTheme="majorHAnsi" w:cstheme="minorHAnsi"/>
        </w:rPr>
        <w:t xml:space="preserve"> se encuentra entre el 3% y el 35%</w:t>
      </w:r>
      <w:r w:rsidR="00E83E41">
        <w:rPr>
          <w:rFonts w:asciiTheme="majorHAnsi" w:hAnsiTheme="majorHAnsi" w:cstheme="minorHAnsi"/>
        </w:rPr>
        <w:t>, s</w:t>
      </w:r>
      <w:r w:rsidR="00695F60">
        <w:rPr>
          <w:rFonts w:asciiTheme="majorHAnsi" w:hAnsiTheme="majorHAnsi" w:cstheme="minorHAnsi"/>
        </w:rPr>
        <w:t xml:space="preserve">iendo los fondos de RECOPE y el de vendedores de lotería los que </w:t>
      </w:r>
      <w:r w:rsidR="00695F60" w:rsidRPr="00D87ABD">
        <w:rPr>
          <w:rFonts w:asciiTheme="majorHAnsi" w:hAnsiTheme="majorHAnsi" w:cstheme="minorHAnsi"/>
        </w:rPr>
        <w:t xml:space="preserve">más </w:t>
      </w:r>
      <w:r w:rsidR="00E83E41" w:rsidRPr="00D87ABD">
        <w:rPr>
          <w:rFonts w:asciiTheme="majorHAnsi" w:hAnsiTheme="majorHAnsi"/>
        </w:rPr>
        <w:t xml:space="preserve">porcentaje de la cartera respecto del activo </w:t>
      </w:r>
      <w:r w:rsidR="00695F60" w:rsidRPr="00D87ABD">
        <w:rPr>
          <w:rFonts w:asciiTheme="majorHAnsi" w:hAnsiTheme="majorHAnsi" w:cstheme="minorHAnsi"/>
        </w:rPr>
        <w:t>invierte</w:t>
      </w:r>
      <w:r w:rsidR="00695F60">
        <w:rPr>
          <w:rFonts w:asciiTheme="majorHAnsi" w:hAnsiTheme="majorHAnsi" w:cstheme="minorHAnsi"/>
        </w:rPr>
        <w:t xml:space="preserve"> en el sector y el IVM el que menos invierte.</w:t>
      </w:r>
    </w:p>
    <w:p w14:paraId="0F3CABC7" w14:textId="77777777" w:rsidR="007C2C22" w:rsidRDefault="007C2C22" w:rsidP="001F7E5B">
      <w:pPr>
        <w:spacing w:after="0" w:line="240" w:lineRule="auto"/>
        <w:jc w:val="both"/>
        <w:rPr>
          <w:rFonts w:asciiTheme="majorHAnsi" w:hAnsiTheme="majorHAnsi" w:cstheme="minorHAnsi"/>
        </w:rPr>
      </w:pPr>
    </w:p>
    <w:p w14:paraId="78A32D3B" w14:textId="72910F47" w:rsidR="007C2C22" w:rsidRDefault="007C2C22" w:rsidP="007C2C22">
      <w:pPr>
        <w:spacing w:after="0" w:line="240" w:lineRule="auto"/>
        <w:jc w:val="center"/>
        <w:rPr>
          <w:rFonts w:asciiTheme="majorHAnsi" w:hAnsiTheme="majorHAnsi" w:cstheme="minorHAnsi"/>
        </w:rPr>
      </w:pPr>
      <w:r w:rsidRPr="00947FD6">
        <w:rPr>
          <w:rFonts w:asciiTheme="majorHAnsi" w:hAnsiTheme="majorHAnsi" w:cstheme="minorHAnsi"/>
        </w:rPr>
        <w:lastRenderedPageBreak/>
        <w:t xml:space="preserve">Cuadro </w:t>
      </w:r>
      <w:r w:rsidRPr="00947FD6">
        <w:rPr>
          <w:rFonts w:asciiTheme="majorHAnsi" w:hAnsiTheme="majorHAnsi" w:cstheme="minorHAnsi"/>
        </w:rPr>
        <w:fldChar w:fldCharType="begin"/>
      </w:r>
      <w:r w:rsidRPr="00947FD6">
        <w:rPr>
          <w:rFonts w:asciiTheme="majorHAnsi" w:hAnsiTheme="majorHAnsi" w:cstheme="minorHAnsi"/>
        </w:rPr>
        <w:instrText xml:space="preserve"> SEQ Cuadro \* ARABIC </w:instrText>
      </w:r>
      <w:r w:rsidRPr="00947FD6">
        <w:rPr>
          <w:rFonts w:asciiTheme="majorHAnsi" w:hAnsiTheme="majorHAnsi" w:cstheme="minorHAnsi"/>
        </w:rPr>
        <w:fldChar w:fldCharType="separate"/>
      </w:r>
      <w:r w:rsidR="00F7428D">
        <w:rPr>
          <w:rFonts w:asciiTheme="majorHAnsi" w:hAnsiTheme="majorHAnsi" w:cstheme="minorHAnsi"/>
          <w:noProof/>
        </w:rPr>
        <w:t>7</w:t>
      </w:r>
      <w:r w:rsidRPr="00947FD6">
        <w:rPr>
          <w:rFonts w:asciiTheme="majorHAnsi" w:hAnsiTheme="majorHAnsi" w:cstheme="minorHAnsi"/>
        </w:rPr>
        <w:fldChar w:fldCharType="end"/>
      </w:r>
    </w:p>
    <w:p w14:paraId="4E6BAE5D" w14:textId="77777777" w:rsidR="007C2C22" w:rsidRDefault="007C2C22" w:rsidP="007C2C22">
      <w:pPr>
        <w:spacing w:after="0" w:line="240" w:lineRule="auto"/>
        <w:jc w:val="center"/>
        <w:rPr>
          <w:rFonts w:asciiTheme="majorHAnsi" w:hAnsiTheme="majorHAnsi" w:cstheme="minorHAnsi"/>
        </w:rPr>
      </w:pPr>
      <w:r>
        <w:rPr>
          <w:rFonts w:asciiTheme="majorHAnsi" w:hAnsiTheme="majorHAnsi" w:cstheme="minorHAnsi"/>
        </w:rPr>
        <w:t>Límite en Sector Privado Local</w:t>
      </w:r>
    </w:p>
    <w:p w14:paraId="72B01FF5" w14:textId="77777777" w:rsidR="007C2C22" w:rsidRDefault="007C2C22" w:rsidP="007C2C22">
      <w:pPr>
        <w:spacing w:after="0" w:line="240" w:lineRule="auto"/>
        <w:jc w:val="center"/>
        <w:rPr>
          <w:rFonts w:asciiTheme="majorHAnsi" w:hAnsiTheme="majorHAnsi" w:cstheme="minorHAnsi"/>
        </w:rPr>
      </w:pPr>
      <w:r>
        <w:rPr>
          <w:rFonts w:asciiTheme="majorHAnsi" w:hAnsiTheme="majorHAnsi" w:cstheme="minorHAnsi"/>
        </w:rPr>
        <w:t>De los Regímenes Básicos y Complementarios</w:t>
      </w:r>
    </w:p>
    <w:p w14:paraId="69CEBF7F" w14:textId="77777777" w:rsidR="007C2C22" w:rsidRDefault="007C2C22" w:rsidP="007C2C22">
      <w:pPr>
        <w:spacing w:after="0" w:line="240" w:lineRule="auto"/>
        <w:jc w:val="center"/>
        <w:rPr>
          <w:rFonts w:asciiTheme="majorHAnsi" w:hAnsiTheme="majorHAnsi" w:cstheme="minorHAnsi"/>
        </w:rPr>
      </w:pPr>
      <w:r>
        <w:rPr>
          <w:rFonts w:asciiTheme="majorHAnsi" w:hAnsiTheme="majorHAnsi" w:cstheme="minorHAnsi"/>
        </w:rPr>
        <w:t>Al 31 de d</w:t>
      </w:r>
      <w:r w:rsidRPr="008F5D99">
        <w:rPr>
          <w:rFonts w:asciiTheme="majorHAnsi" w:hAnsiTheme="majorHAnsi" w:cstheme="minorHAnsi"/>
        </w:rPr>
        <w:t>iciembre 2018</w:t>
      </w:r>
    </w:p>
    <w:tbl>
      <w:tblPr>
        <w:tblW w:w="5349" w:type="dxa"/>
        <w:jc w:val="center"/>
        <w:tblCellMar>
          <w:left w:w="70" w:type="dxa"/>
          <w:right w:w="70" w:type="dxa"/>
        </w:tblCellMar>
        <w:tblLook w:val="04A0" w:firstRow="1" w:lastRow="0" w:firstColumn="1" w:lastColumn="0" w:noHBand="0" w:noVBand="1"/>
      </w:tblPr>
      <w:tblGrid>
        <w:gridCol w:w="3343"/>
        <w:gridCol w:w="2006"/>
      </w:tblGrid>
      <w:tr w:rsidR="007C2C22" w:rsidRPr="007C2C22" w14:paraId="63B7D927" w14:textId="77777777" w:rsidTr="002B7CEF">
        <w:trPr>
          <w:trHeight w:val="298"/>
          <w:jc w:val="center"/>
        </w:trPr>
        <w:tc>
          <w:tcPr>
            <w:tcW w:w="3343" w:type="dxa"/>
            <w:tcBorders>
              <w:top w:val="single" w:sz="4" w:space="0" w:color="auto"/>
              <w:left w:val="nil"/>
              <w:bottom w:val="double" w:sz="6" w:space="0" w:color="auto"/>
              <w:right w:val="nil"/>
            </w:tcBorders>
            <w:shd w:val="clear" w:color="auto" w:fill="auto"/>
            <w:noWrap/>
            <w:vAlign w:val="bottom"/>
            <w:hideMark/>
          </w:tcPr>
          <w:p w14:paraId="415C98C6" w14:textId="77777777" w:rsidR="007C2C22" w:rsidRPr="007C2C22" w:rsidRDefault="007C2C22" w:rsidP="007C2C22">
            <w:pPr>
              <w:spacing w:after="0" w:line="240" w:lineRule="auto"/>
              <w:rPr>
                <w:rFonts w:ascii="Cambria" w:eastAsia="Times New Roman" w:hAnsi="Cambria" w:cs="Calibri"/>
                <w:b/>
                <w:bCs/>
                <w:color w:val="000000"/>
                <w:lang w:val="es-CR" w:eastAsia="es-CR"/>
              </w:rPr>
            </w:pPr>
            <w:r w:rsidRPr="007C2C22">
              <w:rPr>
                <w:rFonts w:ascii="Cambria" w:eastAsia="Times New Roman" w:hAnsi="Cambria" w:cs="Calibri"/>
                <w:b/>
                <w:bCs/>
                <w:color w:val="000000"/>
                <w:lang w:val="es-CR" w:eastAsia="es-CR"/>
              </w:rPr>
              <w:t>Fondo de Pensión</w:t>
            </w:r>
          </w:p>
        </w:tc>
        <w:tc>
          <w:tcPr>
            <w:tcW w:w="2006" w:type="dxa"/>
            <w:tcBorders>
              <w:top w:val="single" w:sz="4" w:space="0" w:color="auto"/>
              <w:left w:val="nil"/>
              <w:bottom w:val="double" w:sz="6" w:space="0" w:color="auto"/>
              <w:right w:val="nil"/>
            </w:tcBorders>
            <w:shd w:val="clear" w:color="auto" w:fill="auto"/>
            <w:noWrap/>
            <w:vAlign w:val="bottom"/>
            <w:hideMark/>
          </w:tcPr>
          <w:p w14:paraId="01D7E9AA" w14:textId="77777777" w:rsidR="007C2C22" w:rsidRPr="007C2C22" w:rsidRDefault="007C2C22" w:rsidP="007C2C22">
            <w:pPr>
              <w:spacing w:after="0" w:line="240" w:lineRule="auto"/>
              <w:rPr>
                <w:rFonts w:ascii="Cambria" w:eastAsia="Times New Roman" w:hAnsi="Cambria" w:cs="Calibri"/>
                <w:b/>
                <w:bCs/>
                <w:color w:val="000000"/>
                <w:lang w:val="es-CR" w:eastAsia="es-CR"/>
              </w:rPr>
            </w:pPr>
            <w:r w:rsidRPr="007C2C22">
              <w:rPr>
                <w:rFonts w:ascii="Cambria" w:eastAsia="Times New Roman" w:hAnsi="Cambria" w:cs="Calibri"/>
                <w:b/>
                <w:bCs/>
                <w:color w:val="000000"/>
                <w:lang w:val="es-CR" w:eastAsia="es-CR"/>
              </w:rPr>
              <w:t>Secto</w:t>
            </w:r>
            <w:r>
              <w:rPr>
                <w:rFonts w:ascii="Cambria" w:eastAsia="Times New Roman" w:hAnsi="Cambria" w:cs="Calibri"/>
                <w:b/>
                <w:bCs/>
                <w:color w:val="000000"/>
                <w:lang w:val="es-CR" w:eastAsia="es-CR"/>
              </w:rPr>
              <w:t>r</w:t>
            </w:r>
            <w:r w:rsidRPr="007C2C22">
              <w:rPr>
                <w:rFonts w:ascii="Cambria" w:eastAsia="Times New Roman" w:hAnsi="Cambria" w:cs="Calibri"/>
                <w:b/>
                <w:bCs/>
                <w:color w:val="000000"/>
                <w:lang w:val="es-CR" w:eastAsia="es-CR"/>
              </w:rPr>
              <w:t xml:space="preserve"> </w:t>
            </w:r>
            <w:r>
              <w:rPr>
                <w:rFonts w:ascii="Cambria" w:eastAsia="Times New Roman" w:hAnsi="Cambria" w:cs="Calibri"/>
                <w:b/>
                <w:bCs/>
                <w:color w:val="000000"/>
                <w:lang w:val="es-CR" w:eastAsia="es-CR"/>
              </w:rPr>
              <w:t>Privado</w:t>
            </w:r>
          </w:p>
        </w:tc>
      </w:tr>
      <w:tr w:rsidR="007C2C22" w:rsidRPr="007C2C22" w14:paraId="67D6BAC5" w14:textId="77777777" w:rsidTr="002B7CEF">
        <w:trPr>
          <w:trHeight w:val="298"/>
          <w:jc w:val="center"/>
        </w:trPr>
        <w:tc>
          <w:tcPr>
            <w:tcW w:w="5349" w:type="dxa"/>
            <w:gridSpan w:val="2"/>
            <w:tcBorders>
              <w:top w:val="double" w:sz="6" w:space="0" w:color="auto"/>
              <w:left w:val="nil"/>
              <w:bottom w:val="nil"/>
              <w:right w:val="nil"/>
            </w:tcBorders>
            <w:shd w:val="clear" w:color="auto" w:fill="auto"/>
            <w:noWrap/>
            <w:vAlign w:val="bottom"/>
            <w:hideMark/>
          </w:tcPr>
          <w:p w14:paraId="32E2930F" w14:textId="77777777" w:rsidR="007C2C22" w:rsidRPr="007C2C22" w:rsidRDefault="007C2C22" w:rsidP="007C2C22">
            <w:pPr>
              <w:spacing w:after="0" w:line="240" w:lineRule="auto"/>
              <w:rPr>
                <w:rFonts w:ascii="Cambria" w:eastAsia="Times New Roman" w:hAnsi="Cambria" w:cs="Calibri"/>
                <w:b/>
                <w:i/>
                <w:color w:val="000000"/>
                <w:lang w:val="es-CR" w:eastAsia="es-CR"/>
              </w:rPr>
            </w:pPr>
            <w:r w:rsidRPr="007C2C22">
              <w:rPr>
                <w:rFonts w:ascii="Cambria" w:eastAsia="Times New Roman" w:hAnsi="Cambria" w:cs="Calibri"/>
                <w:b/>
                <w:i/>
                <w:color w:val="000000"/>
                <w:lang w:val="es-CR" w:eastAsia="es-CR"/>
              </w:rPr>
              <w:t>Regímenes Básicos</w:t>
            </w:r>
          </w:p>
        </w:tc>
      </w:tr>
      <w:tr w:rsidR="007C2C22" w:rsidRPr="007C2C22" w14:paraId="3F05303C" w14:textId="77777777" w:rsidTr="002B7CEF">
        <w:trPr>
          <w:trHeight w:val="284"/>
          <w:jc w:val="center"/>
        </w:trPr>
        <w:tc>
          <w:tcPr>
            <w:tcW w:w="3343" w:type="dxa"/>
            <w:tcBorders>
              <w:top w:val="nil"/>
              <w:left w:val="nil"/>
              <w:bottom w:val="nil"/>
              <w:right w:val="nil"/>
            </w:tcBorders>
            <w:shd w:val="clear" w:color="auto" w:fill="auto"/>
            <w:noWrap/>
            <w:vAlign w:val="bottom"/>
            <w:hideMark/>
          </w:tcPr>
          <w:p w14:paraId="4738C075" w14:textId="77777777" w:rsidR="007C2C22" w:rsidRPr="007C2C22" w:rsidRDefault="007C2C22" w:rsidP="007C2C22">
            <w:pPr>
              <w:spacing w:after="0" w:line="240" w:lineRule="auto"/>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 xml:space="preserve"> FRIVM </w:t>
            </w:r>
          </w:p>
        </w:tc>
        <w:tc>
          <w:tcPr>
            <w:tcW w:w="2006" w:type="dxa"/>
            <w:tcBorders>
              <w:top w:val="nil"/>
              <w:left w:val="nil"/>
              <w:bottom w:val="nil"/>
              <w:right w:val="nil"/>
            </w:tcBorders>
            <w:shd w:val="clear" w:color="auto" w:fill="auto"/>
            <w:noWrap/>
            <w:vAlign w:val="bottom"/>
            <w:hideMark/>
          </w:tcPr>
          <w:p w14:paraId="5D231CA4" w14:textId="77777777" w:rsidR="007C2C22" w:rsidRPr="007C2C22" w:rsidRDefault="007C2C22" w:rsidP="007C2C22">
            <w:pPr>
              <w:spacing w:after="0" w:line="240" w:lineRule="auto"/>
              <w:jc w:val="right"/>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3%</w:t>
            </w:r>
          </w:p>
        </w:tc>
      </w:tr>
      <w:tr w:rsidR="007C2C22" w:rsidRPr="007C2C22" w14:paraId="72657B42" w14:textId="77777777" w:rsidTr="002B7CEF">
        <w:trPr>
          <w:trHeight w:val="284"/>
          <w:jc w:val="center"/>
        </w:trPr>
        <w:tc>
          <w:tcPr>
            <w:tcW w:w="3343" w:type="dxa"/>
            <w:tcBorders>
              <w:top w:val="nil"/>
              <w:left w:val="nil"/>
              <w:bottom w:val="nil"/>
              <w:right w:val="nil"/>
            </w:tcBorders>
            <w:shd w:val="clear" w:color="auto" w:fill="auto"/>
            <w:noWrap/>
            <w:vAlign w:val="bottom"/>
            <w:hideMark/>
          </w:tcPr>
          <w:p w14:paraId="642E86A9" w14:textId="77777777" w:rsidR="007C2C22" w:rsidRPr="007C2C22" w:rsidRDefault="007C2C22" w:rsidP="007C2C22">
            <w:pPr>
              <w:spacing w:after="0" w:line="240" w:lineRule="auto"/>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 xml:space="preserve"> FCCMN </w:t>
            </w:r>
          </w:p>
        </w:tc>
        <w:tc>
          <w:tcPr>
            <w:tcW w:w="2006" w:type="dxa"/>
            <w:tcBorders>
              <w:top w:val="nil"/>
              <w:left w:val="nil"/>
              <w:bottom w:val="nil"/>
              <w:right w:val="nil"/>
            </w:tcBorders>
            <w:shd w:val="clear" w:color="auto" w:fill="auto"/>
            <w:noWrap/>
            <w:vAlign w:val="bottom"/>
            <w:hideMark/>
          </w:tcPr>
          <w:p w14:paraId="006D7059" w14:textId="77777777" w:rsidR="007C2C22" w:rsidRPr="007C2C22" w:rsidRDefault="007C2C22" w:rsidP="007C2C22">
            <w:pPr>
              <w:spacing w:after="0" w:line="240" w:lineRule="auto"/>
              <w:jc w:val="right"/>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17%</w:t>
            </w:r>
          </w:p>
        </w:tc>
      </w:tr>
      <w:tr w:rsidR="007C2C22" w:rsidRPr="007C2C22" w14:paraId="16D937B7" w14:textId="77777777" w:rsidTr="002B7CEF">
        <w:trPr>
          <w:trHeight w:val="284"/>
          <w:jc w:val="center"/>
        </w:trPr>
        <w:tc>
          <w:tcPr>
            <w:tcW w:w="3343" w:type="dxa"/>
            <w:tcBorders>
              <w:top w:val="nil"/>
              <w:left w:val="nil"/>
              <w:bottom w:val="nil"/>
              <w:right w:val="nil"/>
            </w:tcBorders>
            <w:shd w:val="clear" w:color="auto" w:fill="auto"/>
            <w:noWrap/>
            <w:vAlign w:val="bottom"/>
            <w:hideMark/>
          </w:tcPr>
          <w:p w14:paraId="053AB93E" w14:textId="77777777" w:rsidR="007C2C22" w:rsidRPr="007C2C22" w:rsidRDefault="007C2C22" w:rsidP="007C2C22">
            <w:pPr>
              <w:spacing w:after="0" w:line="240" w:lineRule="auto"/>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 xml:space="preserve"> FPJ </w:t>
            </w:r>
          </w:p>
        </w:tc>
        <w:tc>
          <w:tcPr>
            <w:tcW w:w="2006" w:type="dxa"/>
            <w:tcBorders>
              <w:top w:val="nil"/>
              <w:left w:val="nil"/>
              <w:bottom w:val="nil"/>
              <w:right w:val="nil"/>
            </w:tcBorders>
            <w:shd w:val="clear" w:color="auto" w:fill="auto"/>
            <w:noWrap/>
            <w:vAlign w:val="bottom"/>
            <w:hideMark/>
          </w:tcPr>
          <w:p w14:paraId="2A22563F" w14:textId="77777777" w:rsidR="007C2C22" w:rsidRPr="007C2C22" w:rsidRDefault="007C2C22" w:rsidP="007C2C22">
            <w:pPr>
              <w:spacing w:after="0" w:line="240" w:lineRule="auto"/>
              <w:jc w:val="right"/>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7%</w:t>
            </w:r>
          </w:p>
        </w:tc>
      </w:tr>
      <w:tr w:rsidR="007C2C22" w:rsidRPr="007C2C22" w14:paraId="765FB131" w14:textId="77777777" w:rsidTr="002B7CEF">
        <w:trPr>
          <w:trHeight w:val="284"/>
          <w:jc w:val="center"/>
        </w:trPr>
        <w:tc>
          <w:tcPr>
            <w:tcW w:w="3343" w:type="dxa"/>
            <w:tcBorders>
              <w:top w:val="nil"/>
              <w:left w:val="nil"/>
              <w:bottom w:val="nil"/>
              <w:right w:val="nil"/>
            </w:tcBorders>
            <w:shd w:val="clear" w:color="auto" w:fill="auto"/>
            <w:noWrap/>
            <w:vAlign w:val="bottom"/>
            <w:hideMark/>
          </w:tcPr>
          <w:p w14:paraId="29FDE80C" w14:textId="77777777" w:rsidR="007C2C22" w:rsidRPr="007C2C22" w:rsidRDefault="007C2C22" w:rsidP="007C2C22">
            <w:pPr>
              <w:spacing w:after="0" w:line="240" w:lineRule="auto"/>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 xml:space="preserve"> FBOMBEROS </w:t>
            </w:r>
          </w:p>
        </w:tc>
        <w:tc>
          <w:tcPr>
            <w:tcW w:w="2006" w:type="dxa"/>
            <w:tcBorders>
              <w:top w:val="nil"/>
              <w:left w:val="nil"/>
              <w:bottom w:val="nil"/>
              <w:right w:val="nil"/>
            </w:tcBorders>
            <w:shd w:val="clear" w:color="auto" w:fill="auto"/>
            <w:noWrap/>
            <w:vAlign w:val="bottom"/>
            <w:hideMark/>
          </w:tcPr>
          <w:p w14:paraId="4AF49237" w14:textId="77777777" w:rsidR="007C2C22" w:rsidRPr="007C2C22" w:rsidRDefault="007C2C22" w:rsidP="007C2C22">
            <w:pPr>
              <w:spacing w:after="0" w:line="240" w:lineRule="auto"/>
              <w:jc w:val="right"/>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28%</w:t>
            </w:r>
          </w:p>
        </w:tc>
      </w:tr>
      <w:tr w:rsidR="007C2C22" w:rsidRPr="007C2C22" w14:paraId="6011915F" w14:textId="77777777" w:rsidTr="002B7CEF">
        <w:trPr>
          <w:trHeight w:val="284"/>
          <w:jc w:val="center"/>
        </w:trPr>
        <w:tc>
          <w:tcPr>
            <w:tcW w:w="5349" w:type="dxa"/>
            <w:gridSpan w:val="2"/>
            <w:tcBorders>
              <w:top w:val="nil"/>
              <w:left w:val="nil"/>
              <w:bottom w:val="nil"/>
              <w:right w:val="nil"/>
            </w:tcBorders>
            <w:shd w:val="clear" w:color="auto" w:fill="auto"/>
            <w:noWrap/>
            <w:vAlign w:val="bottom"/>
            <w:hideMark/>
          </w:tcPr>
          <w:p w14:paraId="1ED1B001" w14:textId="77777777" w:rsidR="007C2C22" w:rsidRPr="007C2C22" w:rsidRDefault="007C2C22" w:rsidP="007C2C22">
            <w:pPr>
              <w:spacing w:after="0" w:line="240" w:lineRule="auto"/>
              <w:rPr>
                <w:rFonts w:ascii="Cambria" w:eastAsia="Times New Roman" w:hAnsi="Cambria" w:cs="Calibri"/>
                <w:b/>
                <w:i/>
                <w:color w:val="000000"/>
                <w:lang w:val="es-CR" w:eastAsia="es-CR"/>
              </w:rPr>
            </w:pPr>
            <w:r w:rsidRPr="007C2C22">
              <w:rPr>
                <w:rFonts w:ascii="Cambria" w:eastAsia="Times New Roman" w:hAnsi="Cambria" w:cs="Calibri"/>
                <w:color w:val="000000"/>
                <w:lang w:val="es-CR" w:eastAsia="es-CR"/>
              </w:rPr>
              <w:t xml:space="preserve"> </w:t>
            </w:r>
            <w:r w:rsidRPr="007C2C22">
              <w:rPr>
                <w:rFonts w:ascii="Cambria" w:eastAsia="Times New Roman" w:hAnsi="Cambria" w:cs="Calibri"/>
                <w:b/>
                <w:i/>
                <w:color w:val="000000"/>
                <w:lang w:val="es-CR" w:eastAsia="es-CR"/>
              </w:rPr>
              <w:t xml:space="preserve">Regímenes Complementarios </w:t>
            </w:r>
          </w:p>
        </w:tc>
      </w:tr>
      <w:tr w:rsidR="007C2C22" w:rsidRPr="007C2C22" w14:paraId="681F9B87" w14:textId="77777777" w:rsidTr="002B7CEF">
        <w:trPr>
          <w:trHeight w:val="284"/>
          <w:jc w:val="center"/>
        </w:trPr>
        <w:tc>
          <w:tcPr>
            <w:tcW w:w="3343" w:type="dxa"/>
            <w:tcBorders>
              <w:top w:val="nil"/>
              <w:left w:val="nil"/>
              <w:bottom w:val="nil"/>
              <w:right w:val="nil"/>
            </w:tcBorders>
            <w:shd w:val="clear" w:color="auto" w:fill="auto"/>
            <w:noWrap/>
            <w:vAlign w:val="bottom"/>
            <w:hideMark/>
          </w:tcPr>
          <w:p w14:paraId="7D0B7D35" w14:textId="77777777" w:rsidR="007C2C22" w:rsidRPr="007C2C22" w:rsidRDefault="007C2C22" w:rsidP="007C2C22">
            <w:pPr>
              <w:spacing w:after="0" w:line="240" w:lineRule="auto"/>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 xml:space="preserve"> FBNCR </w:t>
            </w:r>
          </w:p>
        </w:tc>
        <w:tc>
          <w:tcPr>
            <w:tcW w:w="2006" w:type="dxa"/>
            <w:tcBorders>
              <w:top w:val="nil"/>
              <w:left w:val="nil"/>
              <w:bottom w:val="nil"/>
              <w:right w:val="nil"/>
            </w:tcBorders>
            <w:shd w:val="clear" w:color="auto" w:fill="auto"/>
            <w:noWrap/>
            <w:vAlign w:val="bottom"/>
            <w:hideMark/>
          </w:tcPr>
          <w:p w14:paraId="43CFE7DB" w14:textId="77777777" w:rsidR="007C2C22" w:rsidRPr="007C2C22" w:rsidRDefault="007C2C22" w:rsidP="007C2C22">
            <w:pPr>
              <w:spacing w:after="0" w:line="240" w:lineRule="auto"/>
              <w:jc w:val="right"/>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19%</w:t>
            </w:r>
          </w:p>
        </w:tc>
      </w:tr>
      <w:tr w:rsidR="007C2C22" w:rsidRPr="007C2C22" w14:paraId="6EF42578" w14:textId="77777777" w:rsidTr="002B7CEF">
        <w:trPr>
          <w:trHeight w:val="284"/>
          <w:jc w:val="center"/>
        </w:trPr>
        <w:tc>
          <w:tcPr>
            <w:tcW w:w="3343" w:type="dxa"/>
            <w:tcBorders>
              <w:top w:val="nil"/>
              <w:left w:val="nil"/>
              <w:bottom w:val="nil"/>
              <w:right w:val="nil"/>
            </w:tcBorders>
            <w:shd w:val="clear" w:color="auto" w:fill="auto"/>
            <w:noWrap/>
            <w:vAlign w:val="bottom"/>
            <w:hideMark/>
          </w:tcPr>
          <w:p w14:paraId="1A8CB919" w14:textId="77777777" w:rsidR="007C2C22" w:rsidRPr="007C2C22" w:rsidRDefault="007C2C22" w:rsidP="007C2C22">
            <w:pPr>
              <w:spacing w:after="0" w:line="240" w:lineRule="auto"/>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 xml:space="preserve"> FICE </w:t>
            </w:r>
          </w:p>
        </w:tc>
        <w:tc>
          <w:tcPr>
            <w:tcW w:w="2006" w:type="dxa"/>
            <w:tcBorders>
              <w:top w:val="nil"/>
              <w:left w:val="nil"/>
              <w:bottom w:val="nil"/>
              <w:right w:val="nil"/>
            </w:tcBorders>
            <w:shd w:val="clear" w:color="auto" w:fill="auto"/>
            <w:noWrap/>
            <w:vAlign w:val="bottom"/>
            <w:hideMark/>
          </w:tcPr>
          <w:p w14:paraId="6FE5C733" w14:textId="77777777" w:rsidR="007C2C22" w:rsidRPr="007C2C22" w:rsidRDefault="007C2C22" w:rsidP="007C2C22">
            <w:pPr>
              <w:spacing w:after="0" w:line="240" w:lineRule="auto"/>
              <w:jc w:val="right"/>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16%</w:t>
            </w:r>
          </w:p>
        </w:tc>
      </w:tr>
      <w:tr w:rsidR="007C2C22" w:rsidRPr="007C2C22" w14:paraId="63E3CE3A" w14:textId="77777777" w:rsidTr="002B7CEF">
        <w:trPr>
          <w:trHeight w:val="284"/>
          <w:jc w:val="center"/>
        </w:trPr>
        <w:tc>
          <w:tcPr>
            <w:tcW w:w="3343" w:type="dxa"/>
            <w:tcBorders>
              <w:top w:val="nil"/>
              <w:left w:val="nil"/>
              <w:bottom w:val="nil"/>
              <w:right w:val="nil"/>
            </w:tcBorders>
            <w:shd w:val="clear" w:color="auto" w:fill="auto"/>
            <w:noWrap/>
            <w:vAlign w:val="bottom"/>
            <w:hideMark/>
          </w:tcPr>
          <w:p w14:paraId="092A9509" w14:textId="77777777" w:rsidR="007C2C22" w:rsidRPr="007C2C22" w:rsidRDefault="007C2C22" w:rsidP="007C2C22">
            <w:pPr>
              <w:spacing w:after="0" w:line="240" w:lineRule="auto"/>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 xml:space="preserve"> FRE </w:t>
            </w:r>
          </w:p>
        </w:tc>
        <w:tc>
          <w:tcPr>
            <w:tcW w:w="2006" w:type="dxa"/>
            <w:tcBorders>
              <w:top w:val="nil"/>
              <w:left w:val="nil"/>
              <w:bottom w:val="nil"/>
              <w:right w:val="nil"/>
            </w:tcBorders>
            <w:shd w:val="clear" w:color="auto" w:fill="auto"/>
            <w:noWrap/>
            <w:vAlign w:val="bottom"/>
            <w:hideMark/>
          </w:tcPr>
          <w:p w14:paraId="4CDC75CA" w14:textId="77777777" w:rsidR="007C2C22" w:rsidRPr="007C2C22" w:rsidRDefault="007C2C22" w:rsidP="007C2C22">
            <w:pPr>
              <w:spacing w:after="0" w:line="240" w:lineRule="auto"/>
              <w:jc w:val="right"/>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25%</w:t>
            </w:r>
          </w:p>
        </w:tc>
      </w:tr>
      <w:tr w:rsidR="007C2C22" w:rsidRPr="007C2C22" w14:paraId="4ABFB16A" w14:textId="77777777" w:rsidTr="002B7CEF">
        <w:trPr>
          <w:trHeight w:val="284"/>
          <w:jc w:val="center"/>
        </w:trPr>
        <w:tc>
          <w:tcPr>
            <w:tcW w:w="3343" w:type="dxa"/>
            <w:tcBorders>
              <w:top w:val="nil"/>
              <w:left w:val="nil"/>
              <w:bottom w:val="nil"/>
              <w:right w:val="nil"/>
            </w:tcBorders>
            <w:shd w:val="clear" w:color="auto" w:fill="auto"/>
            <w:noWrap/>
            <w:vAlign w:val="bottom"/>
            <w:hideMark/>
          </w:tcPr>
          <w:p w14:paraId="7B36E199" w14:textId="77777777" w:rsidR="007C2C22" w:rsidRPr="007C2C22" w:rsidRDefault="007C2C22" w:rsidP="007C2C22">
            <w:pPr>
              <w:spacing w:after="0" w:line="240" w:lineRule="auto"/>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 xml:space="preserve"> FRECOPE </w:t>
            </w:r>
          </w:p>
        </w:tc>
        <w:tc>
          <w:tcPr>
            <w:tcW w:w="2006" w:type="dxa"/>
            <w:tcBorders>
              <w:top w:val="nil"/>
              <w:left w:val="nil"/>
              <w:bottom w:val="nil"/>
              <w:right w:val="nil"/>
            </w:tcBorders>
            <w:shd w:val="clear" w:color="auto" w:fill="auto"/>
            <w:noWrap/>
            <w:vAlign w:val="bottom"/>
            <w:hideMark/>
          </w:tcPr>
          <w:p w14:paraId="328E0D02" w14:textId="77777777" w:rsidR="007C2C22" w:rsidRPr="007C2C22" w:rsidRDefault="007C2C22" w:rsidP="007C2C22">
            <w:pPr>
              <w:spacing w:after="0" w:line="240" w:lineRule="auto"/>
              <w:jc w:val="right"/>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35%</w:t>
            </w:r>
          </w:p>
        </w:tc>
      </w:tr>
      <w:tr w:rsidR="007C2C22" w:rsidRPr="007C2C22" w14:paraId="1C7723A6" w14:textId="77777777" w:rsidTr="002B7CEF">
        <w:trPr>
          <w:trHeight w:val="284"/>
          <w:jc w:val="center"/>
        </w:trPr>
        <w:tc>
          <w:tcPr>
            <w:tcW w:w="3343" w:type="dxa"/>
            <w:tcBorders>
              <w:top w:val="nil"/>
              <w:left w:val="nil"/>
              <w:bottom w:val="single" w:sz="4" w:space="0" w:color="auto"/>
              <w:right w:val="nil"/>
            </w:tcBorders>
            <w:shd w:val="clear" w:color="auto" w:fill="auto"/>
            <w:noWrap/>
            <w:vAlign w:val="bottom"/>
            <w:hideMark/>
          </w:tcPr>
          <w:p w14:paraId="59304D97" w14:textId="77777777" w:rsidR="007C2C22" w:rsidRPr="007C2C22" w:rsidRDefault="007C2C22" w:rsidP="007C2C22">
            <w:pPr>
              <w:spacing w:after="0" w:line="240" w:lineRule="auto"/>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 xml:space="preserve"> FVENLOT </w:t>
            </w:r>
          </w:p>
        </w:tc>
        <w:tc>
          <w:tcPr>
            <w:tcW w:w="2006" w:type="dxa"/>
            <w:tcBorders>
              <w:top w:val="nil"/>
              <w:left w:val="nil"/>
              <w:bottom w:val="single" w:sz="4" w:space="0" w:color="auto"/>
              <w:right w:val="nil"/>
            </w:tcBorders>
            <w:shd w:val="clear" w:color="auto" w:fill="auto"/>
            <w:noWrap/>
            <w:vAlign w:val="bottom"/>
            <w:hideMark/>
          </w:tcPr>
          <w:p w14:paraId="2EDFB66D" w14:textId="77777777" w:rsidR="007C2C22" w:rsidRPr="007C2C22" w:rsidRDefault="007C2C22" w:rsidP="007C2C22">
            <w:pPr>
              <w:spacing w:after="0" w:line="240" w:lineRule="auto"/>
              <w:jc w:val="right"/>
              <w:rPr>
                <w:rFonts w:ascii="Cambria" w:eastAsia="Times New Roman" w:hAnsi="Cambria" w:cs="Calibri"/>
                <w:color w:val="000000"/>
                <w:lang w:val="es-CR" w:eastAsia="es-CR"/>
              </w:rPr>
            </w:pPr>
            <w:r w:rsidRPr="007C2C22">
              <w:rPr>
                <w:rFonts w:ascii="Cambria" w:eastAsia="Times New Roman" w:hAnsi="Cambria" w:cs="Calibri"/>
                <w:color w:val="000000"/>
                <w:lang w:val="es-CR" w:eastAsia="es-CR"/>
              </w:rPr>
              <w:t>35%</w:t>
            </w:r>
          </w:p>
        </w:tc>
      </w:tr>
    </w:tbl>
    <w:p w14:paraId="61E9180E" w14:textId="77777777" w:rsidR="00695F60" w:rsidRPr="009B7058" w:rsidRDefault="00695F60" w:rsidP="002B7CEF">
      <w:pPr>
        <w:spacing w:after="20" w:line="240" w:lineRule="auto"/>
        <w:ind w:left="1843" w:right="1750"/>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5B08B5D1" w14:textId="77777777" w:rsidR="007C2C22" w:rsidRPr="00695F60" w:rsidRDefault="007C2C22" w:rsidP="001F7E5B">
      <w:pPr>
        <w:spacing w:after="0" w:line="240" w:lineRule="auto"/>
        <w:jc w:val="both"/>
        <w:rPr>
          <w:rFonts w:asciiTheme="majorHAnsi" w:hAnsiTheme="majorHAnsi" w:cstheme="minorHAnsi"/>
          <w:lang w:val="es-CR"/>
        </w:rPr>
      </w:pPr>
    </w:p>
    <w:p w14:paraId="36A49406" w14:textId="77777777" w:rsidR="007D0BC7" w:rsidRPr="008F5D99" w:rsidRDefault="007D0BC7" w:rsidP="00D4432B">
      <w:pPr>
        <w:tabs>
          <w:tab w:val="left" w:pos="6510"/>
        </w:tabs>
        <w:rPr>
          <w:rFonts w:asciiTheme="majorHAnsi" w:hAnsiTheme="majorHAnsi" w:cstheme="minorHAnsi"/>
          <w:b/>
        </w:rPr>
      </w:pPr>
      <w:bookmarkStart w:id="9" w:name="_Toc530733759"/>
      <w:r w:rsidRPr="008F5D99">
        <w:rPr>
          <w:rFonts w:asciiTheme="majorHAnsi" w:hAnsiTheme="majorHAnsi" w:cstheme="minorHAnsi"/>
          <w:b/>
        </w:rPr>
        <w:t>Emisores extranjeros</w:t>
      </w:r>
      <w:bookmarkEnd w:id="9"/>
    </w:p>
    <w:p w14:paraId="242E1BB6" w14:textId="50198FE0"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Los fondos de pensión tienen 0</w:t>
      </w:r>
      <w:r w:rsidR="002B7CEF">
        <w:rPr>
          <w:rFonts w:asciiTheme="majorHAnsi" w:hAnsiTheme="majorHAnsi" w:cstheme="minorHAnsi"/>
        </w:rPr>
        <w:t>,</w:t>
      </w:r>
      <w:r w:rsidR="00C14332" w:rsidRPr="008F5D99">
        <w:rPr>
          <w:rFonts w:asciiTheme="majorHAnsi" w:hAnsiTheme="majorHAnsi" w:cstheme="minorHAnsi"/>
        </w:rPr>
        <w:t>8</w:t>
      </w:r>
      <w:r w:rsidRPr="008F5D99">
        <w:rPr>
          <w:rFonts w:asciiTheme="majorHAnsi" w:hAnsiTheme="majorHAnsi" w:cstheme="minorHAnsi"/>
        </w:rPr>
        <w:t xml:space="preserve"> billones de colones invertidos en títulos de emisores extranjeros, este monto representa el 6% del total de activos administrados por el SNP, de los cuales el 99% está colocado en dólares y </w:t>
      </w:r>
      <w:r w:rsidR="003E18DD">
        <w:rPr>
          <w:rFonts w:asciiTheme="majorHAnsi" w:hAnsiTheme="majorHAnsi" w:cstheme="minorHAnsi"/>
        </w:rPr>
        <w:t xml:space="preserve">sólo un </w:t>
      </w:r>
      <w:r w:rsidRPr="008F5D99">
        <w:rPr>
          <w:rFonts w:asciiTheme="majorHAnsi" w:hAnsiTheme="majorHAnsi" w:cstheme="minorHAnsi"/>
        </w:rPr>
        <w:t>1% en colones. El 8</w:t>
      </w:r>
      <w:r w:rsidR="00B45037" w:rsidRPr="008F5D99">
        <w:rPr>
          <w:rFonts w:asciiTheme="majorHAnsi" w:hAnsiTheme="majorHAnsi" w:cstheme="minorHAnsi"/>
        </w:rPr>
        <w:t>7</w:t>
      </w:r>
      <w:r w:rsidRPr="008F5D99">
        <w:rPr>
          <w:rFonts w:asciiTheme="majorHAnsi" w:hAnsiTheme="majorHAnsi" w:cstheme="minorHAnsi"/>
        </w:rPr>
        <w:t>% de estos recursos está concentrado en sólo 10 emisores.</w:t>
      </w:r>
    </w:p>
    <w:p w14:paraId="16DEB4AB" w14:textId="77777777" w:rsidR="00852DD8" w:rsidRPr="008F5D99" w:rsidRDefault="00852DD8" w:rsidP="00507FA8">
      <w:pPr>
        <w:spacing w:after="0" w:line="240" w:lineRule="auto"/>
        <w:rPr>
          <w:rFonts w:asciiTheme="majorHAnsi" w:hAnsiTheme="majorHAnsi" w:cstheme="minorHAnsi"/>
        </w:rPr>
      </w:pPr>
    </w:p>
    <w:p w14:paraId="67528EED" w14:textId="77777777" w:rsidR="00852DD8" w:rsidRPr="008F5D99" w:rsidRDefault="0033676D" w:rsidP="0033676D">
      <w:pPr>
        <w:spacing w:after="0" w:line="240" w:lineRule="auto"/>
        <w:jc w:val="center"/>
        <w:rPr>
          <w:rFonts w:asciiTheme="majorHAnsi" w:hAnsiTheme="majorHAnsi" w:cstheme="minorHAnsi"/>
        </w:rPr>
      </w:pPr>
      <w:r w:rsidRPr="0033676D">
        <w:rPr>
          <w:rFonts w:asciiTheme="majorHAnsi" w:hAnsiTheme="majorHAnsi" w:cstheme="minorHAnsi"/>
        </w:rPr>
        <w:t xml:space="preserve">Cuadro </w:t>
      </w:r>
      <w:r w:rsidRPr="0033676D">
        <w:rPr>
          <w:rFonts w:asciiTheme="majorHAnsi" w:hAnsiTheme="majorHAnsi" w:cstheme="minorHAnsi"/>
        </w:rPr>
        <w:fldChar w:fldCharType="begin"/>
      </w:r>
      <w:r w:rsidRPr="0033676D">
        <w:rPr>
          <w:rFonts w:asciiTheme="majorHAnsi" w:hAnsiTheme="majorHAnsi" w:cstheme="minorHAnsi"/>
        </w:rPr>
        <w:instrText xml:space="preserve"> SEQ Cuadro \* ARABIC </w:instrText>
      </w:r>
      <w:r w:rsidRPr="0033676D">
        <w:rPr>
          <w:rFonts w:asciiTheme="majorHAnsi" w:hAnsiTheme="majorHAnsi" w:cstheme="minorHAnsi"/>
        </w:rPr>
        <w:fldChar w:fldCharType="separate"/>
      </w:r>
      <w:r w:rsidR="00695F60">
        <w:rPr>
          <w:rFonts w:asciiTheme="majorHAnsi" w:hAnsiTheme="majorHAnsi" w:cstheme="minorHAnsi"/>
          <w:noProof/>
        </w:rPr>
        <w:t>8</w:t>
      </w:r>
      <w:r w:rsidRPr="0033676D">
        <w:rPr>
          <w:rFonts w:asciiTheme="majorHAnsi" w:hAnsiTheme="majorHAnsi" w:cstheme="minorHAnsi"/>
        </w:rPr>
        <w:fldChar w:fldCharType="end"/>
      </w:r>
    </w:p>
    <w:p w14:paraId="775D06A4"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Inversiones de los Fondos de Pensión en Emisores Extranjeros</w:t>
      </w:r>
    </w:p>
    <w:p w14:paraId="70698143"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Diez principales emisores (representan el 8</w:t>
      </w:r>
      <w:r w:rsidR="00B45037" w:rsidRPr="008F5D99">
        <w:rPr>
          <w:rFonts w:asciiTheme="majorHAnsi" w:hAnsiTheme="majorHAnsi" w:cstheme="minorHAnsi"/>
        </w:rPr>
        <w:t>7</w:t>
      </w:r>
      <w:r w:rsidRPr="008F5D99">
        <w:rPr>
          <w:rFonts w:asciiTheme="majorHAnsi" w:hAnsiTheme="majorHAnsi" w:cstheme="minorHAnsi"/>
        </w:rPr>
        <w:t>%)</w:t>
      </w:r>
    </w:p>
    <w:p w14:paraId="1DB5CFC5" w14:textId="77777777" w:rsidR="007D0BC7" w:rsidRPr="008F5D99" w:rsidRDefault="00CF66F5" w:rsidP="00AB1521">
      <w:pPr>
        <w:spacing w:after="0" w:line="240" w:lineRule="auto"/>
        <w:jc w:val="center"/>
        <w:rPr>
          <w:rFonts w:asciiTheme="majorHAnsi" w:hAnsiTheme="majorHAnsi" w:cstheme="minorHAnsi"/>
        </w:rPr>
      </w:pPr>
      <w:r w:rsidRPr="008F5D99">
        <w:rPr>
          <w:rFonts w:asciiTheme="majorHAnsi" w:hAnsiTheme="majorHAnsi" w:cstheme="minorHAnsi"/>
        </w:rPr>
        <w:t>e</w:t>
      </w:r>
      <w:r w:rsidR="007D0BC7" w:rsidRPr="008F5D99">
        <w:rPr>
          <w:rFonts w:asciiTheme="majorHAnsi" w:hAnsiTheme="majorHAnsi" w:cstheme="minorHAnsi"/>
        </w:rPr>
        <w:t>n millones de colones</w:t>
      </w:r>
      <w:r w:rsidR="002B7CEF">
        <w:rPr>
          <w:rFonts w:asciiTheme="majorHAnsi" w:hAnsiTheme="majorHAnsi" w:cstheme="minorHAnsi"/>
        </w:rPr>
        <w:t xml:space="preserve"> costarricenses</w:t>
      </w:r>
    </w:p>
    <w:tbl>
      <w:tblPr>
        <w:tblW w:w="6716" w:type="dxa"/>
        <w:jc w:val="center"/>
        <w:tblCellMar>
          <w:left w:w="70" w:type="dxa"/>
          <w:right w:w="70" w:type="dxa"/>
        </w:tblCellMar>
        <w:tblLook w:val="04A0" w:firstRow="1" w:lastRow="0" w:firstColumn="1" w:lastColumn="0" w:noHBand="0" w:noVBand="1"/>
      </w:tblPr>
      <w:tblGrid>
        <w:gridCol w:w="3964"/>
        <w:gridCol w:w="1376"/>
        <w:gridCol w:w="1376"/>
      </w:tblGrid>
      <w:tr w:rsidR="00884937" w:rsidRPr="008F5D99" w14:paraId="0A461073" w14:textId="77777777" w:rsidTr="00884937">
        <w:trPr>
          <w:trHeight w:val="163"/>
          <w:jc w:val="center"/>
        </w:trPr>
        <w:tc>
          <w:tcPr>
            <w:tcW w:w="3964" w:type="dxa"/>
            <w:tcBorders>
              <w:top w:val="single" w:sz="4" w:space="0" w:color="auto"/>
              <w:left w:val="nil"/>
              <w:bottom w:val="double" w:sz="6" w:space="0" w:color="auto"/>
              <w:right w:val="nil"/>
            </w:tcBorders>
            <w:shd w:val="clear" w:color="auto" w:fill="auto"/>
            <w:noWrap/>
            <w:vAlign w:val="bottom"/>
            <w:hideMark/>
          </w:tcPr>
          <w:p w14:paraId="5B05EE40" w14:textId="77777777" w:rsidR="00884937" w:rsidRPr="008F5D99" w:rsidRDefault="00884937" w:rsidP="00884937">
            <w:pPr>
              <w:spacing w:after="0" w:line="240" w:lineRule="auto"/>
              <w:rPr>
                <w:rFonts w:asciiTheme="majorHAnsi" w:eastAsia="Times New Roman" w:hAnsiTheme="majorHAnsi" w:cstheme="minorHAnsi"/>
                <w:b/>
                <w:color w:val="000000"/>
                <w:lang w:val="es-CR" w:eastAsia="es-CR"/>
              </w:rPr>
            </w:pPr>
            <w:r w:rsidRPr="008F5D99">
              <w:rPr>
                <w:rFonts w:asciiTheme="majorHAnsi" w:eastAsia="Times New Roman" w:hAnsiTheme="majorHAnsi" w:cstheme="minorHAnsi"/>
                <w:b/>
                <w:color w:val="000000"/>
                <w:lang w:val="es-CR" w:eastAsia="es-CR"/>
              </w:rPr>
              <w:t>Emisor</w:t>
            </w:r>
          </w:p>
        </w:tc>
        <w:tc>
          <w:tcPr>
            <w:tcW w:w="1376" w:type="dxa"/>
            <w:tcBorders>
              <w:top w:val="single" w:sz="4" w:space="0" w:color="auto"/>
              <w:left w:val="nil"/>
              <w:bottom w:val="double" w:sz="6" w:space="0" w:color="auto"/>
              <w:right w:val="nil"/>
            </w:tcBorders>
            <w:shd w:val="clear" w:color="auto" w:fill="auto"/>
            <w:noWrap/>
            <w:vAlign w:val="bottom"/>
            <w:hideMark/>
          </w:tcPr>
          <w:p w14:paraId="183A8542" w14:textId="77777777" w:rsidR="00884937" w:rsidRPr="008F5D99" w:rsidRDefault="00884937" w:rsidP="00884937">
            <w:pPr>
              <w:spacing w:after="0" w:line="240" w:lineRule="auto"/>
              <w:jc w:val="center"/>
              <w:rPr>
                <w:rFonts w:asciiTheme="majorHAnsi" w:eastAsia="Times New Roman" w:hAnsiTheme="majorHAnsi" w:cstheme="minorHAnsi"/>
                <w:b/>
                <w:color w:val="000000"/>
                <w:lang w:val="es-CR" w:eastAsia="es-CR"/>
              </w:rPr>
            </w:pPr>
            <w:r w:rsidRPr="008F5D99">
              <w:rPr>
                <w:rFonts w:asciiTheme="majorHAnsi" w:eastAsia="Times New Roman" w:hAnsiTheme="majorHAnsi" w:cstheme="minorHAnsi"/>
                <w:b/>
                <w:color w:val="000000"/>
                <w:lang w:val="es-CR" w:eastAsia="es-CR"/>
              </w:rPr>
              <w:t>Monto</w:t>
            </w:r>
          </w:p>
        </w:tc>
        <w:tc>
          <w:tcPr>
            <w:tcW w:w="1376" w:type="dxa"/>
            <w:tcBorders>
              <w:top w:val="single" w:sz="4" w:space="0" w:color="auto"/>
              <w:left w:val="nil"/>
              <w:bottom w:val="double" w:sz="6" w:space="0" w:color="auto"/>
              <w:right w:val="nil"/>
            </w:tcBorders>
            <w:shd w:val="clear" w:color="auto" w:fill="auto"/>
            <w:noWrap/>
            <w:vAlign w:val="bottom"/>
            <w:hideMark/>
          </w:tcPr>
          <w:p w14:paraId="574CE63C" w14:textId="77777777" w:rsidR="00884937" w:rsidRPr="008F5D99" w:rsidRDefault="00884937" w:rsidP="00884937">
            <w:pPr>
              <w:spacing w:after="0" w:line="240" w:lineRule="auto"/>
              <w:jc w:val="right"/>
              <w:rPr>
                <w:rFonts w:asciiTheme="majorHAnsi" w:eastAsia="Times New Roman" w:hAnsiTheme="majorHAnsi" w:cstheme="minorHAnsi"/>
                <w:b/>
                <w:color w:val="000000"/>
                <w:lang w:val="es-CR" w:eastAsia="es-CR"/>
              </w:rPr>
            </w:pPr>
            <w:r w:rsidRPr="008F5D99">
              <w:rPr>
                <w:rFonts w:asciiTheme="majorHAnsi" w:eastAsia="Times New Roman" w:hAnsiTheme="majorHAnsi" w:cstheme="minorHAnsi"/>
                <w:b/>
                <w:color w:val="000000"/>
                <w:lang w:val="es-CR" w:eastAsia="es-CR"/>
              </w:rPr>
              <w:t>Porcentaje</w:t>
            </w:r>
          </w:p>
        </w:tc>
      </w:tr>
      <w:tr w:rsidR="00884937" w:rsidRPr="008F5D99" w14:paraId="44D400C6" w14:textId="77777777" w:rsidTr="00884937">
        <w:trPr>
          <w:trHeight w:val="163"/>
          <w:jc w:val="center"/>
        </w:trPr>
        <w:tc>
          <w:tcPr>
            <w:tcW w:w="3964" w:type="dxa"/>
            <w:tcBorders>
              <w:top w:val="nil"/>
              <w:left w:val="nil"/>
              <w:bottom w:val="nil"/>
              <w:right w:val="nil"/>
            </w:tcBorders>
            <w:shd w:val="clear" w:color="auto" w:fill="auto"/>
            <w:noWrap/>
            <w:vAlign w:val="bottom"/>
            <w:hideMark/>
          </w:tcPr>
          <w:p w14:paraId="257F9085" w14:textId="77777777" w:rsidR="00884937" w:rsidRPr="008F5D99" w:rsidRDefault="00884937" w:rsidP="0088493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S&amp;P 500 ETF TRUST</w:t>
            </w:r>
          </w:p>
        </w:tc>
        <w:tc>
          <w:tcPr>
            <w:tcW w:w="1376" w:type="dxa"/>
            <w:tcBorders>
              <w:top w:val="nil"/>
              <w:left w:val="nil"/>
              <w:bottom w:val="nil"/>
              <w:right w:val="nil"/>
            </w:tcBorders>
            <w:shd w:val="clear" w:color="auto" w:fill="auto"/>
            <w:noWrap/>
            <w:vAlign w:val="bottom"/>
            <w:hideMark/>
          </w:tcPr>
          <w:p w14:paraId="17BE69A7"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153 341,51 </w:t>
            </w:r>
          </w:p>
        </w:tc>
        <w:tc>
          <w:tcPr>
            <w:tcW w:w="1376" w:type="dxa"/>
            <w:tcBorders>
              <w:top w:val="nil"/>
              <w:left w:val="nil"/>
              <w:bottom w:val="nil"/>
              <w:right w:val="nil"/>
            </w:tcBorders>
            <w:shd w:val="clear" w:color="auto" w:fill="auto"/>
            <w:noWrap/>
            <w:vAlign w:val="bottom"/>
            <w:hideMark/>
          </w:tcPr>
          <w:p w14:paraId="160044E2"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19,36%</w:t>
            </w:r>
          </w:p>
        </w:tc>
      </w:tr>
      <w:tr w:rsidR="00884937" w:rsidRPr="008F5D99" w14:paraId="1E93445A" w14:textId="77777777" w:rsidTr="00884937">
        <w:trPr>
          <w:trHeight w:val="155"/>
          <w:jc w:val="center"/>
        </w:trPr>
        <w:tc>
          <w:tcPr>
            <w:tcW w:w="3964" w:type="dxa"/>
            <w:tcBorders>
              <w:top w:val="nil"/>
              <w:left w:val="nil"/>
              <w:bottom w:val="nil"/>
              <w:right w:val="nil"/>
            </w:tcBorders>
            <w:shd w:val="clear" w:color="auto" w:fill="auto"/>
            <w:noWrap/>
            <w:vAlign w:val="bottom"/>
            <w:hideMark/>
          </w:tcPr>
          <w:p w14:paraId="548091F9" w14:textId="77777777" w:rsidR="00884937" w:rsidRPr="008F5D99" w:rsidRDefault="00884937" w:rsidP="0088493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Deutsche Bank</w:t>
            </w:r>
          </w:p>
        </w:tc>
        <w:tc>
          <w:tcPr>
            <w:tcW w:w="1376" w:type="dxa"/>
            <w:tcBorders>
              <w:top w:val="nil"/>
              <w:left w:val="nil"/>
              <w:bottom w:val="nil"/>
              <w:right w:val="nil"/>
            </w:tcBorders>
            <w:shd w:val="clear" w:color="auto" w:fill="auto"/>
            <w:noWrap/>
            <w:vAlign w:val="bottom"/>
            <w:hideMark/>
          </w:tcPr>
          <w:p w14:paraId="5EAD94EE"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144 671,40 </w:t>
            </w:r>
          </w:p>
        </w:tc>
        <w:tc>
          <w:tcPr>
            <w:tcW w:w="1376" w:type="dxa"/>
            <w:tcBorders>
              <w:top w:val="nil"/>
              <w:left w:val="nil"/>
              <w:bottom w:val="nil"/>
              <w:right w:val="nil"/>
            </w:tcBorders>
            <w:shd w:val="clear" w:color="auto" w:fill="auto"/>
            <w:noWrap/>
            <w:vAlign w:val="bottom"/>
            <w:hideMark/>
          </w:tcPr>
          <w:p w14:paraId="4E39D128"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18,26%</w:t>
            </w:r>
          </w:p>
        </w:tc>
      </w:tr>
      <w:tr w:rsidR="00884937" w:rsidRPr="008F5D99" w14:paraId="5EFEDDAA" w14:textId="77777777" w:rsidTr="00884937">
        <w:trPr>
          <w:trHeight w:val="155"/>
          <w:jc w:val="center"/>
        </w:trPr>
        <w:tc>
          <w:tcPr>
            <w:tcW w:w="3964" w:type="dxa"/>
            <w:tcBorders>
              <w:top w:val="nil"/>
              <w:left w:val="nil"/>
              <w:bottom w:val="nil"/>
              <w:right w:val="nil"/>
            </w:tcBorders>
            <w:shd w:val="clear" w:color="auto" w:fill="auto"/>
            <w:noWrap/>
            <w:vAlign w:val="bottom"/>
            <w:hideMark/>
          </w:tcPr>
          <w:p w14:paraId="5B775068" w14:textId="77777777" w:rsidR="00884937" w:rsidRPr="008F5D99" w:rsidRDefault="00884937" w:rsidP="0088493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PIMCO (Gestora de Portafolios)</w:t>
            </w:r>
          </w:p>
        </w:tc>
        <w:tc>
          <w:tcPr>
            <w:tcW w:w="1376" w:type="dxa"/>
            <w:tcBorders>
              <w:top w:val="nil"/>
              <w:left w:val="nil"/>
              <w:bottom w:val="nil"/>
              <w:right w:val="nil"/>
            </w:tcBorders>
            <w:shd w:val="clear" w:color="auto" w:fill="auto"/>
            <w:noWrap/>
            <w:vAlign w:val="bottom"/>
            <w:hideMark/>
          </w:tcPr>
          <w:p w14:paraId="7BCBB18F"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82 576,60 </w:t>
            </w:r>
          </w:p>
        </w:tc>
        <w:tc>
          <w:tcPr>
            <w:tcW w:w="1376" w:type="dxa"/>
            <w:tcBorders>
              <w:top w:val="nil"/>
              <w:left w:val="nil"/>
              <w:bottom w:val="nil"/>
              <w:right w:val="nil"/>
            </w:tcBorders>
            <w:shd w:val="clear" w:color="auto" w:fill="auto"/>
            <w:noWrap/>
            <w:vAlign w:val="bottom"/>
            <w:hideMark/>
          </w:tcPr>
          <w:p w14:paraId="4DB4FE73"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10,42%</w:t>
            </w:r>
          </w:p>
        </w:tc>
      </w:tr>
      <w:tr w:rsidR="00884937" w:rsidRPr="008F5D99" w14:paraId="3CE55E32" w14:textId="77777777" w:rsidTr="00884937">
        <w:trPr>
          <w:trHeight w:val="155"/>
          <w:jc w:val="center"/>
        </w:trPr>
        <w:tc>
          <w:tcPr>
            <w:tcW w:w="3964" w:type="dxa"/>
            <w:tcBorders>
              <w:top w:val="nil"/>
              <w:left w:val="nil"/>
              <w:bottom w:val="nil"/>
              <w:right w:val="nil"/>
            </w:tcBorders>
            <w:shd w:val="clear" w:color="auto" w:fill="auto"/>
            <w:noWrap/>
            <w:vAlign w:val="bottom"/>
            <w:hideMark/>
          </w:tcPr>
          <w:p w14:paraId="57C718E5" w14:textId="77777777" w:rsidR="00884937" w:rsidRPr="008F5D99" w:rsidRDefault="00884937" w:rsidP="0088493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JP Morgan </w:t>
            </w:r>
            <w:proofErr w:type="spellStart"/>
            <w:r w:rsidRPr="008F5D99">
              <w:rPr>
                <w:rFonts w:asciiTheme="majorHAnsi" w:eastAsia="Times New Roman" w:hAnsiTheme="majorHAnsi" w:cstheme="minorHAnsi"/>
                <w:color w:val="000000"/>
                <w:lang w:val="es-CR" w:eastAsia="es-CR"/>
              </w:rPr>
              <w:t>Funds</w:t>
            </w:r>
            <w:proofErr w:type="spellEnd"/>
          </w:p>
        </w:tc>
        <w:tc>
          <w:tcPr>
            <w:tcW w:w="1376" w:type="dxa"/>
            <w:tcBorders>
              <w:top w:val="nil"/>
              <w:left w:val="nil"/>
              <w:bottom w:val="nil"/>
              <w:right w:val="nil"/>
            </w:tcBorders>
            <w:shd w:val="clear" w:color="auto" w:fill="auto"/>
            <w:noWrap/>
            <w:vAlign w:val="bottom"/>
            <w:hideMark/>
          </w:tcPr>
          <w:p w14:paraId="4DE22335"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67 171,23 </w:t>
            </w:r>
          </w:p>
        </w:tc>
        <w:tc>
          <w:tcPr>
            <w:tcW w:w="1376" w:type="dxa"/>
            <w:tcBorders>
              <w:top w:val="nil"/>
              <w:left w:val="nil"/>
              <w:bottom w:val="nil"/>
              <w:right w:val="nil"/>
            </w:tcBorders>
            <w:shd w:val="clear" w:color="auto" w:fill="auto"/>
            <w:noWrap/>
            <w:vAlign w:val="bottom"/>
            <w:hideMark/>
          </w:tcPr>
          <w:p w14:paraId="288B1FAF"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8,48%</w:t>
            </w:r>
          </w:p>
        </w:tc>
      </w:tr>
      <w:tr w:rsidR="00884937" w:rsidRPr="008F5D99" w14:paraId="15565346" w14:textId="77777777" w:rsidTr="00884937">
        <w:trPr>
          <w:trHeight w:val="155"/>
          <w:jc w:val="center"/>
        </w:trPr>
        <w:tc>
          <w:tcPr>
            <w:tcW w:w="3964" w:type="dxa"/>
            <w:tcBorders>
              <w:top w:val="nil"/>
              <w:left w:val="nil"/>
              <w:bottom w:val="nil"/>
              <w:right w:val="nil"/>
            </w:tcBorders>
            <w:shd w:val="clear" w:color="auto" w:fill="auto"/>
            <w:noWrap/>
            <w:vAlign w:val="bottom"/>
            <w:hideMark/>
          </w:tcPr>
          <w:p w14:paraId="7B5BFBF8" w14:textId="77777777" w:rsidR="00884937" w:rsidRPr="008F5D99" w:rsidRDefault="00884937" w:rsidP="0088493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Black Rock </w:t>
            </w:r>
            <w:proofErr w:type="spellStart"/>
            <w:r w:rsidRPr="008F5D99">
              <w:rPr>
                <w:rFonts w:asciiTheme="majorHAnsi" w:eastAsia="Times New Roman" w:hAnsiTheme="majorHAnsi" w:cstheme="minorHAnsi"/>
                <w:color w:val="000000"/>
                <w:lang w:val="es-CR" w:eastAsia="es-CR"/>
              </w:rPr>
              <w:t>Fund</w:t>
            </w:r>
            <w:proofErr w:type="spellEnd"/>
            <w:r w:rsidRPr="008F5D99">
              <w:rPr>
                <w:rFonts w:asciiTheme="majorHAnsi" w:eastAsia="Times New Roman" w:hAnsiTheme="majorHAnsi" w:cstheme="minorHAnsi"/>
                <w:color w:val="000000"/>
                <w:lang w:val="es-CR" w:eastAsia="es-CR"/>
              </w:rPr>
              <w:t xml:space="preserve"> </w:t>
            </w:r>
            <w:proofErr w:type="spellStart"/>
            <w:r w:rsidRPr="008F5D99">
              <w:rPr>
                <w:rFonts w:asciiTheme="majorHAnsi" w:eastAsia="Times New Roman" w:hAnsiTheme="majorHAnsi" w:cstheme="minorHAnsi"/>
                <w:color w:val="000000"/>
                <w:lang w:val="es-CR" w:eastAsia="es-CR"/>
              </w:rPr>
              <w:t>Advisors</w:t>
            </w:r>
            <w:proofErr w:type="spellEnd"/>
          </w:p>
        </w:tc>
        <w:tc>
          <w:tcPr>
            <w:tcW w:w="1376" w:type="dxa"/>
            <w:tcBorders>
              <w:top w:val="nil"/>
              <w:left w:val="nil"/>
              <w:bottom w:val="nil"/>
              <w:right w:val="nil"/>
            </w:tcBorders>
            <w:shd w:val="clear" w:color="auto" w:fill="auto"/>
            <w:noWrap/>
            <w:vAlign w:val="bottom"/>
            <w:hideMark/>
          </w:tcPr>
          <w:p w14:paraId="2589CF04"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57 713,59 </w:t>
            </w:r>
          </w:p>
        </w:tc>
        <w:tc>
          <w:tcPr>
            <w:tcW w:w="1376" w:type="dxa"/>
            <w:tcBorders>
              <w:top w:val="nil"/>
              <w:left w:val="nil"/>
              <w:bottom w:val="nil"/>
              <w:right w:val="nil"/>
            </w:tcBorders>
            <w:shd w:val="clear" w:color="auto" w:fill="auto"/>
            <w:noWrap/>
            <w:vAlign w:val="bottom"/>
            <w:hideMark/>
          </w:tcPr>
          <w:p w14:paraId="1038BE06"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7,29%</w:t>
            </w:r>
          </w:p>
        </w:tc>
      </w:tr>
      <w:tr w:rsidR="00884937" w:rsidRPr="008F5D99" w14:paraId="3C54A221" w14:textId="77777777" w:rsidTr="00884937">
        <w:trPr>
          <w:trHeight w:val="155"/>
          <w:jc w:val="center"/>
        </w:trPr>
        <w:tc>
          <w:tcPr>
            <w:tcW w:w="3964" w:type="dxa"/>
            <w:tcBorders>
              <w:top w:val="nil"/>
              <w:left w:val="nil"/>
              <w:bottom w:val="nil"/>
              <w:right w:val="nil"/>
            </w:tcBorders>
            <w:shd w:val="clear" w:color="auto" w:fill="auto"/>
            <w:noWrap/>
            <w:vAlign w:val="bottom"/>
            <w:hideMark/>
          </w:tcPr>
          <w:p w14:paraId="3A8753F9" w14:textId="77777777" w:rsidR="00884937" w:rsidRPr="008F5D99" w:rsidRDefault="00884937" w:rsidP="00884937">
            <w:pPr>
              <w:spacing w:after="0" w:line="240" w:lineRule="auto"/>
              <w:rPr>
                <w:rFonts w:asciiTheme="majorHAnsi" w:eastAsia="Times New Roman" w:hAnsiTheme="majorHAnsi" w:cstheme="minorHAnsi"/>
                <w:color w:val="000000"/>
                <w:lang w:val="es-CR" w:eastAsia="es-CR"/>
              </w:rPr>
            </w:pPr>
            <w:proofErr w:type="spellStart"/>
            <w:r w:rsidRPr="008F5D99">
              <w:rPr>
                <w:rFonts w:asciiTheme="majorHAnsi" w:eastAsia="Times New Roman" w:hAnsiTheme="majorHAnsi" w:cstheme="minorHAnsi"/>
                <w:color w:val="000000"/>
                <w:lang w:val="es-CR" w:eastAsia="es-CR"/>
              </w:rPr>
              <w:t>The</w:t>
            </w:r>
            <w:proofErr w:type="spellEnd"/>
            <w:r w:rsidRPr="008F5D99">
              <w:rPr>
                <w:rFonts w:asciiTheme="majorHAnsi" w:eastAsia="Times New Roman" w:hAnsiTheme="majorHAnsi" w:cstheme="minorHAnsi"/>
                <w:color w:val="000000"/>
                <w:lang w:val="es-CR" w:eastAsia="es-CR"/>
              </w:rPr>
              <w:t xml:space="preserve"> </w:t>
            </w:r>
            <w:proofErr w:type="spellStart"/>
            <w:r w:rsidRPr="008F5D99">
              <w:rPr>
                <w:rFonts w:asciiTheme="majorHAnsi" w:eastAsia="Times New Roman" w:hAnsiTheme="majorHAnsi" w:cstheme="minorHAnsi"/>
                <w:color w:val="000000"/>
                <w:lang w:val="es-CR" w:eastAsia="es-CR"/>
              </w:rPr>
              <w:t>Vanguard</w:t>
            </w:r>
            <w:proofErr w:type="spellEnd"/>
            <w:r w:rsidRPr="008F5D99">
              <w:rPr>
                <w:rFonts w:asciiTheme="majorHAnsi" w:eastAsia="Times New Roman" w:hAnsiTheme="majorHAnsi" w:cstheme="minorHAnsi"/>
                <w:color w:val="000000"/>
                <w:lang w:val="es-CR" w:eastAsia="es-CR"/>
              </w:rPr>
              <w:t xml:space="preserve"> </w:t>
            </w:r>
            <w:proofErr w:type="spellStart"/>
            <w:r w:rsidRPr="008F5D99">
              <w:rPr>
                <w:rFonts w:asciiTheme="majorHAnsi" w:eastAsia="Times New Roman" w:hAnsiTheme="majorHAnsi" w:cstheme="minorHAnsi"/>
                <w:color w:val="000000"/>
                <w:lang w:val="es-CR" w:eastAsia="es-CR"/>
              </w:rPr>
              <w:t>Group</w:t>
            </w:r>
            <w:proofErr w:type="spellEnd"/>
          </w:p>
        </w:tc>
        <w:tc>
          <w:tcPr>
            <w:tcW w:w="1376" w:type="dxa"/>
            <w:tcBorders>
              <w:top w:val="nil"/>
              <w:left w:val="nil"/>
              <w:bottom w:val="nil"/>
              <w:right w:val="nil"/>
            </w:tcBorders>
            <w:shd w:val="clear" w:color="auto" w:fill="auto"/>
            <w:noWrap/>
            <w:vAlign w:val="bottom"/>
            <w:hideMark/>
          </w:tcPr>
          <w:p w14:paraId="7BF0F634"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55 132,31 </w:t>
            </w:r>
          </w:p>
        </w:tc>
        <w:tc>
          <w:tcPr>
            <w:tcW w:w="1376" w:type="dxa"/>
            <w:tcBorders>
              <w:top w:val="nil"/>
              <w:left w:val="nil"/>
              <w:bottom w:val="nil"/>
              <w:right w:val="nil"/>
            </w:tcBorders>
            <w:shd w:val="clear" w:color="auto" w:fill="auto"/>
            <w:noWrap/>
            <w:vAlign w:val="bottom"/>
            <w:hideMark/>
          </w:tcPr>
          <w:p w14:paraId="567D4AA3"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6,96%</w:t>
            </w:r>
          </w:p>
        </w:tc>
      </w:tr>
      <w:tr w:rsidR="00884937" w:rsidRPr="008F5D99" w14:paraId="6324B486" w14:textId="77777777" w:rsidTr="00884937">
        <w:trPr>
          <w:trHeight w:val="155"/>
          <w:jc w:val="center"/>
        </w:trPr>
        <w:tc>
          <w:tcPr>
            <w:tcW w:w="3964" w:type="dxa"/>
            <w:tcBorders>
              <w:top w:val="nil"/>
              <w:left w:val="nil"/>
              <w:bottom w:val="nil"/>
              <w:right w:val="nil"/>
            </w:tcBorders>
            <w:shd w:val="clear" w:color="auto" w:fill="auto"/>
            <w:noWrap/>
            <w:vAlign w:val="bottom"/>
            <w:hideMark/>
          </w:tcPr>
          <w:p w14:paraId="43C14F48" w14:textId="77777777" w:rsidR="00884937" w:rsidRPr="008F5D99" w:rsidRDefault="00884937" w:rsidP="0088493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Goldman Sachs </w:t>
            </w:r>
            <w:proofErr w:type="spellStart"/>
            <w:r w:rsidRPr="008F5D99">
              <w:rPr>
                <w:rFonts w:asciiTheme="majorHAnsi" w:eastAsia="Times New Roman" w:hAnsiTheme="majorHAnsi" w:cstheme="minorHAnsi"/>
                <w:color w:val="000000"/>
                <w:lang w:val="es-CR" w:eastAsia="es-CR"/>
              </w:rPr>
              <w:t>Group</w:t>
            </w:r>
            <w:proofErr w:type="spellEnd"/>
            <w:r w:rsidRPr="008F5D99">
              <w:rPr>
                <w:rFonts w:asciiTheme="majorHAnsi" w:eastAsia="Times New Roman" w:hAnsiTheme="majorHAnsi" w:cstheme="minorHAnsi"/>
                <w:color w:val="000000"/>
                <w:lang w:val="es-CR" w:eastAsia="es-CR"/>
              </w:rPr>
              <w:t xml:space="preserve"> Inc.</w:t>
            </w:r>
          </w:p>
        </w:tc>
        <w:tc>
          <w:tcPr>
            <w:tcW w:w="1376" w:type="dxa"/>
            <w:tcBorders>
              <w:top w:val="nil"/>
              <w:left w:val="nil"/>
              <w:bottom w:val="nil"/>
              <w:right w:val="nil"/>
            </w:tcBorders>
            <w:shd w:val="clear" w:color="auto" w:fill="auto"/>
            <w:noWrap/>
            <w:vAlign w:val="bottom"/>
            <w:hideMark/>
          </w:tcPr>
          <w:p w14:paraId="2A79F915"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49 070,42 </w:t>
            </w:r>
          </w:p>
        </w:tc>
        <w:tc>
          <w:tcPr>
            <w:tcW w:w="1376" w:type="dxa"/>
            <w:tcBorders>
              <w:top w:val="nil"/>
              <w:left w:val="nil"/>
              <w:bottom w:val="nil"/>
              <w:right w:val="nil"/>
            </w:tcBorders>
            <w:shd w:val="clear" w:color="auto" w:fill="auto"/>
            <w:noWrap/>
            <w:vAlign w:val="bottom"/>
            <w:hideMark/>
          </w:tcPr>
          <w:p w14:paraId="5076B987"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6,19%</w:t>
            </w:r>
          </w:p>
        </w:tc>
      </w:tr>
      <w:tr w:rsidR="00884937" w:rsidRPr="008F5D99" w14:paraId="2D3F7C42" w14:textId="77777777" w:rsidTr="00884937">
        <w:trPr>
          <w:trHeight w:val="155"/>
          <w:jc w:val="center"/>
        </w:trPr>
        <w:tc>
          <w:tcPr>
            <w:tcW w:w="3964" w:type="dxa"/>
            <w:tcBorders>
              <w:top w:val="nil"/>
              <w:left w:val="nil"/>
              <w:bottom w:val="nil"/>
              <w:right w:val="nil"/>
            </w:tcBorders>
            <w:shd w:val="clear" w:color="auto" w:fill="auto"/>
            <w:noWrap/>
            <w:vAlign w:val="bottom"/>
            <w:hideMark/>
          </w:tcPr>
          <w:p w14:paraId="21291AA7" w14:textId="77777777" w:rsidR="00884937" w:rsidRPr="008F5D99" w:rsidRDefault="00884937" w:rsidP="0088493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Principal Global </w:t>
            </w:r>
            <w:proofErr w:type="spellStart"/>
            <w:r w:rsidRPr="008F5D99">
              <w:rPr>
                <w:rFonts w:asciiTheme="majorHAnsi" w:eastAsia="Times New Roman" w:hAnsiTheme="majorHAnsi" w:cstheme="minorHAnsi"/>
                <w:color w:val="000000"/>
                <w:lang w:val="es-CR" w:eastAsia="es-CR"/>
              </w:rPr>
              <w:t>Investors</w:t>
            </w:r>
            <w:proofErr w:type="spellEnd"/>
            <w:r w:rsidRPr="008F5D99">
              <w:rPr>
                <w:rFonts w:asciiTheme="majorHAnsi" w:eastAsia="Times New Roman" w:hAnsiTheme="majorHAnsi" w:cstheme="minorHAnsi"/>
                <w:color w:val="000000"/>
                <w:lang w:val="es-CR" w:eastAsia="es-CR"/>
              </w:rPr>
              <w:t xml:space="preserve"> </w:t>
            </w:r>
            <w:proofErr w:type="spellStart"/>
            <w:r w:rsidRPr="008F5D99">
              <w:rPr>
                <w:rFonts w:asciiTheme="majorHAnsi" w:eastAsia="Times New Roman" w:hAnsiTheme="majorHAnsi" w:cstheme="minorHAnsi"/>
                <w:color w:val="000000"/>
                <w:lang w:val="es-CR" w:eastAsia="es-CR"/>
              </w:rPr>
              <w:t>Funds</w:t>
            </w:r>
            <w:proofErr w:type="spellEnd"/>
          </w:p>
        </w:tc>
        <w:tc>
          <w:tcPr>
            <w:tcW w:w="1376" w:type="dxa"/>
            <w:tcBorders>
              <w:top w:val="nil"/>
              <w:left w:val="nil"/>
              <w:bottom w:val="nil"/>
              <w:right w:val="nil"/>
            </w:tcBorders>
            <w:shd w:val="clear" w:color="auto" w:fill="auto"/>
            <w:noWrap/>
            <w:vAlign w:val="bottom"/>
            <w:hideMark/>
          </w:tcPr>
          <w:p w14:paraId="4634AFB1"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34 909,64 </w:t>
            </w:r>
          </w:p>
        </w:tc>
        <w:tc>
          <w:tcPr>
            <w:tcW w:w="1376" w:type="dxa"/>
            <w:tcBorders>
              <w:top w:val="nil"/>
              <w:left w:val="nil"/>
              <w:bottom w:val="nil"/>
              <w:right w:val="nil"/>
            </w:tcBorders>
            <w:shd w:val="clear" w:color="auto" w:fill="auto"/>
            <w:noWrap/>
            <w:vAlign w:val="bottom"/>
            <w:hideMark/>
          </w:tcPr>
          <w:p w14:paraId="31D5DC3F"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4,41%</w:t>
            </w:r>
          </w:p>
        </w:tc>
      </w:tr>
      <w:tr w:rsidR="00884937" w:rsidRPr="008F5D99" w14:paraId="4BA46B6B" w14:textId="77777777" w:rsidTr="00884937">
        <w:trPr>
          <w:trHeight w:val="155"/>
          <w:jc w:val="center"/>
        </w:trPr>
        <w:tc>
          <w:tcPr>
            <w:tcW w:w="3964" w:type="dxa"/>
            <w:tcBorders>
              <w:top w:val="nil"/>
              <w:left w:val="nil"/>
              <w:bottom w:val="nil"/>
              <w:right w:val="nil"/>
            </w:tcBorders>
            <w:shd w:val="clear" w:color="auto" w:fill="auto"/>
            <w:noWrap/>
            <w:vAlign w:val="bottom"/>
            <w:hideMark/>
          </w:tcPr>
          <w:p w14:paraId="05603BA7" w14:textId="77777777" w:rsidR="00884937" w:rsidRPr="008F5D99" w:rsidRDefault="00884937" w:rsidP="00884937">
            <w:pPr>
              <w:spacing w:after="0" w:line="240" w:lineRule="auto"/>
              <w:rPr>
                <w:rFonts w:asciiTheme="majorHAnsi" w:eastAsia="Times New Roman" w:hAnsiTheme="majorHAnsi" w:cstheme="minorHAnsi"/>
                <w:color w:val="000000"/>
                <w:lang w:val="es-CR" w:eastAsia="es-CR"/>
              </w:rPr>
            </w:pPr>
            <w:proofErr w:type="spellStart"/>
            <w:r w:rsidRPr="008F5D99">
              <w:rPr>
                <w:rFonts w:asciiTheme="majorHAnsi" w:eastAsia="Times New Roman" w:hAnsiTheme="majorHAnsi" w:cstheme="minorHAnsi"/>
                <w:color w:val="000000"/>
                <w:lang w:val="es-CR" w:eastAsia="es-CR"/>
              </w:rPr>
              <w:t>WisdomTree</w:t>
            </w:r>
            <w:proofErr w:type="spellEnd"/>
            <w:r w:rsidRPr="008F5D99">
              <w:rPr>
                <w:rFonts w:asciiTheme="majorHAnsi" w:eastAsia="Times New Roman" w:hAnsiTheme="majorHAnsi" w:cstheme="minorHAnsi"/>
                <w:color w:val="000000"/>
                <w:lang w:val="es-CR" w:eastAsia="es-CR"/>
              </w:rPr>
              <w:t xml:space="preserve"> </w:t>
            </w:r>
            <w:proofErr w:type="spellStart"/>
            <w:r w:rsidRPr="008F5D99">
              <w:rPr>
                <w:rFonts w:asciiTheme="majorHAnsi" w:eastAsia="Times New Roman" w:hAnsiTheme="majorHAnsi" w:cstheme="minorHAnsi"/>
                <w:color w:val="000000"/>
                <w:lang w:val="es-CR" w:eastAsia="es-CR"/>
              </w:rPr>
              <w:t>Asset</w:t>
            </w:r>
            <w:proofErr w:type="spellEnd"/>
            <w:r w:rsidRPr="008F5D99">
              <w:rPr>
                <w:rFonts w:asciiTheme="majorHAnsi" w:eastAsia="Times New Roman" w:hAnsiTheme="majorHAnsi" w:cstheme="minorHAnsi"/>
                <w:color w:val="000000"/>
                <w:lang w:val="es-CR" w:eastAsia="es-CR"/>
              </w:rPr>
              <w:t xml:space="preserve"> Management </w:t>
            </w:r>
            <w:proofErr w:type="spellStart"/>
            <w:r w:rsidRPr="008F5D99">
              <w:rPr>
                <w:rFonts w:asciiTheme="majorHAnsi" w:eastAsia="Times New Roman" w:hAnsiTheme="majorHAnsi" w:cstheme="minorHAnsi"/>
                <w:color w:val="000000"/>
                <w:lang w:val="es-CR" w:eastAsia="es-CR"/>
              </w:rPr>
              <w:t>Inc</w:t>
            </w:r>
            <w:proofErr w:type="spellEnd"/>
          </w:p>
        </w:tc>
        <w:tc>
          <w:tcPr>
            <w:tcW w:w="1376" w:type="dxa"/>
            <w:tcBorders>
              <w:top w:val="nil"/>
              <w:left w:val="nil"/>
              <w:bottom w:val="nil"/>
              <w:right w:val="nil"/>
            </w:tcBorders>
            <w:shd w:val="clear" w:color="auto" w:fill="auto"/>
            <w:noWrap/>
            <w:vAlign w:val="bottom"/>
            <w:hideMark/>
          </w:tcPr>
          <w:p w14:paraId="3C331A63"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27 743,67 </w:t>
            </w:r>
          </w:p>
        </w:tc>
        <w:tc>
          <w:tcPr>
            <w:tcW w:w="1376" w:type="dxa"/>
            <w:tcBorders>
              <w:top w:val="nil"/>
              <w:left w:val="nil"/>
              <w:bottom w:val="nil"/>
              <w:right w:val="nil"/>
            </w:tcBorders>
            <w:shd w:val="clear" w:color="auto" w:fill="auto"/>
            <w:noWrap/>
            <w:vAlign w:val="bottom"/>
            <w:hideMark/>
          </w:tcPr>
          <w:p w14:paraId="32D2C695"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3,50%</w:t>
            </w:r>
          </w:p>
        </w:tc>
      </w:tr>
      <w:tr w:rsidR="00884937" w:rsidRPr="008F5D99" w14:paraId="35046523" w14:textId="77777777" w:rsidTr="00884937">
        <w:trPr>
          <w:trHeight w:val="155"/>
          <w:jc w:val="center"/>
        </w:trPr>
        <w:tc>
          <w:tcPr>
            <w:tcW w:w="3964" w:type="dxa"/>
            <w:tcBorders>
              <w:top w:val="nil"/>
              <w:left w:val="nil"/>
              <w:bottom w:val="single" w:sz="4" w:space="0" w:color="auto"/>
              <w:right w:val="nil"/>
            </w:tcBorders>
            <w:shd w:val="clear" w:color="auto" w:fill="auto"/>
            <w:noWrap/>
            <w:vAlign w:val="bottom"/>
            <w:hideMark/>
          </w:tcPr>
          <w:p w14:paraId="0A57EFEB" w14:textId="77777777" w:rsidR="00884937" w:rsidRPr="008F5D99" w:rsidRDefault="00884937" w:rsidP="00884937">
            <w:pPr>
              <w:spacing w:after="0" w:line="240" w:lineRule="auto"/>
              <w:rPr>
                <w:rFonts w:asciiTheme="majorHAnsi" w:eastAsia="Times New Roman" w:hAnsiTheme="majorHAnsi" w:cstheme="minorHAnsi"/>
                <w:color w:val="000000"/>
                <w:lang w:val="en-US" w:eastAsia="es-CR"/>
              </w:rPr>
            </w:pPr>
            <w:r w:rsidRPr="008F5D99">
              <w:rPr>
                <w:rFonts w:asciiTheme="majorHAnsi" w:eastAsia="Times New Roman" w:hAnsiTheme="majorHAnsi" w:cstheme="minorHAnsi"/>
                <w:color w:val="000000"/>
                <w:lang w:val="en-US" w:eastAsia="es-CR"/>
              </w:rPr>
              <w:t xml:space="preserve">Invesco </w:t>
            </w:r>
            <w:proofErr w:type="spellStart"/>
            <w:r w:rsidRPr="008F5D99">
              <w:rPr>
                <w:rFonts w:asciiTheme="majorHAnsi" w:eastAsia="Times New Roman" w:hAnsiTheme="majorHAnsi" w:cstheme="minorHAnsi"/>
                <w:color w:val="000000"/>
                <w:lang w:val="en-US" w:eastAsia="es-CR"/>
              </w:rPr>
              <w:t>PowerShares</w:t>
            </w:r>
            <w:proofErr w:type="spellEnd"/>
            <w:r w:rsidRPr="008F5D99">
              <w:rPr>
                <w:rFonts w:asciiTheme="majorHAnsi" w:eastAsia="Times New Roman" w:hAnsiTheme="majorHAnsi" w:cstheme="minorHAnsi"/>
                <w:color w:val="000000"/>
                <w:lang w:val="en-US" w:eastAsia="es-CR"/>
              </w:rPr>
              <w:t xml:space="preserve"> Capital </w:t>
            </w:r>
            <w:proofErr w:type="spellStart"/>
            <w:r w:rsidRPr="008F5D99">
              <w:rPr>
                <w:rFonts w:asciiTheme="majorHAnsi" w:eastAsia="Times New Roman" w:hAnsiTheme="majorHAnsi" w:cstheme="minorHAnsi"/>
                <w:color w:val="000000"/>
                <w:lang w:val="en-US" w:eastAsia="es-CR"/>
              </w:rPr>
              <w:t>Mgmt</w:t>
            </w:r>
            <w:proofErr w:type="spellEnd"/>
            <w:r w:rsidRPr="008F5D99">
              <w:rPr>
                <w:rFonts w:asciiTheme="majorHAnsi" w:eastAsia="Times New Roman" w:hAnsiTheme="majorHAnsi" w:cstheme="minorHAnsi"/>
                <w:color w:val="000000"/>
                <w:lang w:val="en-US" w:eastAsia="es-CR"/>
              </w:rPr>
              <w:t xml:space="preserve"> LLC</w:t>
            </w:r>
          </w:p>
        </w:tc>
        <w:tc>
          <w:tcPr>
            <w:tcW w:w="1376" w:type="dxa"/>
            <w:tcBorders>
              <w:top w:val="nil"/>
              <w:left w:val="nil"/>
              <w:bottom w:val="single" w:sz="4" w:space="0" w:color="auto"/>
              <w:right w:val="nil"/>
            </w:tcBorders>
            <w:shd w:val="clear" w:color="auto" w:fill="auto"/>
            <w:noWrap/>
            <w:vAlign w:val="bottom"/>
            <w:hideMark/>
          </w:tcPr>
          <w:p w14:paraId="735D50CB" w14:textId="77777777" w:rsidR="00884937" w:rsidRPr="008F5D99" w:rsidRDefault="00884937" w:rsidP="00A873F0">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n-US" w:eastAsia="es-CR"/>
              </w:rPr>
              <w:t xml:space="preserve"> </w:t>
            </w:r>
            <w:r w:rsidRPr="008F5D99">
              <w:rPr>
                <w:rFonts w:asciiTheme="majorHAnsi" w:eastAsia="Times New Roman" w:hAnsiTheme="majorHAnsi" w:cstheme="minorHAnsi"/>
                <w:color w:val="000000"/>
                <w:lang w:val="es-CR" w:eastAsia="es-CR"/>
              </w:rPr>
              <w:t xml:space="preserve">15 809,83 </w:t>
            </w:r>
          </w:p>
        </w:tc>
        <w:tc>
          <w:tcPr>
            <w:tcW w:w="1376" w:type="dxa"/>
            <w:tcBorders>
              <w:top w:val="nil"/>
              <w:left w:val="nil"/>
              <w:bottom w:val="single" w:sz="4" w:space="0" w:color="auto"/>
              <w:right w:val="nil"/>
            </w:tcBorders>
            <w:shd w:val="clear" w:color="auto" w:fill="auto"/>
            <w:noWrap/>
            <w:vAlign w:val="bottom"/>
            <w:hideMark/>
          </w:tcPr>
          <w:p w14:paraId="042A7EA0" w14:textId="77777777" w:rsidR="00884937" w:rsidRPr="008F5D99" w:rsidRDefault="00884937" w:rsidP="0088493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2,00%</w:t>
            </w:r>
          </w:p>
        </w:tc>
      </w:tr>
    </w:tbl>
    <w:p w14:paraId="7F369112" w14:textId="77777777" w:rsidR="00884937" w:rsidRPr="009B7058" w:rsidRDefault="00884937" w:rsidP="009B7058">
      <w:pPr>
        <w:spacing w:after="20" w:line="240" w:lineRule="auto"/>
        <w:ind w:left="1134"/>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0AD9C6F4" w14:textId="77777777" w:rsidR="00884937" w:rsidRPr="008F5D99" w:rsidRDefault="00884937" w:rsidP="00AB1521">
      <w:pPr>
        <w:spacing w:after="0" w:line="240" w:lineRule="auto"/>
        <w:jc w:val="center"/>
        <w:rPr>
          <w:rFonts w:asciiTheme="majorHAnsi" w:hAnsiTheme="majorHAnsi" w:cstheme="minorHAnsi"/>
          <w:lang w:val="es-CR"/>
        </w:rPr>
      </w:pPr>
    </w:p>
    <w:p w14:paraId="2A277496" w14:textId="7816DAEC" w:rsidR="00A97B8A" w:rsidRPr="008F5D99" w:rsidRDefault="3373A143" w:rsidP="3373A143">
      <w:pPr>
        <w:spacing w:after="0" w:line="240" w:lineRule="auto"/>
        <w:jc w:val="both"/>
        <w:rPr>
          <w:rFonts w:asciiTheme="majorHAnsi" w:hAnsiTheme="majorHAnsi"/>
        </w:rPr>
      </w:pPr>
      <w:r w:rsidRPr="3373A143">
        <w:rPr>
          <w:rFonts w:asciiTheme="majorHAnsi" w:hAnsiTheme="majorHAnsi"/>
        </w:rPr>
        <w:t xml:space="preserve">A nivel de inversiones en el sector externo, también ha cambiado la composición. En el 2013 la cartera externa se concentraba en emisores como </w:t>
      </w:r>
      <w:proofErr w:type="spellStart"/>
      <w:r w:rsidRPr="3373A143">
        <w:rPr>
          <w:rFonts w:asciiTheme="majorHAnsi" w:hAnsiTheme="majorHAnsi"/>
          <w:i/>
          <w:iCs/>
        </w:rPr>
        <w:t>Flanklin</w:t>
      </w:r>
      <w:proofErr w:type="spellEnd"/>
      <w:r w:rsidRPr="3373A143">
        <w:rPr>
          <w:rFonts w:asciiTheme="majorHAnsi" w:hAnsiTheme="majorHAnsi"/>
          <w:i/>
          <w:iCs/>
        </w:rPr>
        <w:t xml:space="preserve"> </w:t>
      </w:r>
      <w:proofErr w:type="spellStart"/>
      <w:r w:rsidRPr="3373A143">
        <w:rPr>
          <w:rFonts w:asciiTheme="majorHAnsi" w:hAnsiTheme="majorHAnsi"/>
          <w:i/>
          <w:iCs/>
        </w:rPr>
        <w:t>Templeton</w:t>
      </w:r>
      <w:proofErr w:type="spellEnd"/>
      <w:r w:rsidRPr="3373A143">
        <w:rPr>
          <w:rFonts w:asciiTheme="majorHAnsi" w:hAnsiTheme="majorHAnsi"/>
          <w:i/>
          <w:iCs/>
        </w:rPr>
        <w:t xml:space="preserve"> </w:t>
      </w:r>
      <w:proofErr w:type="spellStart"/>
      <w:r w:rsidRPr="3373A143">
        <w:rPr>
          <w:rFonts w:asciiTheme="majorHAnsi" w:hAnsiTheme="majorHAnsi"/>
          <w:i/>
          <w:iCs/>
        </w:rPr>
        <w:t>Investment</w:t>
      </w:r>
      <w:proofErr w:type="spellEnd"/>
      <w:r w:rsidRPr="3373A143">
        <w:rPr>
          <w:rFonts w:asciiTheme="majorHAnsi" w:hAnsiTheme="majorHAnsi"/>
          <w:i/>
          <w:iCs/>
        </w:rPr>
        <w:t xml:space="preserve"> </w:t>
      </w:r>
      <w:proofErr w:type="spellStart"/>
      <w:r w:rsidRPr="3373A143">
        <w:rPr>
          <w:rFonts w:asciiTheme="majorHAnsi" w:hAnsiTheme="majorHAnsi"/>
          <w:i/>
          <w:iCs/>
        </w:rPr>
        <w:t>Funds</w:t>
      </w:r>
      <w:proofErr w:type="spellEnd"/>
      <w:r w:rsidRPr="3373A143">
        <w:rPr>
          <w:rFonts w:asciiTheme="majorHAnsi" w:hAnsiTheme="majorHAnsi"/>
          <w:i/>
          <w:iCs/>
        </w:rPr>
        <w:t xml:space="preserve">, International </w:t>
      </w:r>
      <w:proofErr w:type="spellStart"/>
      <w:r w:rsidRPr="3373A143">
        <w:rPr>
          <w:rFonts w:asciiTheme="majorHAnsi" w:hAnsiTheme="majorHAnsi"/>
          <w:i/>
          <w:iCs/>
        </w:rPr>
        <w:t>Finance</w:t>
      </w:r>
      <w:proofErr w:type="spellEnd"/>
      <w:r w:rsidRPr="3373A143">
        <w:rPr>
          <w:rFonts w:asciiTheme="majorHAnsi" w:hAnsiTheme="majorHAnsi"/>
          <w:i/>
          <w:iCs/>
        </w:rPr>
        <w:t xml:space="preserve"> </w:t>
      </w:r>
      <w:proofErr w:type="spellStart"/>
      <w:r w:rsidRPr="3373A143">
        <w:rPr>
          <w:rFonts w:asciiTheme="majorHAnsi" w:hAnsiTheme="majorHAnsi"/>
          <w:i/>
          <w:iCs/>
        </w:rPr>
        <w:t>Corporation</w:t>
      </w:r>
      <w:proofErr w:type="spellEnd"/>
      <w:r w:rsidRPr="3373A143">
        <w:rPr>
          <w:rFonts w:asciiTheme="majorHAnsi" w:hAnsiTheme="majorHAnsi"/>
        </w:rPr>
        <w:t xml:space="preserve"> y</w:t>
      </w:r>
      <w:r w:rsidRPr="3373A143">
        <w:rPr>
          <w:rFonts w:asciiTheme="majorHAnsi" w:hAnsiTheme="majorHAnsi"/>
          <w:i/>
          <w:iCs/>
        </w:rPr>
        <w:t xml:space="preserve"> </w:t>
      </w:r>
      <w:proofErr w:type="spellStart"/>
      <w:r w:rsidRPr="3373A143">
        <w:rPr>
          <w:rFonts w:asciiTheme="majorHAnsi" w:hAnsiTheme="majorHAnsi"/>
          <w:i/>
          <w:iCs/>
        </w:rPr>
        <w:t>Interamerican</w:t>
      </w:r>
      <w:proofErr w:type="spellEnd"/>
      <w:r w:rsidRPr="3373A143">
        <w:rPr>
          <w:rFonts w:asciiTheme="majorHAnsi" w:hAnsiTheme="majorHAnsi"/>
          <w:i/>
          <w:iCs/>
        </w:rPr>
        <w:t xml:space="preserve"> </w:t>
      </w:r>
      <w:proofErr w:type="spellStart"/>
      <w:r w:rsidRPr="3373A143">
        <w:rPr>
          <w:rFonts w:asciiTheme="majorHAnsi" w:hAnsiTheme="majorHAnsi"/>
          <w:i/>
          <w:iCs/>
        </w:rPr>
        <w:t>Development</w:t>
      </w:r>
      <w:proofErr w:type="spellEnd"/>
      <w:r w:rsidRPr="3373A143">
        <w:rPr>
          <w:rFonts w:asciiTheme="majorHAnsi" w:hAnsiTheme="majorHAnsi"/>
          <w:i/>
          <w:iCs/>
        </w:rPr>
        <w:t xml:space="preserve"> Bank</w:t>
      </w:r>
      <w:r w:rsidRPr="3373A143">
        <w:rPr>
          <w:rFonts w:asciiTheme="majorHAnsi" w:hAnsiTheme="majorHAnsi"/>
        </w:rPr>
        <w:t xml:space="preserve"> con el total conjunto del 92% de total de las </w:t>
      </w:r>
      <w:r w:rsidRPr="003723A4">
        <w:rPr>
          <w:rFonts w:asciiTheme="majorHAnsi" w:hAnsiTheme="majorHAnsi"/>
        </w:rPr>
        <w:t xml:space="preserve">inversiones. Para el 2018 </w:t>
      </w:r>
      <w:r w:rsidR="000F4700" w:rsidRPr="003723A4">
        <w:rPr>
          <w:rFonts w:asciiTheme="majorHAnsi" w:hAnsiTheme="majorHAnsi"/>
        </w:rPr>
        <w:t xml:space="preserve">todos </w:t>
      </w:r>
      <w:r w:rsidRPr="003723A4">
        <w:rPr>
          <w:rFonts w:asciiTheme="majorHAnsi" w:hAnsiTheme="majorHAnsi"/>
        </w:rPr>
        <w:t xml:space="preserve">los fondos </w:t>
      </w:r>
      <w:r w:rsidR="000F4700" w:rsidRPr="003723A4">
        <w:rPr>
          <w:rFonts w:asciiTheme="majorHAnsi" w:hAnsiTheme="majorHAnsi"/>
        </w:rPr>
        <w:t>invierten</w:t>
      </w:r>
      <w:r w:rsidRPr="003723A4">
        <w:rPr>
          <w:rFonts w:asciiTheme="majorHAnsi" w:hAnsiTheme="majorHAnsi"/>
        </w:rPr>
        <w:t xml:space="preserve"> en diferentes emisores</w:t>
      </w:r>
      <w:r w:rsidR="000F4700" w:rsidRPr="003723A4">
        <w:rPr>
          <w:rFonts w:asciiTheme="majorHAnsi" w:hAnsiTheme="majorHAnsi"/>
        </w:rPr>
        <w:t>,</w:t>
      </w:r>
      <w:r w:rsidRPr="003723A4">
        <w:rPr>
          <w:rFonts w:asciiTheme="majorHAnsi" w:hAnsiTheme="majorHAnsi"/>
        </w:rPr>
        <w:t xml:space="preserve"> sin que ninguno sobrepase e</w:t>
      </w:r>
      <w:r w:rsidR="00945F2A" w:rsidRPr="003723A4">
        <w:rPr>
          <w:rFonts w:asciiTheme="majorHAnsi" w:hAnsiTheme="majorHAnsi"/>
        </w:rPr>
        <w:t>l</w:t>
      </w:r>
      <w:r w:rsidRPr="003723A4">
        <w:rPr>
          <w:rFonts w:asciiTheme="majorHAnsi" w:hAnsiTheme="majorHAnsi"/>
        </w:rPr>
        <w:t xml:space="preserve"> 20% d</w:t>
      </w:r>
      <w:r w:rsidR="00024112" w:rsidRPr="003723A4">
        <w:rPr>
          <w:rFonts w:asciiTheme="majorHAnsi" w:hAnsiTheme="majorHAnsi"/>
        </w:rPr>
        <w:t>el total de activos invertidos en este sector</w:t>
      </w:r>
      <w:r w:rsidRPr="003723A4">
        <w:rPr>
          <w:rFonts w:asciiTheme="majorHAnsi" w:hAnsiTheme="majorHAnsi"/>
        </w:rPr>
        <w:t>.</w:t>
      </w:r>
    </w:p>
    <w:p w14:paraId="4B1F511A" w14:textId="77777777" w:rsidR="007D0BC7" w:rsidRPr="008F5D99" w:rsidRDefault="007D0BC7" w:rsidP="00AB1521">
      <w:pPr>
        <w:spacing w:after="0" w:line="240" w:lineRule="auto"/>
        <w:jc w:val="both"/>
        <w:rPr>
          <w:rFonts w:asciiTheme="majorHAnsi" w:hAnsiTheme="majorHAnsi" w:cstheme="minorHAnsi"/>
        </w:rPr>
      </w:pPr>
    </w:p>
    <w:p w14:paraId="19A1183E" w14:textId="264A845F" w:rsidR="006920CB" w:rsidRPr="008F5D99" w:rsidRDefault="006920CB" w:rsidP="006920CB">
      <w:pPr>
        <w:spacing w:after="0" w:line="240" w:lineRule="auto"/>
        <w:jc w:val="both"/>
        <w:rPr>
          <w:rFonts w:asciiTheme="majorHAnsi" w:hAnsiTheme="majorHAnsi" w:cstheme="minorHAnsi"/>
        </w:rPr>
      </w:pPr>
      <w:r>
        <w:rPr>
          <w:rFonts w:asciiTheme="majorHAnsi" w:hAnsiTheme="majorHAnsi" w:cstheme="minorHAnsi"/>
        </w:rPr>
        <w:t>Al analizar el límite de valores emitidos en mercado extranjero</w:t>
      </w:r>
      <w:r w:rsidR="002B7CEF">
        <w:rPr>
          <w:rFonts w:asciiTheme="majorHAnsi" w:hAnsiTheme="majorHAnsi" w:cstheme="minorHAnsi"/>
        </w:rPr>
        <w:t>,</w:t>
      </w:r>
      <w:r>
        <w:rPr>
          <w:rFonts w:asciiTheme="majorHAnsi" w:hAnsiTheme="majorHAnsi" w:cstheme="minorHAnsi"/>
        </w:rPr>
        <w:t xml:space="preserve"> al 31 de diciembre del 2018, podemos observar que s</w:t>
      </w:r>
      <w:r w:rsidRPr="008F5D99">
        <w:rPr>
          <w:rFonts w:asciiTheme="majorHAnsi" w:hAnsiTheme="majorHAnsi" w:cstheme="minorHAnsi"/>
        </w:rPr>
        <w:t xml:space="preserve">ólo cinco de las seis operadoras de pensiones invierten en títulos de emisores extranjeros, del total de activos invertidos en este sector el 94% corresponde a instrumentos de la cartera del ROP, el 5% al FCL y el restante 1% a los fondos especiales y voluntarios. Los activos colocados en este sector se concentran en fondos de inversión con un 99% y sólo el 1% está invertido en deuda </w:t>
      </w:r>
      <w:r w:rsidRPr="003723A4">
        <w:rPr>
          <w:rFonts w:asciiTheme="majorHAnsi" w:hAnsiTheme="majorHAnsi" w:cstheme="minorHAnsi"/>
        </w:rPr>
        <w:t>estandariza</w:t>
      </w:r>
      <w:r w:rsidR="00892F9F" w:rsidRPr="003723A4">
        <w:rPr>
          <w:rFonts w:asciiTheme="majorHAnsi" w:hAnsiTheme="majorHAnsi" w:cstheme="minorHAnsi"/>
        </w:rPr>
        <w:t xml:space="preserve"> (</w:t>
      </w:r>
      <w:r w:rsidR="00897700" w:rsidRPr="003723A4">
        <w:rPr>
          <w:rFonts w:asciiTheme="majorHAnsi" w:hAnsiTheme="majorHAnsi" w:cstheme="minorHAnsi"/>
        </w:rPr>
        <w:t>dos</w:t>
      </w:r>
      <w:r w:rsidR="00892F9F" w:rsidRPr="003723A4">
        <w:rPr>
          <w:rFonts w:asciiTheme="majorHAnsi" w:hAnsiTheme="majorHAnsi" w:cstheme="minorHAnsi"/>
        </w:rPr>
        <w:t xml:space="preserve"> bono</w:t>
      </w:r>
      <w:r w:rsidR="00897700" w:rsidRPr="003723A4">
        <w:rPr>
          <w:rFonts w:asciiTheme="majorHAnsi" w:hAnsiTheme="majorHAnsi" w:cstheme="minorHAnsi"/>
        </w:rPr>
        <w:t>s</w:t>
      </w:r>
      <w:r w:rsidR="00892F9F" w:rsidRPr="003723A4">
        <w:rPr>
          <w:rFonts w:asciiTheme="majorHAnsi" w:hAnsiTheme="majorHAnsi" w:cstheme="minorHAnsi"/>
        </w:rPr>
        <w:t xml:space="preserve"> de </w:t>
      </w:r>
      <w:r w:rsidR="00897700" w:rsidRPr="003723A4">
        <w:rPr>
          <w:rFonts w:asciiTheme="majorHAnsi" w:hAnsiTheme="majorHAnsi" w:cstheme="minorHAnsi"/>
        </w:rPr>
        <w:t xml:space="preserve">International </w:t>
      </w:r>
      <w:proofErr w:type="spellStart"/>
      <w:r w:rsidR="00897700" w:rsidRPr="003723A4">
        <w:rPr>
          <w:rFonts w:asciiTheme="majorHAnsi" w:hAnsiTheme="majorHAnsi" w:cstheme="minorHAnsi"/>
        </w:rPr>
        <w:t>Finance</w:t>
      </w:r>
      <w:proofErr w:type="spellEnd"/>
      <w:r w:rsidR="00897700" w:rsidRPr="003723A4">
        <w:rPr>
          <w:rFonts w:asciiTheme="majorHAnsi" w:hAnsiTheme="majorHAnsi" w:cstheme="minorHAnsi"/>
        </w:rPr>
        <w:t xml:space="preserve"> </w:t>
      </w:r>
      <w:proofErr w:type="spellStart"/>
      <w:r w:rsidR="00897700" w:rsidRPr="003723A4">
        <w:rPr>
          <w:rFonts w:asciiTheme="majorHAnsi" w:hAnsiTheme="majorHAnsi" w:cstheme="minorHAnsi"/>
        </w:rPr>
        <w:t>Corporation</w:t>
      </w:r>
      <w:proofErr w:type="spellEnd"/>
      <w:r w:rsidR="00897700" w:rsidRPr="003723A4">
        <w:rPr>
          <w:rFonts w:asciiTheme="majorHAnsi" w:hAnsiTheme="majorHAnsi" w:cstheme="minorHAnsi"/>
        </w:rPr>
        <w:t xml:space="preserve"> emitidos en colones</w:t>
      </w:r>
      <w:r w:rsidR="00892F9F" w:rsidRPr="003723A4">
        <w:rPr>
          <w:rFonts w:asciiTheme="majorHAnsi" w:hAnsiTheme="majorHAnsi" w:cstheme="minorHAnsi"/>
        </w:rPr>
        <w:t>)</w:t>
      </w:r>
      <w:r w:rsidRPr="003723A4">
        <w:rPr>
          <w:rFonts w:asciiTheme="majorHAnsi" w:hAnsiTheme="majorHAnsi" w:cstheme="minorHAnsi"/>
        </w:rPr>
        <w:t>.</w:t>
      </w:r>
      <w:r w:rsidRPr="008F5D99">
        <w:rPr>
          <w:rFonts w:asciiTheme="majorHAnsi" w:hAnsiTheme="majorHAnsi" w:cstheme="minorHAnsi"/>
        </w:rPr>
        <w:t xml:space="preserve"> </w:t>
      </w:r>
    </w:p>
    <w:p w14:paraId="65F9C3DC" w14:textId="77777777" w:rsidR="006920CB" w:rsidRDefault="006920CB" w:rsidP="006920CB">
      <w:pPr>
        <w:spacing w:after="0" w:line="240" w:lineRule="auto"/>
        <w:jc w:val="both"/>
        <w:rPr>
          <w:rFonts w:asciiTheme="majorHAnsi" w:hAnsiTheme="majorHAnsi" w:cstheme="minorHAnsi"/>
        </w:rPr>
      </w:pPr>
    </w:p>
    <w:p w14:paraId="2532D0D7" w14:textId="5D7F8272" w:rsidR="00A92066" w:rsidRDefault="006920CB" w:rsidP="006920CB">
      <w:pPr>
        <w:spacing w:after="0" w:line="240" w:lineRule="auto"/>
        <w:jc w:val="both"/>
        <w:rPr>
          <w:rFonts w:asciiTheme="majorHAnsi" w:hAnsiTheme="majorHAnsi" w:cstheme="minorHAnsi"/>
        </w:rPr>
      </w:pPr>
      <w:r w:rsidRPr="008F5D99">
        <w:rPr>
          <w:rFonts w:asciiTheme="majorHAnsi" w:hAnsiTheme="majorHAnsi" w:cstheme="minorHAnsi"/>
        </w:rPr>
        <w:t xml:space="preserve">La entidad que más </w:t>
      </w:r>
      <w:r>
        <w:rPr>
          <w:rFonts w:asciiTheme="majorHAnsi" w:hAnsiTheme="majorHAnsi" w:cstheme="minorHAnsi"/>
        </w:rPr>
        <w:t xml:space="preserve">dinero </w:t>
      </w:r>
      <w:r w:rsidRPr="008F5D99">
        <w:rPr>
          <w:rFonts w:asciiTheme="majorHAnsi" w:hAnsiTheme="majorHAnsi" w:cstheme="minorHAnsi"/>
        </w:rPr>
        <w:t xml:space="preserve">ha invertido tiene el sector extranjero </w:t>
      </w:r>
      <w:r>
        <w:rPr>
          <w:rFonts w:asciiTheme="majorHAnsi" w:hAnsiTheme="majorHAnsi" w:cstheme="minorHAnsi"/>
        </w:rPr>
        <w:t>es</w:t>
      </w:r>
      <w:r w:rsidRPr="008F5D99">
        <w:rPr>
          <w:rFonts w:asciiTheme="majorHAnsi" w:hAnsiTheme="majorHAnsi" w:cstheme="minorHAnsi"/>
        </w:rPr>
        <w:t xml:space="preserve"> Popular Pensiones</w:t>
      </w:r>
      <w:r w:rsidR="00A92066">
        <w:rPr>
          <w:rFonts w:asciiTheme="majorHAnsi" w:hAnsiTheme="majorHAnsi" w:cstheme="minorHAnsi"/>
        </w:rPr>
        <w:t xml:space="preserve"> con</w:t>
      </w:r>
      <w:r w:rsidR="00A92066" w:rsidRPr="00A92066">
        <w:rPr>
          <w:rFonts w:asciiTheme="majorHAnsi" w:hAnsiTheme="majorHAnsi" w:cstheme="minorHAnsi"/>
        </w:rPr>
        <w:t xml:space="preserve"> 548</w:t>
      </w:r>
      <w:r w:rsidR="00AE1CBA">
        <w:rPr>
          <w:rFonts w:asciiTheme="majorHAnsi" w:hAnsiTheme="majorHAnsi" w:cstheme="minorHAnsi"/>
        </w:rPr>
        <w:t xml:space="preserve"> </w:t>
      </w:r>
      <w:r w:rsidR="00A92066" w:rsidRPr="00A92066">
        <w:rPr>
          <w:rFonts w:asciiTheme="majorHAnsi" w:hAnsiTheme="majorHAnsi" w:cstheme="minorHAnsi"/>
        </w:rPr>
        <w:t xml:space="preserve">357,21 </w:t>
      </w:r>
      <w:r w:rsidR="00A92066">
        <w:rPr>
          <w:rFonts w:asciiTheme="majorHAnsi" w:hAnsiTheme="majorHAnsi" w:cstheme="minorHAnsi"/>
        </w:rPr>
        <w:t xml:space="preserve">millones de colones que representa el 69% </w:t>
      </w:r>
      <w:r w:rsidRPr="008F5D99">
        <w:rPr>
          <w:rFonts w:asciiTheme="majorHAnsi" w:hAnsiTheme="majorHAnsi" w:cstheme="minorHAnsi"/>
        </w:rPr>
        <w:t>del total de activos invertidos en este sector.</w:t>
      </w:r>
      <w:r w:rsidR="00A92066">
        <w:rPr>
          <w:rFonts w:asciiTheme="majorHAnsi" w:hAnsiTheme="majorHAnsi" w:cstheme="minorHAnsi"/>
        </w:rPr>
        <w:t xml:space="preserve"> Popular Pensiones y la CCSS-OPC </w:t>
      </w:r>
      <w:r w:rsidR="00400803">
        <w:rPr>
          <w:rFonts w:asciiTheme="majorHAnsi" w:hAnsiTheme="majorHAnsi" w:cstheme="minorHAnsi"/>
        </w:rPr>
        <w:t>s</w:t>
      </w:r>
      <w:r w:rsidR="00A92066">
        <w:rPr>
          <w:rFonts w:asciiTheme="majorHAnsi" w:hAnsiTheme="majorHAnsi" w:cstheme="minorHAnsi"/>
        </w:rPr>
        <w:t xml:space="preserve">on las únicas dos entidades que invierten en el extranjero en todos los fondos que administran. </w:t>
      </w:r>
    </w:p>
    <w:p w14:paraId="5023141B" w14:textId="77777777" w:rsidR="00A92066" w:rsidRDefault="00A92066" w:rsidP="006920CB">
      <w:pPr>
        <w:spacing w:after="0" w:line="240" w:lineRule="auto"/>
        <w:jc w:val="both"/>
        <w:rPr>
          <w:rFonts w:asciiTheme="majorHAnsi" w:hAnsiTheme="majorHAnsi" w:cstheme="minorHAnsi"/>
        </w:rPr>
      </w:pPr>
    </w:p>
    <w:p w14:paraId="08BBEC8A" w14:textId="77777777" w:rsidR="006920CB" w:rsidRDefault="00A92066" w:rsidP="006920CB">
      <w:pPr>
        <w:spacing w:after="0" w:line="240" w:lineRule="auto"/>
        <w:jc w:val="both"/>
        <w:rPr>
          <w:rFonts w:asciiTheme="majorHAnsi" w:hAnsiTheme="majorHAnsi" w:cstheme="minorHAnsi"/>
        </w:rPr>
      </w:pPr>
      <w:r>
        <w:rPr>
          <w:rFonts w:asciiTheme="majorHAnsi" w:hAnsiTheme="majorHAnsi" w:cstheme="minorHAnsi"/>
        </w:rPr>
        <w:t>La operadora de Pensiones BCR Pensión, y los regímenes básicos y complementarios no tienen, al 31 de diciembre</w:t>
      </w:r>
      <w:r w:rsidR="002B7CEF">
        <w:rPr>
          <w:rFonts w:asciiTheme="majorHAnsi" w:hAnsiTheme="majorHAnsi" w:cstheme="minorHAnsi"/>
        </w:rPr>
        <w:t xml:space="preserve"> del 2018</w:t>
      </w:r>
      <w:r>
        <w:rPr>
          <w:rFonts w:asciiTheme="majorHAnsi" w:hAnsiTheme="majorHAnsi" w:cstheme="minorHAnsi"/>
        </w:rPr>
        <w:t>, inversiones en el sector extranjero.</w:t>
      </w:r>
    </w:p>
    <w:p w14:paraId="1F3B1409" w14:textId="77777777" w:rsidR="006920CB" w:rsidRDefault="006920CB" w:rsidP="006920CB">
      <w:pPr>
        <w:spacing w:after="0" w:line="240" w:lineRule="auto"/>
        <w:jc w:val="both"/>
        <w:rPr>
          <w:rFonts w:asciiTheme="majorHAnsi" w:hAnsiTheme="majorHAnsi" w:cstheme="minorHAnsi"/>
        </w:rPr>
      </w:pPr>
    </w:p>
    <w:p w14:paraId="41C4125C" w14:textId="684CED8E" w:rsidR="00F76E5A" w:rsidRDefault="00F76E5A" w:rsidP="00F76E5A">
      <w:pPr>
        <w:spacing w:after="0" w:line="240" w:lineRule="auto"/>
        <w:jc w:val="center"/>
        <w:rPr>
          <w:rFonts w:asciiTheme="majorHAnsi" w:hAnsiTheme="majorHAnsi" w:cstheme="minorHAnsi"/>
        </w:rPr>
      </w:pPr>
      <w:r w:rsidRPr="0033676D">
        <w:rPr>
          <w:rFonts w:asciiTheme="majorHAnsi" w:hAnsiTheme="majorHAnsi" w:cstheme="minorHAnsi"/>
        </w:rPr>
        <w:t xml:space="preserve">Gráfico </w:t>
      </w:r>
      <w:r w:rsidRPr="0033676D">
        <w:rPr>
          <w:rFonts w:asciiTheme="majorHAnsi" w:hAnsiTheme="majorHAnsi" w:cstheme="minorHAnsi"/>
        </w:rPr>
        <w:fldChar w:fldCharType="begin"/>
      </w:r>
      <w:r w:rsidRPr="0033676D">
        <w:rPr>
          <w:rFonts w:asciiTheme="majorHAnsi" w:hAnsiTheme="majorHAnsi" w:cstheme="minorHAnsi"/>
        </w:rPr>
        <w:instrText xml:space="preserve"> SEQ Gráfico \* ARABIC </w:instrText>
      </w:r>
      <w:r w:rsidRPr="0033676D">
        <w:rPr>
          <w:rFonts w:asciiTheme="majorHAnsi" w:hAnsiTheme="majorHAnsi" w:cstheme="minorHAnsi"/>
        </w:rPr>
        <w:fldChar w:fldCharType="separate"/>
      </w:r>
      <w:r w:rsidR="00F7428D">
        <w:rPr>
          <w:rFonts w:asciiTheme="majorHAnsi" w:hAnsiTheme="majorHAnsi" w:cstheme="minorHAnsi"/>
          <w:noProof/>
        </w:rPr>
        <w:t>4</w:t>
      </w:r>
      <w:r w:rsidRPr="0033676D">
        <w:rPr>
          <w:rFonts w:asciiTheme="majorHAnsi" w:hAnsiTheme="majorHAnsi" w:cstheme="minorHAnsi"/>
        </w:rPr>
        <w:fldChar w:fldCharType="end"/>
      </w:r>
    </w:p>
    <w:p w14:paraId="62DF443F" w14:textId="77777777" w:rsidR="006920CB" w:rsidRDefault="006920CB" w:rsidP="006920CB">
      <w:pPr>
        <w:spacing w:after="0" w:line="240" w:lineRule="auto"/>
        <w:jc w:val="center"/>
        <w:rPr>
          <w:rFonts w:asciiTheme="majorHAnsi" w:hAnsiTheme="majorHAnsi" w:cstheme="minorHAnsi"/>
        </w:rPr>
      </w:pPr>
      <w:r>
        <w:rPr>
          <w:rFonts w:asciiTheme="majorHAnsi" w:hAnsiTheme="majorHAnsi" w:cstheme="minorHAnsi"/>
        </w:rPr>
        <w:t xml:space="preserve">Límite </w:t>
      </w:r>
      <w:r w:rsidR="00A92066">
        <w:rPr>
          <w:rFonts w:asciiTheme="majorHAnsi" w:hAnsiTheme="majorHAnsi" w:cstheme="minorHAnsi"/>
        </w:rPr>
        <w:t>sector</w:t>
      </w:r>
      <w:r>
        <w:rPr>
          <w:rFonts w:asciiTheme="majorHAnsi" w:hAnsiTheme="majorHAnsi" w:cstheme="minorHAnsi"/>
        </w:rPr>
        <w:t xml:space="preserve"> extranjero</w:t>
      </w:r>
    </w:p>
    <w:p w14:paraId="54C0D3A2" w14:textId="77777777" w:rsidR="006920CB" w:rsidRDefault="005E0A6C" w:rsidP="006920CB">
      <w:pPr>
        <w:spacing w:after="0" w:line="240" w:lineRule="auto"/>
        <w:jc w:val="center"/>
        <w:rPr>
          <w:rFonts w:asciiTheme="majorHAnsi" w:hAnsiTheme="majorHAnsi" w:cstheme="minorHAnsi"/>
        </w:rPr>
      </w:pPr>
      <w:r>
        <w:rPr>
          <w:rFonts w:asciiTheme="majorHAnsi" w:hAnsiTheme="majorHAnsi" w:cstheme="minorHAnsi"/>
        </w:rPr>
        <w:t>D</w:t>
      </w:r>
      <w:r w:rsidR="006920CB">
        <w:rPr>
          <w:rFonts w:asciiTheme="majorHAnsi" w:hAnsiTheme="majorHAnsi" w:cstheme="minorHAnsi"/>
        </w:rPr>
        <w:t>e</w:t>
      </w:r>
      <w:r>
        <w:rPr>
          <w:rFonts w:asciiTheme="majorHAnsi" w:hAnsiTheme="majorHAnsi" w:cstheme="minorHAnsi"/>
        </w:rPr>
        <w:t xml:space="preserve"> los</w:t>
      </w:r>
      <w:r w:rsidR="006920CB">
        <w:rPr>
          <w:rFonts w:asciiTheme="majorHAnsi" w:hAnsiTheme="majorHAnsi" w:cstheme="minorHAnsi"/>
        </w:rPr>
        <w:t xml:space="preserve"> fondos administrados por las </w:t>
      </w:r>
      <w:r>
        <w:rPr>
          <w:rFonts w:asciiTheme="majorHAnsi" w:hAnsiTheme="majorHAnsi" w:cstheme="minorHAnsi"/>
        </w:rPr>
        <w:t>OPC</w:t>
      </w:r>
    </w:p>
    <w:p w14:paraId="3E1AC050" w14:textId="77777777" w:rsidR="006920CB" w:rsidRDefault="006920CB" w:rsidP="006920CB">
      <w:pPr>
        <w:spacing w:after="0" w:line="240" w:lineRule="auto"/>
        <w:jc w:val="center"/>
        <w:rPr>
          <w:rFonts w:asciiTheme="majorHAnsi" w:hAnsiTheme="majorHAnsi" w:cstheme="minorHAnsi"/>
        </w:rPr>
      </w:pPr>
      <w:r>
        <w:rPr>
          <w:rFonts w:asciiTheme="majorHAnsi" w:hAnsiTheme="majorHAnsi" w:cstheme="minorHAnsi"/>
        </w:rPr>
        <w:t>Al 31de d</w:t>
      </w:r>
      <w:r w:rsidRPr="008F5D99">
        <w:rPr>
          <w:rFonts w:asciiTheme="majorHAnsi" w:hAnsiTheme="majorHAnsi" w:cstheme="minorHAnsi"/>
        </w:rPr>
        <w:t>iciembre 2018</w:t>
      </w:r>
    </w:p>
    <w:p w14:paraId="562C75D1" w14:textId="77777777" w:rsidR="00D47B6A" w:rsidRDefault="001F7E5B" w:rsidP="00D47B6A">
      <w:pPr>
        <w:spacing w:after="20" w:line="240" w:lineRule="auto"/>
        <w:jc w:val="center"/>
        <w:rPr>
          <w:rFonts w:asciiTheme="majorHAnsi" w:hAnsiTheme="majorHAnsi" w:cstheme="minorHAnsi"/>
        </w:rPr>
      </w:pPr>
      <w:r>
        <w:rPr>
          <w:noProof/>
        </w:rPr>
        <w:drawing>
          <wp:inline distT="0" distB="0" distL="0" distR="0" wp14:anchorId="5D24D932" wp14:editId="69AD2B81">
            <wp:extent cx="5600700" cy="2743200"/>
            <wp:effectExtent l="0" t="0" r="0" b="0"/>
            <wp:docPr id="9" name="Gráfico 9">
              <a:extLst xmlns:a="http://schemas.openxmlformats.org/drawingml/2006/main">
                <a:ext uri="{FF2B5EF4-FFF2-40B4-BE49-F238E27FC236}">
                  <a16:creationId xmlns:a16="http://schemas.microsoft.com/office/drawing/2014/main" id="{D185F8BE-DC7D-4ACC-AAE1-5FA5B195DA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678AA2" w14:textId="77777777" w:rsidR="006920CB" w:rsidRPr="009B7058" w:rsidRDefault="006920CB" w:rsidP="001F7E5B">
      <w:pPr>
        <w:spacing w:after="20" w:line="240" w:lineRule="auto"/>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664355AD" w14:textId="77777777" w:rsidR="006920CB" w:rsidRPr="00D47B6A" w:rsidRDefault="006920CB" w:rsidP="00AB1521">
      <w:pPr>
        <w:spacing w:after="0" w:line="240" w:lineRule="auto"/>
        <w:jc w:val="both"/>
        <w:rPr>
          <w:rFonts w:asciiTheme="majorHAnsi" w:hAnsiTheme="majorHAnsi" w:cstheme="minorHAnsi"/>
          <w:lang w:val="es-CR"/>
        </w:rPr>
      </w:pPr>
    </w:p>
    <w:p w14:paraId="5A78E2C5" w14:textId="77777777" w:rsidR="007D0BC7" w:rsidRPr="008F5D99" w:rsidRDefault="007D0BC7" w:rsidP="00C215C6">
      <w:pPr>
        <w:rPr>
          <w:rFonts w:asciiTheme="majorHAnsi" w:hAnsiTheme="majorHAnsi" w:cstheme="minorHAnsi"/>
          <w:b/>
        </w:rPr>
      </w:pPr>
      <w:bookmarkStart w:id="10" w:name="_Toc530733760"/>
      <w:r w:rsidRPr="008F5D99">
        <w:rPr>
          <w:rFonts w:asciiTheme="majorHAnsi" w:hAnsiTheme="majorHAnsi" w:cstheme="minorHAnsi"/>
          <w:b/>
        </w:rPr>
        <w:t>Análisis de la inversión en Deuda Individual</w:t>
      </w:r>
      <w:bookmarkEnd w:id="10"/>
    </w:p>
    <w:p w14:paraId="2670A32F"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Los fondos de pensión tienen 1</w:t>
      </w:r>
      <w:r w:rsidR="00AE3573" w:rsidRPr="008F5D99">
        <w:rPr>
          <w:rFonts w:asciiTheme="majorHAnsi" w:hAnsiTheme="majorHAnsi" w:cstheme="minorHAnsi"/>
        </w:rPr>
        <w:t>,</w:t>
      </w:r>
      <w:r w:rsidR="00FA165B" w:rsidRPr="008F5D99">
        <w:rPr>
          <w:rFonts w:asciiTheme="majorHAnsi" w:hAnsiTheme="majorHAnsi" w:cstheme="minorHAnsi"/>
        </w:rPr>
        <w:t>1</w:t>
      </w:r>
      <w:r w:rsidRPr="008F5D99">
        <w:rPr>
          <w:rFonts w:asciiTheme="majorHAnsi" w:hAnsiTheme="majorHAnsi" w:cstheme="minorHAnsi"/>
        </w:rPr>
        <w:t xml:space="preserve"> billones de colones invertidos en deuda individual</w:t>
      </w:r>
      <w:r w:rsidRPr="008F5D99">
        <w:rPr>
          <w:rFonts w:asciiTheme="majorHAnsi" w:hAnsiTheme="majorHAnsi" w:cstheme="minorHAnsi"/>
          <w:vertAlign w:val="superscript"/>
        </w:rPr>
        <w:footnoteReference w:id="4"/>
      </w:r>
      <w:r w:rsidRPr="008F5D99">
        <w:rPr>
          <w:rFonts w:asciiTheme="majorHAnsi" w:hAnsiTheme="majorHAnsi" w:cstheme="minorHAnsi"/>
        </w:rPr>
        <w:t xml:space="preserve"> emitida por los bancos públicos y privados, las financieras y las mutuales. Este monto representa el </w:t>
      </w:r>
      <w:r w:rsidR="00FA165B" w:rsidRPr="008F5D99">
        <w:rPr>
          <w:rFonts w:asciiTheme="majorHAnsi" w:hAnsiTheme="majorHAnsi" w:cstheme="minorHAnsi"/>
        </w:rPr>
        <w:t>8,6</w:t>
      </w:r>
      <w:r w:rsidRPr="008F5D99">
        <w:rPr>
          <w:rFonts w:asciiTheme="majorHAnsi" w:hAnsiTheme="majorHAnsi" w:cstheme="minorHAnsi"/>
        </w:rPr>
        <w:t xml:space="preserve">% del total de activos administrados por el SNP. Esta cantidad se distribuye en los diferentes fondos de la siguiente manera: el </w:t>
      </w:r>
      <w:r w:rsidR="00784D1B" w:rsidRPr="008F5D99">
        <w:rPr>
          <w:rFonts w:asciiTheme="majorHAnsi" w:hAnsiTheme="majorHAnsi" w:cstheme="minorHAnsi"/>
        </w:rPr>
        <w:t>4</w:t>
      </w:r>
      <w:r w:rsidR="00FA165B" w:rsidRPr="008F5D99">
        <w:rPr>
          <w:rFonts w:asciiTheme="majorHAnsi" w:hAnsiTheme="majorHAnsi" w:cstheme="minorHAnsi"/>
        </w:rPr>
        <w:t>5</w:t>
      </w:r>
      <w:r w:rsidRPr="008F5D99">
        <w:rPr>
          <w:rFonts w:asciiTheme="majorHAnsi" w:hAnsiTheme="majorHAnsi" w:cstheme="minorHAnsi"/>
        </w:rPr>
        <w:t xml:space="preserve">% corresponde </w:t>
      </w:r>
      <w:r w:rsidR="00FA165B" w:rsidRPr="008F5D99">
        <w:rPr>
          <w:rFonts w:asciiTheme="majorHAnsi" w:hAnsiTheme="majorHAnsi" w:cstheme="minorHAnsi"/>
        </w:rPr>
        <w:t>al ROP</w:t>
      </w:r>
      <w:r w:rsidRPr="008F5D99">
        <w:rPr>
          <w:rFonts w:asciiTheme="majorHAnsi" w:hAnsiTheme="majorHAnsi" w:cstheme="minorHAnsi"/>
        </w:rPr>
        <w:t xml:space="preserve">, el </w:t>
      </w:r>
      <w:r w:rsidR="00784D1B" w:rsidRPr="008F5D99">
        <w:rPr>
          <w:rFonts w:asciiTheme="majorHAnsi" w:hAnsiTheme="majorHAnsi" w:cstheme="minorHAnsi"/>
        </w:rPr>
        <w:t>3</w:t>
      </w:r>
      <w:r w:rsidR="00FA165B" w:rsidRPr="008F5D99">
        <w:rPr>
          <w:rFonts w:asciiTheme="majorHAnsi" w:hAnsiTheme="majorHAnsi" w:cstheme="minorHAnsi"/>
        </w:rPr>
        <w:t>2</w:t>
      </w:r>
      <w:r w:rsidRPr="008F5D99">
        <w:rPr>
          <w:rFonts w:asciiTheme="majorHAnsi" w:hAnsiTheme="majorHAnsi" w:cstheme="minorHAnsi"/>
        </w:rPr>
        <w:t xml:space="preserve">% </w:t>
      </w:r>
      <w:r w:rsidR="00784D1B" w:rsidRPr="008F5D99">
        <w:rPr>
          <w:rFonts w:asciiTheme="majorHAnsi" w:hAnsiTheme="majorHAnsi" w:cstheme="minorHAnsi"/>
        </w:rPr>
        <w:t xml:space="preserve">a </w:t>
      </w:r>
      <w:r w:rsidR="00FA165B" w:rsidRPr="008F5D99">
        <w:rPr>
          <w:rFonts w:asciiTheme="majorHAnsi" w:hAnsiTheme="majorHAnsi" w:cstheme="minorHAnsi"/>
        </w:rPr>
        <w:t>los regímenes básicos</w:t>
      </w:r>
      <w:r w:rsidR="00784D1B" w:rsidRPr="008F5D99">
        <w:rPr>
          <w:rFonts w:asciiTheme="majorHAnsi" w:hAnsiTheme="majorHAnsi" w:cstheme="minorHAnsi"/>
        </w:rPr>
        <w:t xml:space="preserve">, </w:t>
      </w:r>
      <w:r w:rsidRPr="008F5D99">
        <w:rPr>
          <w:rFonts w:asciiTheme="majorHAnsi" w:hAnsiTheme="majorHAnsi" w:cstheme="minorHAnsi"/>
        </w:rPr>
        <w:t xml:space="preserve">el </w:t>
      </w:r>
      <w:r w:rsidR="00FA165B" w:rsidRPr="008F5D99">
        <w:rPr>
          <w:rFonts w:asciiTheme="majorHAnsi" w:hAnsiTheme="majorHAnsi" w:cstheme="minorHAnsi"/>
        </w:rPr>
        <w:t>11</w:t>
      </w:r>
      <w:r w:rsidRPr="008F5D99">
        <w:rPr>
          <w:rFonts w:asciiTheme="majorHAnsi" w:hAnsiTheme="majorHAnsi" w:cstheme="minorHAnsi"/>
        </w:rPr>
        <w:t xml:space="preserve">% al FCL, el </w:t>
      </w:r>
      <w:r w:rsidR="00FA165B" w:rsidRPr="008F5D99">
        <w:rPr>
          <w:rFonts w:asciiTheme="majorHAnsi" w:hAnsiTheme="majorHAnsi" w:cstheme="minorHAnsi"/>
        </w:rPr>
        <w:t>6</w:t>
      </w:r>
      <w:r w:rsidRPr="008F5D99">
        <w:rPr>
          <w:rFonts w:asciiTheme="majorHAnsi" w:hAnsiTheme="majorHAnsi" w:cstheme="minorHAnsi"/>
        </w:rPr>
        <w:t xml:space="preserve">% a los regímenes especiales y otros; y el restante </w:t>
      </w:r>
      <w:r w:rsidR="00FA165B" w:rsidRPr="008F5D99">
        <w:rPr>
          <w:rFonts w:asciiTheme="majorHAnsi" w:hAnsiTheme="majorHAnsi" w:cstheme="minorHAnsi"/>
        </w:rPr>
        <w:t>5</w:t>
      </w:r>
      <w:r w:rsidRPr="008F5D99">
        <w:rPr>
          <w:rFonts w:asciiTheme="majorHAnsi" w:hAnsiTheme="majorHAnsi" w:cstheme="minorHAnsi"/>
        </w:rPr>
        <w:t>% a los fondos voluntarios.</w:t>
      </w:r>
    </w:p>
    <w:p w14:paraId="1A965116" w14:textId="77777777" w:rsidR="00784D1B" w:rsidRPr="008F5D99" w:rsidRDefault="00784D1B" w:rsidP="00AB1521">
      <w:pPr>
        <w:spacing w:after="0" w:line="240" w:lineRule="auto"/>
        <w:jc w:val="both"/>
        <w:rPr>
          <w:rFonts w:asciiTheme="majorHAnsi" w:hAnsiTheme="majorHAnsi" w:cstheme="minorHAnsi"/>
        </w:rPr>
      </w:pPr>
    </w:p>
    <w:p w14:paraId="4AD9F623"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El ROP, los regímenes básicos y especiales tienen menos del 1</w:t>
      </w:r>
      <w:r w:rsidR="00FA165B" w:rsidRPr="008F5D99">
        <w:rPr>
          <w:rFonts w:asciiTheme="majorHAnsi" w:hAnsiTheme="majorHAnsi" w:cstheme="minorHAnsi"/>
        </w:rPr>
        <w:t>3</w:t>
      </w:r>
      <w:r w:rsidRPr="008F5D99">
        <w:rPr>
          <w:rFonts w:asciiTheme="majorHAnsi" w:hAnsiTheme="majorHAnsi" w:cstheme="minorHAnsi"/>
        </w:rPr>
        <w:t>% de sus activos invertidos en deuda individual. Para el caso de</w:t>
      </w:r>
      <w:r w:rsidR="00A7049A">
        <w:rPr>
          <w:rFonts w:asciiTheme="majorHAnsi" w:hAnsiTheme="majorHAnsi" w:cstheme="minorHAnsi"/>
        </w:rPr>
        <w:t>l</w:t>
      </w:r>
      <w:r w:rsidRPr="008F5D99">
        <w:rPr>
          <w:rFonts w:asciiTheme="majorHAnsi" w:hAnsiTheme="majorHAnsi" w:cstheme="minorHAnsi"/>
        </w:rPr>
        <w:t xml:space="preserve"> FCL y los fondos voluntarios la regulación no establec</w:t>
      </w:r>
      <w:r w:rsidR="00784D1B" w:rsidRPr="008F5D99">
        <w:rPr>
          <w:rFonts w:asciiTheme="majorHAnsi" w:hAnsiTheme="majorHAnsi" w:cstheme="minorHAnsi"/>
        </w:rPr>
        <w:t>ía</w:t>
      </w:r>
      <w:r w:rsidRPr="008F5D99">
        <w:rPr>
          <w:rFonts w:asciiTheme="majorHAnsi" w:hAnsiTheme="majorHAnsi" w:cstheme="minorHAnsi"/>
        </w:rPr>
        <w:t xml:space="preserve"> un límite de inversión en títulos de deuda individual</w:t>
      </w:r>
      <w:r w:rsidR="000721F3" w:rsidRPr="008F5D99">
        <w:rPr>
          <w:rFonts w:asciiTheme="majorHAnsi" w:hAnsiTheme="majorHAnsi" w:cstheme="minorHAnsi"/>
        </w:rPr>
        <w:t>, hasta el 02 de noviembre que se aprueba el RGA</w:t>
      </w:r>
      <w:r w:rsidR="00A7049A">
        <w:rPr>
          <w:rFonts w:asciiTheme="majorHAnsi" w:hAnsiTheme="majorHAnsi" w:cstheme="minorHAnsi"/>
        </w:rPr>
        <w:t>, s</w:t>
      </w:r>
      <w:r w:rsidR="000721F3" w:rsidRPr="008F5D99">
        <w:rPr>
          <w:rFonts w:asciiTheme="majorHAnsi" w:hAnsiTheme="majorHAnsi" w:cstheme="minorHAnsi"/>
        </w:rPr>
        <w:t xml:space="preserve">in embargo, la nueva reglamentación </w:t>
      </w:r>
      <w:r w:rsidR="001C7AB8">
        <w:rPr>
          <w:rFonts w:asciiTheme="majorHAnsi" w:hAnsiTheme="majorHAnsi" w:cstheme="minorHAnsi"/>
        </w:rPr>
        <w:t>establece</w:t>
      </w:r>
      <w:r w:rsidR="000721F3" w:rsidRPr="008F5D99">
        <w:rPr>
          <w:rFonts w:asciiTheme="majorHAnsi" w:hAnsiTheme="majorHAnsi" w:cstheme="minorHAnsi"/>
        </w:rPr>
        <w:t xml:space="preserve"> un límite </w:t>
      </w:r>
      <w:r w:rsidR="001C7AB8">
        <w:rPr>
          <w:rFonts w:asciiTheme="majorHAnsi" w:hAnsiTheme="majorHAnsi" w:cstheme="minorHAnsi"/>
        </w:rPr>
        <w:t xml:space="preserve">prudencial </w:t>
      </w:r>
      <w:r w:rsidR="000721F3" w:rsidRPr="008F5D99">
        <w:rPr>
          <w:rFonts w:asciiTheme="majorHAnsi" w:hAnsiTheme="majorHAnsi" w:cstheme="minorHAnsi"/>
        </w:rPr>
        <w:t xml:space="preserve">de 10%, al cual deben ajustarse las entidades en un plazo de 24 meses después de la </w:t>
      </w:r>
      <w:proofErr w:type="gramStart"/>
      <w:r w:rsidR="000721F3" w:rsidRPr="008F5D99">
        <w:rPr>
          <w:rFonts w:asciiTheme="majorHAnsi" w:hAnsiTheme="majorHAnsi" w:cstheme="minorHAnsi"/>
        </w:rPr>
        <w:t>entrada en vigencia</w:t>
      </w:r>
      <w:proofErr w:type="gramEnd"/>
      <w:r w:rsidR="000721F3" w:rsidRPr="008F5D99">
        <w:rPr>
          <w:rFonts w:asciiTheme="majorHAnsi" w:hAnsiTheme="majorHAnsi" w:cstheme="minorHAnsi"/>
        </w:rPr>
        <w:t xml:space="preserve"> del RGA</w:t>
      </w:r>
      <w:r w:rsidRPr="008F5D99">
        <w:rPr>
          <w:rFonts w:asciiTheme="majorHAnsi" w:hAnsiTheme="majorHAnsi" w:cstheme="minorHAnsi"/>
        </w:rPr>
        <w:t>.</w:t>
      </w:r>
    </w:p>
    <w:p w14:paraId="7DF4E37C" w14:textId="77777777" w:rsidR="00E431D1" w:rsidRPr="008F5D99" w:rsidRDefault="00E431D1" w:rsidP="00AB1521">
      <w:pPr>
        <w:spacing w:after="0" w:line="240" w:lineRule="auto"/>
        <w:jc w:val="both"/>
        <w:rPr>
          <w:rFonts w:asciiTheme="majorHAnsi" w:hAnsiTheme="majorHAnsi" w:cstheme="minorHAnsi"/>
        </w:rPr>
      </w:pPr>
    </w:p>
    <w:p w14:paraId="60FE3387"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 xml:space="preserve">Al agrupar la inversión de los fondos en títulos de deuda individual por emisor, se puede observar que para cada uno de los fondos de pensión los porcentajes invertidos por emisor oscilan </w:t>
      </w:r>
      <w:r w:rsidR="00BC15A8">
        <w:rPr>
          <w:rFonts w:asciiTheme="majorHAnsi" w:hAnsiTheme="majorHAnsi" w:cstheme="minorHAnsi"/>
        </w:rPr>
        <w:t>hasta</w:t>
      </w:r>
      <w:r w:rsidRPr="008F5D99">
        <w:rPr>
          <w:rFonts w:asciiTheme="majorHAnsi" w:hAnsiTheme="majorHAnsi" w:cstheme="minorHAnsi"/>
        </w:rPr>
        <w:t xml:space="preserve"> el </w:t>
      </w:r>
      <w:r w:rsidR="00E431D1" w:rsidRPr="008F5D99">
        <w:rPr>
          <w:rFonts w:asciiTheme="majorHAnsi" w:hAnsiTheme="majorHAnsi" w:cstheme="minorHAnsi"/>
        </w:rPr>
        <w:t>9</w:t>
      </w:r>
      <w:r w:rsidRPr="008F5D99">
        <w:rPr>
          <w:rFonts w:asciiTheme="majorHAnsi" w:hAnsiTheme="majorHAnsi" w:cstheme="minorHAnsi"/>
        </w:rPr>
        <w:t xml:space="preserve">% del activo administrado por las entidades. </w:t>
      </w:r>
    </w:p>
    <w:p w14:paraId="44FB30F8" w14:textId="77777777" w:rsidR="00E431D1" w:rsidRPr="008F5D99" w:rsidRDefault="00E431D1" w:rsidP="00AB1521">
      <w:pPr>
        <w:spacing w:after="0" w:line="240" w:lineRule="auto"/>
        <w:jc w:val="both"/>
        <w:rPr>
          <w:rFonts w:asciiTheme="majorHAnsi" w:hAnsiTheme="majorHAnsi" w:cstheme="minorHAnsi"/>
        </w:rPr>
      </w:pPr>
    </w:p>
    <w:p w14:paraId="2EF3DCD4" w14:textId="16BE98DB" w:rsidR="007D0BC7" w:rsidRPr="008F5D99" w:rsidRDefault="0033676D" w:rsidP="0033676D">
      <w:pPr>
        <w:spacing w:after="0" w:line="240" w:lineRule="auto"/>
        <w:jc w:val="center"/>
        <w:rPr>
          <w:rFonts w:asciiTheme="majorHAnsi" w:hAnsiTheme="majorHAnsi" w:cstheme="minorHAnsi"/>
        </w:rPr>
      </w:pPr>
      <w:r w:rsidRPr="0033676D">
        <w:rPr>
          <w:rFonts w:asciiTheme="majorHAnsi" w:hAnsiTheme="majorHAnsi" w:cstheme="minorHAnsi"/>
        </w:rPr>
        <w:t xml:space="preserve">Cuadro </w:t>
      </w:r>
      <w:r w:rsidRPr="0033676D">
        <w:rPr>
          <w:rFonts w:asciiTheme="majorHAnsi" w:hAnsiTheme="majorHAnsi" w:cstheme="minorHAnsi"/>
        </w:rPr>
        <w:fldChar w:fldCharType="begin"/>
      </w:r>
      <w:r w:rsidRPr="0033676D">
        <w:rPr>
          <w:rFonts w:asciiTheme="majorHAnsi" w:hAnsiTheme="majorHAnsi" w:cstheme="minorHAnsi"/>
        </w:rPr>
        <w:instrText xml:space="preserve"> SEQ Cuadro \* ARABIC </w:instrText>
      </w:r>
      <w:r w:rsidRPr="0033676D">
        <w:rPr>
          <w:rFonts w:asciiTheme="majorHAnsi" w:hAnsiTheme="majorHAnsi" w:cstheme="minorHAnsi"/>
        </w:rPr>
        <w:fldChar w:fldCharType="separate"/>
      </w:r>
      <w:r w:rsidR="00F7428D">
        <w:rPr>
          <w:rFonts w:asciiTheme="majorHAnsi" w:hAnsiTheme="majorHAnsi" w:cstheme="minorHAnsi"/>
          <w:noProof/>
        </w:rPr>
        <w:t>9</w:t>
      </w:r>
      <w:r w:rsidRPr="0033676D">
        <w:rPr>
          <w:rFonts w:asciiTheme="majorHAnsi" w:hAnsiTheme="majorHAnsi" w:cstheme="minorHAnsi"/>
        </w:rPr>
        <w:fldChar w:fldCharType="end"/>
      </w:r>
    </w:p>
    <w:p w14:paraId="7279EB96"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Inversiones de los Fondos de Pensión</w:t>
      </w:r>
    </w:p>
    <w:p w14:paraId="26589A52"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en deuda individual por emisor del instrumento</w:t>
      </w:r>
    </w:p>
    <w:p w14:paraId="79E980FE" w14:textId="77777777" w:rsidR="00930E3A"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 xml:space="preserve">Cifras porcentuales a </w:t>
      </w:r>
      <w:r w:rsidR="00E431D1" w:rsidRPr="008F5D99">
        <w:rPr>
          <w:rFonts w:asciiTheme="majorHAnsi" w:hAnsiTheme="majorHAnsi" w:cstheme="minorHAnsi"/>
        </w:rPr>
        <w:t>diciembre</w:t>
      </w:r>
      <w:r w:rsidR="00610A4F" w:rsidRPr="008F5D99">
        <w:rPr>
          <w:rFonts w:asciiTheme="majorHAnsi" w:hAnsiTheme="majorHAnsi" w:cstheme="minorHAnsi"/>
        </w:rPr>
        <w:t xml:space="preserve"> 2018</w:t>
      </w:r>
      <w:bookmarkStart w:id="11" w:name="_1604477087"/>
      <w:bookmarkEnd w:id="11"/>
    </w:p>
    <w:tbl>
      <w:tblPr>
        <w:tblW w:w="8527" w:type="dxa"/>
        <w:jc w:val="center"/>
        <w:tblCellMar>
          <w:left w:w="70" w:type="dxa"/>
          <w:right w:w="70" w:type="dxa"/>
        </w:tblCellMar>
        <w:tblLook w:val="04A0" w:firstRow="1" w:lastRow="0" w:firstColumn="1" w:lastColumn="0" w:noHBand="0" w:noVBand="1"/>
      </w:tblPr>
      <w:tblGrid>
        <w:gridCol w:w="974"/>
        <w:gridCol w:w="616"/>
        <w:gridCol w:w="616"/>
        <w:gridCol w:w="485"/>
        <w:gridCol w:w="616"/>
        <w:gridCol w:w="616"/>
        <w:gridCol w:w="485"/>
        <w:gridCol w:w="485"/>
        <w:gridCol w:w="616"/>
        <w:gridCol w:w="485"/>
        <w:gridCol w:w="485"/>
        <w:gridCol w:w="485"/>
        <w:gridCol w:w="485"/>
        <w:gridCol w:w="616"/>
        <w:gridCol w:w="616"/>
      </w:tblGrid>
      <w:tr w:rsidR="00E431D1" w:rsidRPr="008F5D99" w14:paraId="0068527C" w14:textId="77777777" w:rsidTr="008F2373">
        <w:trPr>
          <w:trHeight w:val="1479"/>
          <w:jc w:val="center"/>
        </w:trPr>
        <w:tc>
          <w:tcPr>
            <w:tcW w:w="974" w:type="dxa"/>
            <w:tcBorders>
              <w:top w:val="single" w:sz="4" w:space="0" w:color="auto"/>
              <w:left w:val="nil"/>
              <w:bottom w:val="double" w:sz="6" w:space="0" w:color="auto"/>
              <w:right w:val="nil"/>
            </w:tcBorders>
            <w:shd w:val="clear" w:color="000000" w:fill="D9D9D9"/>
            <w:noWrap/>
            <w:textDirection w:val="btLr"/>
            <w:vAlign w:val="center"/>
            <w:hideMark/>
          </w:tcPr>
          <w:p w14:paraId="6E7BEAA2"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 </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64F1B26C"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BCR-PENSION</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574076FA"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BN-VITAL</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252124A1"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CCSS-OPC</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0C8E2044"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FBNCR</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0AE08E0B"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FBOMBEROS</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3ABC9CF3"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FCCMN</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2D3065AB"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FICE</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132C0650"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FPJ</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7E971BA7"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FRE</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72C9AE34"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FRIVM</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6167FC5F"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FVENLOT</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296B24BA"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POPULAR</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46BDBEE6"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SJ-PENSIONES</w:t>
            </w:r>
          </w:p>
        </w:tc>
        <w:tc>
          <w:tcPr>
            <w:tcW w:w="0" w:type="auto"/>
            <w:tcBorders>
              <w:top w:val="single" w:sz="4" w:space="0" w:color="auto"/>
              <w:left w:val="nil"/>
              <w:bottom w:val="double" w:sz="6" w:space="0" w:color="auto"/>
              <w:right w:val="nil"/>
            </w:tcBorders>
            <w:shd w:val="clear" w:color="000000" w:fill="D9D9D9"/>
            <w:noWrap/>
            <w:textDirection w:val="btLr"/>
            <w:vAlign w:val="center"/>
            <w:hideMark/>
          </w:tcPr>
          <w:p w14:paraId="06B06865" w14:textId="77777777" w:rsidR="00E431D1" w:rsidRPr="008F5D99" w:rsidRDefault="00E431D1" w:rsidP="00E431D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VIDA PLENA</w:t>
            </w:r>
          </w:p>
        </w:tc>
      </w:tr>
      <w:tr w:rsidR="00E431D1" w:rsidRPr="008F5D99" w14:paraId="345CE896" w14:textId="77777777" w:rsidTr="008F2373">
        <w:trPr>
          <w:trHeight w:val="34"/>
          <w:jc w:val="center"/>
        </w:trPr>
        <w:tc>
          <w:tcPr>
            <w:tcW w:w="974" w:type="dxa"/>
            <w:tcBorders>
              <w:top w:val="nil"/>
              <w:left w:val="nil"/>
              <w:bottom w:val="nil"/>
              <w:right w:val="nil"/>
            </w:tcBorders>
            <w:shd w:val="clear" w:color="000000" w:fill="FFFFFF"/>
            <w:noWrap/>
            <w:vAlign w:val="center"/>
            <w:hideMark/>
          </w:tcPr>
          <w:p w14:paraId="2450539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BAGEN</w:t>
            </w:r>
          </w:p>
        </w:tc>
        <w:tc>
          <w:tcPr>
            <w:tcW w:w="0" w:type="auto"/>
            <w:tcBorders>
              <w:top w:val="nil"/>
              <w:left w:val="nil"/>
              <w:bottom w:val="nil"/>
              <w:right w:val="nil"/>
            </w:tcBorders>
            <w:shd w:val="clear" w:color="000000" w:fill="FFFFFF"/>
            <w:noWrap/>
            <w:vAlign w:val="center"/>
            <w:hideMark/>
          </w:tcPr>
          <w:p w14:paraId="63E4A9C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F6584B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09AF38F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5AA318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01512BE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0DA7063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662417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B8484D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F8F56C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49CC1F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0EF996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5E3886A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E884"/>
            <w:noWrap/>
            <w:vAlign w:val="center"/>
            <w:hideMark/>
          </w:tcPr>
          <w:p w14:paraId="7F1EDEFB"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4ECEB11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0D67FF78"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25F550D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BANVI</w:t>
            </w:r>
          </w:p>
        </w:tc>
        <w:tc>
          <w:tcPr>
            <w:tcW w:w="0" w:type="auto"/>
            <w:tcBorders>
              <w:top w:val="nil"/>
              <w:left w:val="nil"/>
              <w:bottom w:val="nil"/>
              <w:right w:val="nil"/>
            </w:tcBorders>
            <w:shd w:val="clear" w:color="000000" w:fill="B9D67F"/>
            <w:noWrap/>
            <w:vAlign w:val="center"/>
            <w:hideMark/>
          </w:tcPr>
          <w:p w14:paraId="6D414B9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77C47C"/>
            <w:noWrap/>
            <w:vAlign w:val="center"/>
            <w:hideMark/>
          </w:tcPr>
          <w:p w14:paraId="4018C83E"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0D8BF34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E984"/>
            <w:noWrap/>
            <w:vAlign w:val="center"/>
            <w:hideMark/>
          </w:tcPr>
          <w:p w14:paraId="7869AC22"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5EDB29A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474F8A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5E6F60B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DF8BA61"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65DB19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D5BCD6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BC5EC03"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751300F"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5F0889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B51530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614C7F70"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49D353F1"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BCR</w:t>
            </w:r>
          </w:p>
        </w:tc>
        <w:tc>
          <w:tcPr>
            <w:tcW w:w="0" w:type="auto"/>
            <w:tcBorders>
              <w:top w:val="nil"/>
              <w:left w:val="nil"/>
              <w:bottom w:val="nil"/>
              <w:right w:val="nil"/>
            </w:tcBorders>
            <w:shd w:val="clear" w:color="000000" w:fill="FFFFFF"/>
            <w:noWrap/>
            <w:vAlign w:val="center"/>
            <w:hideMark/>
          </w:tcPr>
          <w:p w14:paraId="4253EF7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E784"/>
            <w:noWrap/>
            <w:vAlign w:val="center"/>
            <w:hideMark/>
          </w:tcPr>
          <w:p w14:paraId="649EB670"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2D6473E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CB079"/>
            <w:noWrap/>
            <w:vAlign w:val="center"/>
            <w:hideMark/>
          </w:tcPr>
          <w:p w14:paraId="598B85B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5%</w:t>
            </w:r>
          </w:p>
        </w:tc>
        <w:tc>
          <w:tcPr>
            <w:tcW w:w="0" w:type="auto"/>
            <w:tcBorders>
              <w:top w:val="nil"/>
              <w:left w:val="nil"/>
              <w:bottom w:val="nil"/>
              <w:right w:val="nil"/>
            </w:tcBorders>
            <w:shd w:val="clear" w:color="000000" w:fill="FFFFFF"/>
            <w:noWrap/>
            <w:vAlign w:val="center"/>
            <w:hideMark/>
          </w:tcPr>
          <w:p w14:paraId="696D69F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95CC7D"/>
            <w:noWrap/>
            <w:vAlign w:val="center"/>
            <w:hideMark/>
          </w:tcPr>
          <w:p w14:paraId="0EEA4D56"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72302A59"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8696B"/>
            <w:noWrap/>
            <w:vAlign w:val="center"/>
            <w:hideMark/>
          </w:tcPr>
          <w:p w14:paraId="06B8EE5E"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9%</w:t>
            </w:r>
          </w:p>
        </w:tc>
        <w:tc>
          <w:tcPr>
            <w:tcW w:w="0" w:type="auto"/>
            <w:tcBorders>
              <w:top w:val="nil"/>
              <w:left w:val="nil"/>
              <w:bottom w:val="nil"/>
              <w:right w:val="nil"/>
            </w:tcBorders>
            <w:shd w:val="clear" w:color="000000" w:fill="FFFFFF"/>
            <w:noWrap/>
            <w:vAlign w:val="center"/>
            <w:hideMark/>
          </w:tcPr>
          <w:p w14:paraId="31CBAF0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63BE7B"/>
            <w:noWrap/>
            <w:vAlign w:val="center"/>
            <w:hideMark/>
          </w:tcPr>
          <w:p w14:paraId="2418A138"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4A7717C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DC82"/>
            <w:noWrap/>
            <w:vAlign w:val="center"/>
            <w:hideMark/>
          </w:tcPr>
          <w:p w14:paraId="02D1A0E8"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C8DB80"/>
            <w:noWrap/>
            <w:vAlign w:val="center"/>
            <w:hideMark/>
          </w:tcPr>
          <w:p w14:paraId="15B002AF"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ED981"/>
            <w:noWrap/>
            <w:vAlign w:val="center"/>
            <w:hideMark/>
          </w:tcPr>
          <w:p w14:paraId="68DBD0C8"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r>
      <w:tr w:rsidR="00E431D1" w:rsidRPr="008F5D99" w14:paraId="54FF5725"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746E00A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BCT</w:t>
            </w:r>
          </w:p>
        </w:tc>
        <w:tc>
          <w:tcPr>
            <w:tcW w:w="0" w:type="auto"/>
            <w:tcBorders>
              <w:top w:val="nil"/>
              <w:left w:val="nil"/>
              <w:bottom w:val="nil"/>
              <w:right w:val="nil"/>
            </w:tcBorders>
            <w:shd w:val="clear" w:color="000000" w:fill="84C77C"/>
            <w:noWrap/>
            <w:vAlign w:val="center"/>
            <w:hideMark/>
          </w:tcPr>
          <w:p w14:paraId="284A9CAB"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419A23A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4536B0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D7A3EC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29C278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87C87D"/>
            <w:noWrap/>
            <w:vAlign w:val="center"/>
            <w:hideMark/>
          </w:tcPr>
          <w:p w14:paraId="5B385FE2"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2790C8A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ECDD213"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1CA320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D71D07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4AD8D1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A58656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721E54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9ECF7E"/>
            <w:noWrap/>
            <w:vAlign w:val="center"/>
            <w:hideMark/>
          </w:tcPr>
          <w:p w14:paraId="0C7C4B8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r>
      <w:tr w:rsidR="00E431D1" w:rsidRPr="008F5D99" w14:paraId="421EA56F"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01ABEF4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BDAVI</w:t>
            </w:r>
          </w:p>
        </w:tc>
        <w:tc>
          <w:tcPr>
            <w:tcW w:w="0" w:type="auto"/>
            <w:tcBorders>
              <w:top w:val="nil"/>
              <w:left w:val="nil"/>
              <w:bottom w:val="nil"/>
              <w:right w:val="nil"/>
            </w:tcBorders>
            <w:shd w:val="clear" w:color="000000" w:fill="E3E382"/>
            <w:noWrap/>
            <w:vAlign w:val="center"/>
            <w:hideMark/>
          </w:tcPr>
          <w:p w14:paraId="04C749B9"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E583"/>
            <w:noWrap/>
            <w:vAlign w:val="center"/>
            <w:hideMark/>
          </w:tcPr>
          <w:p w14:paraId="0D8CA1B6"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3DD1135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0236E82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ADA28FF"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1E783"/>
            <w:noWrap/>
            <w:vAlign w:val="center"/>
            <w:hideMark/>
          </w:tcPr>
          <w:p w14:paraId="375988D1"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12673AC1"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EBE582"/>
            <w:noWrap/>
            <w:vAlign w:val="center"/>
            <w:hideMark/>
          </w:tcPr>
          <w:p w14:paraId="74937229"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2C6BD88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6FC17B"/>
            <w:noWrap/>
            <w:vAlign w:val="center"/>
            <w:hideMark/>
          </w:tcPr>
          <w:p w14:paraId="1BEFDE1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5561E1D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8D3F40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EC97E"/>
            <w:noWrap/>
            <w:vAlign w:val="center"/>
            <w:hideMark/>
          </w:tcPr>
          <w:p w14:paraId="5366C85B"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c>
          <w:tcPr>
            <w:tcW w:w="0" w:type="auto"/>
            <w:tcBorders>
              <w:top w:val="nil"/>
              <w:left w:val="nil"/>
              <w:bottom w:val="nil"/>
              <w:right w:val="nil"/>
            </w:tcBorders>
            <w:shd w:val="clear" w:color="000000" w:fill="FED981"/>
            <w:noWrap/>
            <w:vAlign w:val="center"/>
            <w:hideMark/>
          </w:tcPr>
          <w:p w14:paraId="1D857634"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r>
      <w:tr w:rsidR="00E431D1" w:rsidRPr="008F5D99" w14:paraId="59FDB961"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51E7F1E1"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BIMPR</w:t>
            </w:r>
          </w:p>
        </w:tc>
        <w:tc>
          <w:tcPr>
            <w:tcW w:w="0" w:type="auto"/>
            <w:tcBorders>
              <w:top w:val="nil"/>
              <w:left w:val="nil"/>
              <w:bottom w:val="nil"/>
              <w:right w:val="nil"/>
            </w:tcBorders>
            <w:shd w:val="clear" w:color="000000" w:fill="FFFFFF"/>
            <w:noWrap/>
            <w:vAlign w:val="center"/>
            <w:hideMark/>
          </w:tcPr>
          <w:p w14:paraId="222CCC41"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E483"/>
            <w:noWrap/>
            <w:vAlign w:val="center"/>
            <w:hideMark/>
          </w:tcPr>
          <w:p w14:paraId="4C781C2B"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7BFC34A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2CA4ECA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AE983"/>
            <w:noWrap/>
            <w:vAlign w:val="center"/>
            <w:hideMark/>
          </w:tcPr>
          <w:p w14:paraId="736A10E8"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8E983"/>
            <w:noWrap/>
            <w:vAlign w:val="center"/>
            <w:hideMark/>
          </w:tcPr>
          <w:p w14:paraId="31DA4DB7"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91CB7D"/>
            <w:noWrap/>
            <w:vAlign w:val="center"/>
            <w:hideMark/>
          </w:tcPr>
          <w:p w14:paraId="00550101"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157D6B2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9E427E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A4D07E"/>
            <w:noWrap/>
            <w:vAlign w:val="center"/>
            <w:hideMark/>
          </w:tcPr>
          <w:p w14:paraId="0A65C63F"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566C1BC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DB36F4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28D1782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5D86C63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50CDA1A1"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3114A9C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BLAFI</w:t>
            </w:r>
          </w:p>
        </w:tc>
        <w:tc>
          <w:tcPr>
            <w:tcW w:w="0" w:type="auto"/>
            <w:tcBorders>
              <w:top w:val="nil"/>
              <w:left w:val="nil"/>
              <w:bottom w:val="nil"/>
              <w:right w:val="nil"/>
            </w:tcBorders>
            <w:shd w:val="clear" w:color="000000" w:fill="FFFFFF"/>
            <w:noWrap/>
            <w:vAlign w:val="center"/>
            <w:hideMark/>
          </w:tcPr>
          <w:p w14:paraId="5380F02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F8C8A5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CEEED3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B3D57F"/>
            <w:noWrap/>
            <w:vAlign w:val="center"/>
            <w:hideMark/>
          </w:tcPr>
          <w:p w14:paraId="45FFC760"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42F19EF9"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D85598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89C97D"/>
            <w:noWrap/>
            <w:vAlign w:val="center"/>
            <w:hideMark/>
          </w:tcPr>
          <w:p w14:paraId="644A590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6CE2FCB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A84B78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E40803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ADD6AF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BAC30D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89C87D"/>
            <w:noWrap/>
            <w:vAlign w:val="center"/>
            <w:hideMark/>
          </w:tcPr>
          <w:p w14:paraId="68E976C6"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6860520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543C7E4A"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4AF3F51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BNCR</w:t>
            </w:r>
          </w:p>
        </w:tc>
        <w:tc>
          <w:tcPr>
            <w:tcW w:w="0" w:type="auto"/>
            <w:tcBorders>
              <w:top w:val="nil"/>
              <w:left w:val="nil"/>
              <w:bottom w:val="nil"/>
              <w:right w:val="nil"/>
            </w:tcBorders>
            <w:shd w:val="clear" w:color="000000" w:fill="FDC17C"/>
            <w:noWrap/>
            <w:vAlign w:val="center"/>
            <w:hideMark/>
          </w:tcPr>
          <w:p w14:paraId="56B07750"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4%</w:t>
            </w:r>
          </w:p>
        </w:tc>
        <w:tc>
          <w:tcPr>
            <w:tcW w:w="0" w:type="auto"/>
            <w:tcBorders>
              <w:top w:val="nil"/>
              <w:left w:val="nil"/>
              <w:bottom w:val="nil"/>
              <w:right w:val="nil"/>
            </w:tcBorders>
            <w:shd w:val="clear" w:color="000000" w:fill="FFFFFF"/>
            <w:noWrap/>
            <w:vAlign w:val="center"/>
            <w:hideMark/>
          </w:tcPr>
          <w:p w14:paraId="26105B5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DC81"/>
            <w:noWrap/>
            <w:vAlign w:val="center"/>
            <w:hideMark/>
          </w:tcPr>
          <w:p w14:paraId="77D7145D"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FFFFF"/>
            <w:noWrap/>
            <w:vAlign w:val="center"/>
            <w:hideMark/>
          </w:tcPr>
          <w:p w14:paraId="15B3EB6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DE82"/>
            <w:noWrap/>
            <w:vAlign w:val="center"/>
            <w:hideMark/>
          </w:tcPr>
          <w:p w14:paraId="7EF1928B"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B3D57F"/>
            <w:noWrap/>
            <w:vAlign w:val="center"/>
            <w:hideMark/>
          </w:tcPr>
          <w:p w14:paraId="54AE0EB2"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42CAE14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8DCA7D"/>
            <w:noWrap/>
            <w:vAlign w:val="center"/>
            <w:hideMark/>
          </w:tcPr>
          <w:p w14:paraId="02802A07"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DB81"/>
            <w:noWrap/>
            <w:vAlign w:val="center"/>
            <w:hideMark/>
          </w:tcPr>
          <w:p w14:paraId="730E168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FE183"/>
            <w:noWrap/>
            <w:vAlign w:val="center"/>
            <w:hideMark/>
          </w:tcPr>
          <w:p w14:paraId="59389DB0"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DC37D"/>
            <w:noWrap/>
            <w:vAlign w:val="center"/>
            <w:hideMark/>
          </w:tcPr>
          <w:p w14:paraId="27F1C871"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c>
          <w:tcPr>
            <w:tcW w:w="0" w:type="auto"/>
            <w:tcBorders>
              <w:top w:val="nil"/>
              <w:left w:val="nil"/>
              <w:bottom w:val="nil"/>
              <w:right w:val="nil"/>
            </w:tcBorders>
            <w:shd w:val="clear" w:color="000000" w:fill="FED07F"/>
            <w:noWrap/>
            <w:vAlign w:val="center"/>
            <w:hideMark/>
          </w:tcPr>
          <w:p w14:paraId="1EAF299F"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c>
          <w:tcPr>
            <w:tcW w:w="0" w:type="auto"/>
            <w:tcBorders>
              <w:top w:val="nil"/>
              <w:left w:val="nil"/>
              <w:bottom w:val="nil"/>
              <w:right w:val="nil"/>
            </w:tcBorders>
            <w:shd w:val="clear" w:color="000000" w:fill="FDB57A"/>
            <w:noWrap/>
            <w:vAlign w:val="center"/>
            <w:hideMark/>
          </w:tcPr>
          <w:p w14:paraId="1BC514B2"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4%</w:t>
            </w:r>
          </w:p>
        </w:tc>
        <w:tc>
          <w:tcPr>
            <w:tcW w:w="0" w:type="auto"/>
            <w:tcBorders>
              <w:top w:val="nil"/>
              <w:left w:val="nil"/>
              <w:bottom w:val="nil"/>
              <w:right w:val="nil"/>
            </w:tcBorders>
            <w:shd w:val="clear" w:color="000000" w:fill="FED07F"/>
            <w:noWrap/>
            <w:vAlign w:val="center"/>
            <w:hideMark/>
          </w:tcPr>
          <w:p w14:paraId="455CA8A2"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r>
      <w:tr w:rsidR="00E431D1" w:rsidRPr="008F5D99" w14:paraId="7D152E92"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4720E78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BNSCR</w:t>
            </w:r>
          </w:p>
        </w:tc>
        <w:tc>
          <w:tcPr>
            <w:tcW w:w="0" w:type="auto"/>
            <w:tcBorders>
              <w:top w:val="nil"/>
              <w:left w:val="nil"/>
              <w:bottom w:val="nil"/>
              <w:right w:val="nil"/>
            </w:tcBorders>
            <w:shd w:val="clear" w:color="000000" w:fill="85C77C"/>
            <w:noWrap/>
            <w:vAlign w:val="center"/>
            <w:hideMark/>
          </w:tcPr>
          <w:p w14:paraId="4045ABDD"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1AF05E09"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BF368C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EE978C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B9B179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8BC71D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CD2E59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5F11E8D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93C4773"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2181972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51756CA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AB54743"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B89598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D9BD9B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44B185F3"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09DE6D39"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BPDC</w:t>
            </w:r>
          </w:p>
        </w:tc>
        <w:tc>
          <w:tcPr>
            <w:tcW w:w="0" w:type="auto"/>
            <w:tcBorders>
              <w:top w:val="nil"/>
              <w:left w:val="nil"/>
              <w:bottom w:val="nil"/>
              <w:right w:val="nil"/>
            </w:tcBorders>
            <w:shd w:val="clear" w:color="000000" w:fill="FFE683"/>
            <w:noWrap/>
            <w:vAlign w:val="center"/>
            <w:hideMark/>
          </w:tcPr>
          <w:p w14:paraId="6E233008"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ECF7F"/>
            <w:noWrap/>
            <w:vAlign w:val="center"/>
            <w:hideMark/>
          </w:tcPr>
          <w:p w14:paraId="2758BD59"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c>
          <w:tcPr>
            <w:tcW w:w="0" w:type="auto"/>
            <w:tcBorders>
              <w:top w:val="nil"/>
              <w:left w:val="nil"/>
              <w:bottom w:val="nil"/>
              <w:right w:val="nil"/>
            </w:tcBorders>
            <w:shd w:val="clear" w:color="000000" w:fill="FECA7E"/>
            <w:noWrap/>
            <w:vAlign w:val="center"/>
            <w:hideMark/>
          </w:tcPr>
          <w:p w14:paraId="583BA19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c>
          <w:tcPr>
            <w:tcW w:w="0" w:type="auto"/>
            <w:tcBorders>
              <w:top w:val="nil"/>
              <w:left w:val="nil"/>
              <w:bottom w:val="nil"/>
              <w:right w:val="nil"/>
            </w:tcBorders>
            <w:shd w:val="clear" w:color="000000" w:fill="FDBD7C"/>
            <w:noWrap/>
            <w:vAlign w:val="center"/>
            <w:hideMark/>
          </w:tcPr>
          <w:p w14:paraId="7BF0C3E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4%</w:t>
            </w:r>
          </w:p>
        </w:tc>
        <w:tc>
          <w:tcPr>
            <w:tcW w:w="0" w:type="auto"/>
            <w:tcBorders>
              <w:top w:val="nil"/>
              <w:left w:val="nil"/>
              <w:bottom w:val="nil"/>
              <w:right w:val="nil"/>
            </w:tcBorders>
            <w:shd w:val="clear" w:color="000000" w:fill="FFDF82"/>
            <w:noWrap/>
            <w:vAlign w:val="center"/>
            <w:hideMark/>
          </w:tcPr>
          <w:p w14:paraId="7EAF628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FE984"/>
            <w:noWrap/>
            <w:vAlign w:val="center"/>
            <w:hideMark/>
          </w:tcPr>
          <w:p w14:paraId="03CDE454"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C5DA80"/>
            <w:noWrap/>
            <w:vAlign w:val="center"/>
            <w:hideMark/>
          </w:tcPr>
          <w:p w14:paraId="40F215B7"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ED781"/>
            <w:noWrap/>
            <w:vAlign w:val="center"/>
            <w:hideMark/>
          </w:tcPr>
          <w:p w14:paraId="5EAD3E10"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DC37D"/>
            <w:noWrap/>
            <w:vAlign w:val="center"/>
            <w:hideMark/>
          </w:tcPr>
          <w:p w14:paraId="5EA9438F"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c>
          <w:tcPr>
            <w:tcW w:w="0" w:type="auto"/>
            <w:tcBorders>
              <w:top w:val="nil"/>
              <w:left w:val="nil"/>
              <w:bottom w:val="nil"/>
              <w:right w:val="nil"/>
            </w:tcBorders>
            <w:shd w:val="clear" w:color="000000" w:fill="C4DA80"/>
            <w:noWrap/>
            <w:vAlign w:val="center"/>
            <w:hideMark/>
          </w:tcPr>
          <w:p w14:paraId="4D4CF5EB"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4B690AF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5D2FFEE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1E783"/>
            <w:noWrap/>
            <w:vAlign w:val="center"/>
            <w:hideMark/>
          </w:tcPr>
          <w:p w14:paraId="4D1D3CE8"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DA81"/>
            <w:noWrap/>
            <w:vAlign w:val="center"/>
            <w:hideMark/>
          </w:tcPr>
          <w:p w14:paraId="3D641ECB"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r>
      <w:tr w:rsidR="00E431D1" w:rsidRPr="008F5D99" w14:paraId="33BC179B"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2553C9E1"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BPROM</w:t>
            </w:r>
          </w:p>
        </w:tc>
        <w:tc>
          <w:tcPr>
            <w:tcW w:w="0" w:type="auto"/>
            <w:tcBorders>
              <w:top w:val="nil"/>
              <w:left w:val="nil"/>
              <w:bottom w:val="nil"/>
              <w:right w:val="nil"/>
            </w:tcBorders>
            <w:shd w:val="clear" w:color="000000" w:fill="FEC77D"/>
            <w:noWrap/>
            <w:vAlign w:val="center"/>
            <w:hideMark/>
          </w:tcPr>
          <w:p w14:paraId="25DCD845"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c>
          <w:tcPr>
            <w:tcW w:w="0" w:type="auto"/>
            <w:tcBorders>
              <w:top w:val="nil"/>
              <w:left w:val="nil"/>
              <w:bottom w:val="nil"/>
              <w:right w:val="nil"/>
            </w:tcBorders>
            <w:shd w:val="clear" w:color="000000" w:fill="D3DE81"/>
            <w:noWrap/>
            <w:vAlign w:val="center"/>
            <w:hideMark/>
          </w:tcPr>
          <w:p w14:paraId="00334471"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95CC7D"/>
            <w:noWrap/>
            <w:vAlign w:val="center"/>
            <w:hideMark/>
          </w:tcPr>
          <w:p w14:paraId="4F336DFC"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142A035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069FD4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4E883"/>
            <w:noWrap/>
            <w:vAlign w:val="center"/>
            <w:hideMark/>
          </w:tcPr>
          <w:p w14:paraId="42AEFBE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4FA58E2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05B441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7B578C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FA429C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E483"/>
            <w:noWrap/>
            <w:vAlign w:val="center"/>
            <w:hideMark/>
          </w:tcPr>
          <w:p w14:paraId="76EBAD65"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D9E081"/>
            <w:noWrap/>
            <w:vAlign w:val="center"/>
            <w:hideMark/>
          </w:tcPr>
          <w:p w14:paraId="209C44C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E183"/>
            <w:noWrap/>
            <w:vAlign w:val="center"/>
            <w:hideMark/>
          </w:tcPr>
          <w:p w14:paraId="2182445D"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4E783"/>
            <w:noWrap/>
            <w:vAlign w:val="center"/>
            <w:hideMark/>
          </w:tcPr>
          <w:p w14:paraId="63D53180"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r>
      <w:tr w:rsidR="00E431D1" w:rsidRPr="008F5D99" w14:paraId="61B265F1"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3D03C3B3"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BSJ</w:t>
            </w:r>
          </w:p>
        </w:tc>
        <w:tc>
          <w:tcPr>
            <w:tcW w:w="0" w:type="auto"/>
            <w:tcBorders>
              <w:top w:val="nil"/>
              <w:left w:val="nil"/>
              <w:bottom w:val="nil"/>
              <w:right w:val="nil"/>
            </w:tcBorders>
            <w:shd w:val="clear" w:color="000000" w:fill="FFE383"/>
            <w:noWrap/>
            <w:vAlign w:val="center"/>
            <w:hideMark/>
          </w:tcPr>
          <w:p w14:paraId="48A7DB65"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ED580"/>
            <w:noWrap/>
            <w:vAlign w:val="center"/>
            <w:hideMark/>
          </w:tcPr>
          <w:p w14:paraId="3B4DED52"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BEA83"/>
            <w:noWrap/>
            <w:vAlign w:val="center"/>
            <w:hideMark/>
          </w:tcPr>
          <w:p w14:paraId="135319D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DF82"/>
            <w:noWrap/>
            <w:vAlign w:val="center"/>
            <w:hideMark/>
          </w:tcPr>
          <w:p w14:paraId="18E96069"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FFFFF"/>
            <w:noWrap/>
            <w:vAlign w:val="center"/>
            <w:hideMark/>
          </w:tcPr>
          <w:p w14:paraId="4E64FEA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E784"/>
            <w:noWrap/>
            <w:vAlign w:val="center"/>
            <w:hideMark/>
          </w:tcPr>
          <w:p w14:paraId="0C889D3C"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0F5B8C8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248DBDE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52D7DC3"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C1D980"/>
            <w:noWrap/>
            <w:vAlign w:val="center"/>
            <w:hideMark/>
          </w:tcPr>
          <w:p w14:paraId="33C5E08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3E83572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75C37C"/>
            <w:noWrap/>
            <w:vAlign w:val="center"/>
            <w:hideMark/>
          </w:tcPr>
          <w:p w14:paraId="37F832C2"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46FD6BF3"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DC47D"/>
            <w:noWrap/>
            <w:vAlign w:val="center"/>
            <w:hideMark/>
          </w:tcPr>
          <w:p w14:paraId="3782331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r>
      <w:tr w:rsidR="00E431D1" w:rsidRPr="008F5D99" w14:paraId="57C91282"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63FAF5E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CAFSA</w:t>
            </w:r>
          </w:p>
        </w:tc>
        <w:tc>
          <w:tcPr>
            <w:tcW w:w="0" w:type="auto"/>
            <w:tcBorders>
              <w:top w:val="nil"/>
              <w:left w:val="nil"/>
              <w:bottom w:val="nil"/>
              <w:right w:val="nil"/>
            </w:tcBorders>
            <w:shd w:val="clear" w:color="000000" w:fill="FFFFFF"/>
            <w:noWrap/>
            <w:vAlign w:val="center"/>
            <w:hideMark/>
          </w:tcPr>
          <w:p w14:paraId="0EEEC1A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9C7E31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E85448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0342F7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D981"/>
            <w:noWrap/>
            <w:vAlign w:val="center"/>
            <w:hideMark/>
          </w:tcPr>
          <w:p w14:paraId="2718922D"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FFFFF"/>
            <w:noWrap/>
            <w:vAlign w:val="center"/>
            <w:hideMark/>
          </w:tcPr>
          <w:p w14:paraId="0E6A004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7F07C3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0F6115F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F32E63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EA6EE3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2FE610B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64DE1E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D9D494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493A24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26409AF4"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6EE4BAE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CATAY</w:t>
            </w:r>
          </w:p>
        </w:tc>
        <w:tc>
          <w:tcPr>
            <w:tcW w:w="0" w:type="auto"/>
            <w:tcBorders>
              <w:top w:val="nil"/>
              <w:left w:val="nil"/>
              <w:bottom w:val="nil"/>
              <w:right w:val="nil"/>
            </w:tcBorders>
            <w:shd w:val="clear" w:color="000000" w:fill="FFFFFF"/>
            <w:noWrap/>
            <w:vAlign w:val="center"/>
            <w:hideMark/>
          </w:tcPr>
          <w:p w14:paraId="18840F3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04F736F"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C1EE18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0A24AB7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06B0BD7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CB5452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A9D27F"/>
            <w:noWrap/>
            <w:vAlign w:val="center"/>
            <w:hideMark/>
          </w:tcPr>
          <w:p w14:paraId="6EB3313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7E0BA9E3"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52F5E9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008BDD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6BE717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61DDFA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E9F269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1C8A419"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60F2F2E6"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2C1F7F2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FDESY</w:t>
            </w:r>
          </w:p>
        </w:tc>
        <w:tc>
          <w:tcPr>
            <w:tcW w:w="0" w:type="auto"/>
            <w:tcBorders>
              <w:top w:val="nil"/>
              <w:left w:val="nil"/>
              <w:bottom w:val="nil"/>
              <w:right w:val="nil"/>
            </w:tcBorders>
            <w:shd w:val="clear" w:color="000000" w:fill="FFFFFF"/>
            <w:noWrap/>
            <w:vAlign w:val="center"/>
            <w:hideMark/>
          </w:tcPr>
          <w:p w14:paraId="146FE77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696C0E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95CC7D"/>
            <w:noWrap/>
            <w:vAlign w:val="center"/>
            <w:hideMark/>
          </w:tcPr>
          <w:p w14:paraId="41F19CC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325B5DE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E8B5DA1"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2E747F8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ED480"/>
            <w:noWrap/>
            <w:vAlign w:val="center"/>
            <w:hideMark/>
          </w:tcPr>
          <w:p w14:paraId="7A3E3AAD"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FFFFF"/>
            <w:noWrap/>
            <w:vAlign w:val="center"/>
            <w:hideMark/>
          </w:tcPr>
          <w:p w14:paraId="08DF40D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53361D8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305E0D1A"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2F49BAF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8077A0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232A5A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1E45AE9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2CEB01D8"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3DD03D4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MADAP</w:t>
            </w:r>
          </w:p>
        </w:tc>
        <w:tc>
          <w:tcPr>
            <w:tcW w:w="0" w:type="auto"/>
            <w:tcBorders>
              <w:top w:val="nil"/>
              <w:left w:val="nil"/>
              <w:bottom w:val="nil"/>
              <w:right w:val="nil"/>
            </w:tcBorders>
            <w:shd w:val="clear" w:color="000000" w:fill="FED680"/>
            <w:noWrap/>
            <w:vAlign w:val="center"/>
            <w:hideMark/>
          </w:tcPr>
          <w:p w14:paraId="51BD49D8"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FE884"/>
            <w:noWrap/>
            <w:vAlign w:val="center"/>
            <w:hideMark/>
          </w:tcPr>
          <w:p w14:paraId="28D84B35"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7A150FD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C8DB80"/>
            <w:noWrap/>
            <w:vAlign w:val="center"/>
            <w:hideMark/>
          </w:tcPr>
          <w:p w14:paraId="0B01E11B"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ECA7E"/>
            <w:noWrap/>
            <w:vAlign w:val="center"/>
            <w:hideMark/>
          </w:tcPr>
          <w:p w14:paraId="4A5D3B80"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w:t>
            </w:r>
          </w:p>
        </w:tc>
        <w:tc>
          <w:tcPr>
            <w:tcW w:w="0" w:type="auto"/>
            <w:tcBorders>
              <w:top w:val="nil"/>
              <w:left w:val="nil"/>
              <w:bottom w:val="nil"/>
              <w:right w:val="nil"/>
            </w:tcBorders>
            <w:shd w:val="clear" w:color="000000" w:fill="FFDC82"/>
            <w:noWrap/>
            <w:vAlign w:val="center"/>
            <w:hideMark/>
          </w:tcPr>
          <w:p w14:paraId="006AD35E"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w:t>
            </w:r>
          </w:p>
        </w:tc>
        <w:tc>
          <w:tcPr>
            <w:tcW w:w="0" w:type="auto"/>
            <w:tcBorders>
              <w:top w:val="nil"/>
              <w:left w:val="nil"/>
              <w:bottom w:val="nil"/>
              <w:right w:val="nil"/>
            </w:tcBorders>
            <w:shd w:val="clear" w:color="000000" w:fill="FFFFFF"/>
            <w:noWrap/>
            <w:vAlign w:val="center"/>
            <w:hideMark/>
          </w:tcPr>
          <w:p w14:paraId="00D3A2D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606F80DB"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E683"/>
            <w:noWrap/>
            <w:vAlign w:val="center"/>
            <w:hideMark/>
          </w:tcPr>
          <w:p w14:paraId="031C9079"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96CC7D"/>
            <w:noWrap/>
            <w:vAlign w:val="center"/>
            <w:hideMark/>
          </w:tcPr>
          <w:p w14:paraId="79CF4B51"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EB84"/>
            <w:noWrap/>
            <w:vAlign w:val="center"/>
            <w:hideMark/>
          </w:tcPr>
          <w:p w14:paraId="1319AB9C"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A7D17E"/>
            <w:noWrap/>
            <w:vAlign w:val="center"/>
            <w:hideMark/>
          </w:tcPr>
          <w:p w14:paraId="36A884BF"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91CB7D"/>
            <w:noWrap/>
            <w:vAlign w:val="center"/>
            <w:hideMark/>
          </w:tcPr>
          <w:p w14:paraId="6B22ABB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182EA13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3149F321"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4818F37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MUCAP</w:t>
            </w:r>
          </w:p>
        </w:tc>
        <w:tc>
          <w:tcPr>
            <w:tcW w:w="0" w:type="auto"/>
            <w:tcBorders>
              <w:top w:val="nil"/>
              <w:left w:val="nil"/>
              <w:bottom w:val="nil"/>
              <w:right w:val="nil"/>
            </w:tcBorders>
            <w:shd w:val="clear" w:color="000000" w:fill="D5DF81"/>
            <w:noWrap/>
            <w:vAlign w:val="center"/>
            <w:hideMark/>
          </w:tcPr>
          <w:p w14:paraId="69C71EBF"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EA84"/>
            <w:noWrap/>
            <w:vAlign w:val="center"/>
            <w:hideMark/>
          </w:tcPr>
          <w:p w14:paraId="4536B953"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2CA9BCDC"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C7DB80"/>
            <w:noWrap/>
            <w:vAlign w:val="center"/>
            <w:hideMark/>
          </w:tcPr>
          <w:p w14:paraId="6EEF6494"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E784"/>
            <w:noWrap/>
            <w:vAlign w:val="center"/>
            <w:hideMark/>
          </w:tcPr>
          <w:p w14:paraId="6CCB5D9F"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78C47C"/>
            <w:noWrap/>
            <w:vAlign w:val="center"/>
            <w:hideMark/>
          </w:tcPr>
          <w:p w14:paraId="754D8858"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E6E382"/>
            <w:noWrap/>
            <w:vAlign w:val="center"/>
            <w:hideMark/>
          </w:tcPr>
          <w:p w14:paraId="4E33BA89"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69F69F1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EB84"/>
            <w:noWrap/>
            <w:vAlign w:val="center"/>
            <w:hideMark/>
          </w:tcPr>
          <w:p w14:paraId="5E24BE1B"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35C7275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DC17C"/>
            <w:noWrap/>
            <w:vAlign w:val="center"/>
            <w:hideMark/>
          </w:tcPr>
          <w:p w14:paraId="5EB97F3C"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4%</w:t>
            </w:r>
          </w:p>
        </w:tc>
        <w:tc>
          <w:tcPr>
            <w:tcW w:w="0" w:type="auto"/>
            <w:tcBorders>
              <w:top w:val="nil"/>
              <w:left w:val="nil"/>
              <w:bottom w:val="nil"/>
              <w:right w:val="nil"/>
            </w:tcBorders>
            <w:shd w:val="clear" w:color="000000" w:fill="FFEB84"/>
            <w:noWrap/>
            <w:vAlign w:val="center"/>
            <w:hideMark/>
          </w:tcPr>
          <w:p w14:paraId="2E4147C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0F4DF03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26B14421"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75501D1D" w14:textId="77777777" w:rsidTr="008F2373">
        <w:trPr>
          <w:trHeight w:val="78"/>
          <w:jc w:val="center"/>
        </w:trPr>
        <w:tc>
          <w:tcPr>
            <w:tcW w:w="974" w:type="dxa"/>
            <w:tcBorders>
              <w:top w:val="nil"/>
              <w:left w:val="nil"/>
              <w:bottom w:val="nil"/>
              <w:right w:val="nil"/>
            </w:tcBorders>
            <w:shd w:val="clear" w:color="000000" w:fill="FFFFFF"/>
            <w:noWrap/>
            <w:vAlign w:val="center"/>
            <w:hideMark/>
          </w:tcPr>
          <w:p w14:paraId="2BA5911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PRIVA</w:t>
            </w:r>
          </w:p>
        </w:tc>
        <w:tc>
          <w:tcPr>
            <w:tcW w:w="0" w:type="auto"/>
            <w:tcBorders>
              <w:top w:val="nil"/>
              <w:left w:val="nil"/>
              <w:bottom w:val="nil"/>
              <w:right w:val="nil"/>
            </w:tcBorders>
            <w:shd w:val="clear" w:color="000000" w:fill="D2DE81"/>
            <w:noWrap/>
            <w:vAlign w:val="center"/>
            <w:hideMark/>
          </w:tcPr>
          <w:p w14:paraId="360DB92E"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6FC17B"/>
            <w:noWrap/>
            <w:vAlign w:val="center"/>
            <w:hideMark/>
          </w:tcPr>
          <w:p w14:paraId="70884066"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2369458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07DFE56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AE983"/>
            <w:noWrap/>
            <w:vAlign w:val="center"/>
            <w:hideMark/>
          </w:tcPr>
          <w:p w14:paraId="59FB6BDF"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5E883"/>
            <w:noWrap/>
            <w:vAlign w:val="center"/>
            <w:hideMark/>
          </w:tcPr>
          <w:p w14:paraId="778C075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nil"/>
              <w:right w:val="nil"/>
            </w:tcBorders>
            <w:shd w:val="clear" w:color="000000" w:fill="FFFFFF"/>
            <w:noWrap/>
            <w:vAlign w:val="center"/>
            <w:hideMark/>
          </w:tcPr>
          <w:p w14:paraId="1AD776A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462EDE1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24968EE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0CA9B4E8"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B1A4FA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9ACD7E"/>
            <w:noWrap/>
            <w:vAlign w:val="center"/>
            <w:hideMark/>
          </w:tcPr>
          <w:p w14:paraId="5CB3C912"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nil"/>
              <w:right w:val="nil"/>
            </w:tcBorders>
            <w:shd w:val="clear" w:color="000000" w:fill="FFFFFF"/>
            <w:noWrap/>
            <w:vAlign w:val="center"/>
            <w:hideMark/>
          </w:tcPr>
          <w:p w14:paraId="207D18C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nil"/>
              <w:right w:val="nil"/>
            </w:tcBorders>
            <w:shd w:val="clear" w:color="000000" w:fill="FFFFFF"/>
            <w:noWrap/>
            <w:vAlign w:val="center"/>
            <w:hideMark/>
          </w:tcPr>
          <w:p w14:paraId="725C4DA3"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r>
      <w:tr w:rsidR="00E431D1" w:rsidRPr="008F5D99" w14:paraId="60314566" w14:textId="77777777" w:rsidTr="008F2373">
        <w:trPr>
          <w:trHeight w:val="78"/>
          <w:jc w:val="center"/>
        </w:trPr>
        <w:tc>
          <w:tcPr>
            <w:tcW w:w="974" w:type="dxa"/>
            <w:tcBorders>
              <w:top w:val="nil"/>
              <w:left w:val="nil"/>
              <w:bottom w:val="single" w:sz="4" w:space="0" w:color="auto"/>
              <w:right w:val="nil"/>
            </w:tcBorders>
            <w:shd w:val="clear" w:color="000000" w:fill="FFFFFF"/>
            <w:noWrap/>
            <w:vAlign w:val="center"/>
            <w:hideMark/>
          </w:tcPr>
          <w:p w14:paraId="6B3CE40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SCOTI</w:t>
            </w:r>
          </w:p>
        </w:tc>
        <w:tc>
          <w:tcPr>
            <w:tcW w:w="0" w:type="auto"/>
            <w:tcBorders>
              <w:top w:val="nil"/>
              <w:left w:val="nil"/>
              <w:bottom w:val="single" w:sz="4" w:space="0" w:color="auto"/>
              <w:right w:val="nil"/>
            </w:tcBorders>
            <w:shd w:val="clear" w:color="000000" w:fill="FFFFFF"/>
            <w:noWrap/>
            <w:vAlign w:val="center"/>
            <w:hideMark/>
          </w:tcPr>
          <w:p w14:paraId="3B970F62"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88C87D"/>
            <w:noWrap/>
            <w:vAlign w:val="center"/>
            <w:hideMark/>
          </w:tcPr>
          <w:p w14:paraId="75B956AC"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single" w:sz="4" w:space="0" w:color="auto"/>
              <w:right w:val="nil"/>
            </w:tcBorders>
            <w:shd w:val="clear" w:color="000000" w:fill="FFFFFF"/>
            <w:noWrap/>
            <w:vAlign w:val="center"/>
            <w:hideMark/>
          </w:tcPr>
          <w:p w14:paraId="1BDA337E"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FFFFFF"/>
            <w:noWrap/>
            <w:vAlign w:val="center"/>
            <w:hideMark/>
          </w:tcPr>
          <w:p w14:paraId="2B7B7D1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FFFFFF"/>
            <w:noWrap/>
            <w:vAlign w:val="center"/>
            <w:hideMark/>
          </w:tcPr>
          <w:p w14:paraId="7A11B1C7"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FFFFFF"/>
            <w:noWrap/>
            <w:vAlign w:val="center"/>
            <w:hideMark/>
          </w:tcPr>
          <w:p w14:paraId="71197D96"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FFFFFF"/>
            <w:noWrap/>
            <w:vAlign w:val="center"/>
            <w:hideMark/>
          </w:tcPr>
          <w:p w14:paraId="5295EB65"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FFFFFF"/>
            <w:noWrap/>
            <w:vAlign w:val="center"/>
            <w:hideMark/>
          </w:tcPr>
          <w:p w14:paraId="65C8DC4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FFFFFF"/>
            <w:noWrap/>
            <w:vAlign w:val="center"/>
            <w:hideMark/>
          </w:tcPr>
          <w:p w14:paraId="2A826EBD"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63BE7B"/>
            <w:noWrap/>
            <w:vAlign w:val="center"/>
            <w:hideMark/>
          </w:tcPr>
          <w:p w14:paraId="71D6BC91"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w:t>
            </w:r>
          </w:p>
        </w:tc>
        <w:tc>
          <w:tcPr>
            <w:tcW w:w="0" w:type="auto"/>
            <w:tcBorders>
              <w:top w:val="nil"/>
              <w:left w:val="nil"/>
              <w:bottom w:val="single" w:sz="4" w:space="0" w:color="auto"/>
              <w:right w:val="nil"/>
            </w:tcBorders>
            <w:shd w:val="clear" w:color="000000" w:fill="FFFFFF"/>
            <w:noWrap/>
            <w:vAlign w:val="center"/>
            <w:hideMark/>
          </w:tcPr>
          <w:p w14:paraId="438033C0"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FFFFFF"/>
            <w:noWrap/>
            <w:vAlign w:val="center"/>
            <w:hideMark/>
          </w:tcPr>
          <w:p w14:paraId="7049ADF4" w14:textId="77777777" w:rsidR="00E431D1" w:rsidRPr="008F5D99" w:rsidRDefault="00E431D1" w:rsidP="00E431D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0" w:type="auto"/>
            <w:tcBorders>
              <w:top w:val="nil"/>
              <w:left w:val="nil"/>
              <w:bottom w:val="single" w:sz="4" w:space="0" w:color="auto"/>
              <w:right w:val="nil"/>
            </w:tcBorders>
            <w:shd w:val="clear" w:color="000000" w:fill="F1E783"/>
            <w:noWrap/>
            <w:vAlign w:val="center"/>
            <w:hideMark/>
          </w:tcPr>
          <w:p w14:paraId="7D561C7A"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c>
          <w:tcPr>
            <w:tcW w:w="0" w:type="auto"/>
            <w:tcBorders>
              <w:top w:val="nil"/>
              <w:left w:val="nil"/>
              <w:bottom w:val="single" w:sz="4" w:space="0" w:color="auto"/>
              <w:right w:val="nil"/>
            </w:tcBorders>
            <w:shd w:val="clear" w:color="000000" w:fill="FFE784"/>
            <w:noWrap/>
            <w:vAlign w:val="center"/>
            <w:hideMark/>
          </w:tcPr>
          <w:p w14:paraId="1089AAF2" w14:textId="77777777" w:rsidR="00E431D1" w:rsidRPr="008F5D99" w:rsidRDefault="00E431D1" w:rsidP="00E431D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w:t>
            </w:r>
          </w:p>
        </w:tc>
      </w:tr>
      <w:tr w:rsidR="00E431D1" w:rsidRPr="008F5D99" w14:paraId="771E16D5" w14:textId="77777777" w:rsidTr="008F2373">
        <w:trPr>
          <w:trHeight w:val="68"/>
          <w:jc w:val="center"/>
        </w:trPr>
        <w:tc>
          <w:tcPr>
            <w:tcW w:w="974" w:type="dxa"/>
            <w:tcBorders>
              <w:top w:val="nil"/>
              <w:left w:val="nil"/>
              <w:bottom w:val="single" w:sz="4" w:space="0" w:color="auto"/>
              <w:right w:val="nil"/>
            </w:tcBorders>
            <w:shd w:val="clear" w:color="000000" w:fill="D9D9D9"/>
            <w:noWrap/>
            <w:vAlign w:val="center"/>
            <w:hideMark/>
          </w:tcPr>
          <w:p w14:paraId="4AEDBF7E" w14:textId="77777777" w:rsidR="00E431D1" w:rsidRPr="008F5D99" w:rsidRDefault="00E431D1" w:rsidP="00E431D1">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 xml:space="preserve">Total </w:t>
            </w:r>
          </w:p>
        </w:tc>
        <w:tc>
          <w:tcPr>
            <w:tcW w:w="0" w:type="auto"/>
            <w:tcBorders>
              <w:top w:val="nil"/>
              <w:left w:val="nil"/>
              <w:bottom w:val="single" w:sz="4" w:space="0" w:color="auto"/>
              <w:right w:val="nil"/>
            </w:tcBorders>
            <w:shd w:val="clear" w:color="000000" w:fill="D9D9D9"/>
            <w:noWrap/>
            <w:vAlign w:val="center"/>
            <w:hideMark/>
          </w:tcPr>
          <w:p w14:paraId="33E27760"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15%</w:t>
            </w:r>
          </w:p>
        </w:tc>
        <w:tc>
          <w:tcPr>
            <w:tcW w:w="0" w:type="auto"/>
            <w:tcBorders>
              <w:top w:val="nil"/>
              <w:left w:val="nil"/>
              <w:bottom w:val="single" w:sz="4" w:space="0" w:color="auto"/>
              <w:right w:val="nil"/>
            </w:tcBorders>
            <w:shd w:val="clear" w:color="000000" w:fill="D9D9D9"/>
            <w:noWrap/>
            <w:vAlign w:val="center"/>
            <w:hideMark/>
          </w:tcPr>
          <w:p w14:paraId="75974B23"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12%</w:t>
            </w:r>
          </w:p>
        </w:tc>
        <w:tc>
          <w:tcPr>
            <w:tcW w:w="0" w:type="auto"/>
            <w:tcBorders>
              <w:top w:val="nil"/>
              <w:left w:val="nil"/>
              <w:bottom w:val="single" w:sz="4" w:space="0" w:color="auto"/>
              <w:right w:val="nil"/>
            </w:tcBorders>
            <w:shd w:val="clear" w:color="000000" w:fill="D9D9D9"/>
            <w:noWrap/>
            <w:vAlign w:val="center"/>
            <w:hideMark/>
          </w:tcPr>
          <w:p w14:paraId="31E91FA6"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6%</w:t>
            </w:r>
          </w:p>
        </w:tc>
        <w:tc>
          <w:tcPr>
            <w:tcW w:w="0" w:type="auto"/>
            <w:tcBorders>
              <w:top w:val="nil"/>
              <w:left w:val="nil"/>
              <w:bottom w:val="single" w:sz="4" w:space="0" w:color="auto"/>
              <w:right w:val="nil"/>
            </w:tcBorders>
            <w:shd w:val="clear" w:color="000000" w:fill="D9D9D9"/>
            <w:noWrap/>
            <w:vAlign w:val="center"/>
            <w:hideMark/>
          </w:tcPr>
          <w:p w14:paraId="2FFC5AE4"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13%</w:t>
            </w:r>
          </w:p>
        </w:tc>
        <w:tc>
          <w:tcPr>
            <w:tcW w:w="0" w:type="auto"/>
            <w:tcBorders>
              <w:top w:val="nil"/>
              <w:left w:val="nil"/>
              <w:bottom w:val="single" w:sz="4" w:space="0" w:color="auto"/>
              <w:right w:val="nil"/>
            </w:tcBorders>
            <w:shd w:val="clear" w:color="000000" w:fill="D9D9D9"/>
            <w:noWrap/>
            <w:vAlign w:val="center"/>
            <w:hideMark/>
          </w:tcPr>
          <w:p w14:paraId="3E5E850A"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11%</w:t>
            </w:r>
          </w:p>
        </w:tc>
        <w:tc>
          <w:tcPr>
            <w:tcW w:w="0" w:type="auto"/>
            <w:tcBorders>
              <w:top w:val="nil"/>
              <w:left w:val="nil"/>
              <w:bottom w:val="single" w:sz="4" w:space="0" w:color="auto"/>
              <w:right w:val="nil"/>
            </w:tcBorders>
            <w:shd w:val="clear" w:color="000000" w:fill="D9D9D9"/>
            <w:noWrap/>
            <w:vAlign w:val="center"/>
            <w:hideMark/>
          </w:tcPr>
          <w:p w14:paraId="5579621B"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8%</w:t>
            </w:r>
          </w:p>
        </w:tc>
        <w:tc>
          <w:tcPr>
            <w:tcW w:w="0" w:type="auto"/>
            <w:tcBorders>
              <w:top w:val="nil"/>
              <w:left w:val="nil"/>
              <w:bottom w:val="single" w:sz="4" w:space="0" w:color="auto"/>
              <w:right w:val="nil"/>
            </w:tcBorders>
            <w:shd w:val="clear" w:color="000000" w:fill="D9D9D9"/>
            <w:noWrap/>
            <w:vAlign w:val="center"/>
            <w:hideMark/>
          </w:tcPr>
          <w:p w14:paraId="2C2BE390"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5%</w:t>
            </w:r>
          </w:p>
        </w:tc>
        <w:tc>
          <w:tcPr>
            <w:tcW w:w="0" w:type="auto"/>
            <w:tcBorders>
              <w:top w:val="nil"/>
              <w:left w:val="nil"/>
              <w:bottom w:val="single" w:sz="4" w:space="0" w:color="auto"/>
              <w:right w:val="nil"/>
            </w:tcBorders>
            <w:shd w:val="clear" w:color="000000" w:fill="D9D9D9"/>
            <w:noWrap/>
            <w:vAlign w:val="center"/>
            <w:hideMark/>
          </w:tcPr>
          <w:p w14:paraId="45771F63"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12%</w:t>
            </w:r>
          </w:p>
        </w:tc>
        <w:tc>
          <w:tcPr>
            <w:tcW w:w="0" w:type="auto"/>
            <w:tcBorders>
              <w:top w:val="nil"/>
              <w:left w:val="nil"/>
              <w:bottom w:val="single" w:sz="4" w:space="0" w:color="auto"/>
              <w:right w:val="nil"/>
            </w:tcBorders>
            <w:shd w:val="clear" w:color="000000" w:fill="D9D9D9"/>
            <w:noWrap/>
            <w:vAlign w:val="center"/>
            <w:hideMark/>
          </w:tcPr>
          <w:p w14:paraId="01845DA2"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8%</w:t>
            </w:r>
          </w:p>
        </w:tc>
        <w:tc>
          <w:tcPr>
            <w:tcW w:w="0" w:type="auto"/>
            <w:tcBorders>
              <w:top w:val="nil"/>
              <w:left w:val="nil"/>
              <w:bottom w:val="single" w:sz="4" w:space="0" w:color="auto"/>
              <w:right w:val="nil"/>
            </w:tcBorders>
            <w:shd w:val="clear" w:color="000000" w:fill="D9D9D9"/>
            <w:noWrap/>
            <w:vAlign w:val="center"/>
            <w:hideMark/>
          </w:tcPr>
          <w:p w14:paraId="19E2C787"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3%</w:t>
            </w:r>
          </w:p>
        </w:tc>
        <w:tc>
          <w:tcPr>
            <w:tcW w:w="0" w:type="auto"/>
            <w:tcBorders>
              <w:top w:val="nil"/>
              <w:left w:val="nil"/>
              <w:bottom w:val="single" w:sz="4" w:space="0" w:color="auto"/>
              <w:right w:val="nil"/>
            </w:tcBorders>
            <w:shd w:val="clear" w:color="000000" w:fill="D9D9D9"/>
            <w:noWrap/>
            <w:vAlign w:val="center"/>
            <w:hideMark/>
          </w:tcPr>
          <w:p w14:paraId="2EC658D6"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9%</w:t>
            </w:r>
          </w:p>
        </w:tc>
        <w:tc>
          <w:tcPr>
            <w:tcW w:w="0" w:type="auto"/>
            <w:tcBorders>
              <w:top w:val="nil"/>
              <w:left w:val="nil"/>
              <w:bottom w:val="single" w:sz="4" w:space="0" w:color="auto"/>
              <w:right w:val="nil"/>
            </w:tcBorders>
            <w:shd w:val="clear" w:color="000000" w:fill="D9D9D9"/>
            <w:noWrap/>
            <w:vAlign w:val="center"/>
            <w:hideMark/>
          </w:tcPr>
          <w:p w14:paraId="2A22FCB5"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7%</w:t>
            </w:r>
          </w:p>
        </w:tc>
        <w:tc>
          <w:tcPr>
            <w:tcW w:w="0" w:type="auto"/>
            <w:tcBorders>
              <w:top w:val="nil"/>
              <w:left w:val="nil"/>
              <w:bottom w:val="single" w:sz="4" w:space="0" w:color="auto"/>
              <w:right w:val="nil"/>
            </w:tcBorders>
            <w:shd w:val="clear" w:color="000000" w:fill="D9D9D9"/>
            <w:noWrap/>
            <w:vAlign w:val="center"/>
            <w:hideMark/>
          </w:tcPr>
          <w:p w14:paraId="030CC565"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13%</w:t>
            </w:r>
          </w:p>
        </w:tc>
        <w:tc>
          <w:tcPr>
            <w:tcW w:w="0" w:type="auto"/>
            <w:tcBorders>
              <w:top w:val="nil"/>
              <w:left w:val="nil"/>
              <w:bottom w:val="single" w:sz="4" w:space="0" w:color="auto"/>
              <w:right w:val="nil"/>
            </w:tcBorders>
            <w:shd w:val="clear" w:color="000000" w:fill="D9D9D9"/>
            <w:noWrap/>
            <w:vAlign w:val="center"/>
            <w:hideMark/>
          </w:tcPr>
          <w:p w14:paraId="6861B118" w14:textId="77777777" w:rsidR="00E431D1" w:rsidRPr="008F5D99" w:rsidRDefault="00E431D1" w:rsidP="00E431D1">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15%</w:t>
            </w:r>
          </w:p>
        </w:tc>
      </w:tr>
    </w:tbl>
    <w:p w14:paraId="225E2E23" w14:textId="77777777" w:rsidR="00055084" w:rsidRPr="009B7058" w:rsidRDefault="00055084" w:rsidP="00C56F2E">
      <w:pPr>
        <w:spacing w:after="20" w:line="240" w:lineRule="auto"/>
        <w:ind w:left="142"/>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1517A93D"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Como se puede observar en la tabla anterior, sólo 1</w:t>
      </w:r>
      <w:r w:rsidR="00E431D1" w:rsidRPr="008F5D99">
        <w:rPr>
          <w:rFonts w:asciiTheme="majorHAnsi" w:hAnsiTheme="majorHAnsi" w:cstheme="minorHAnsi"/>
        </w:rPr>
        <w:t>5</w:t>
      </w:r>
      <w:r w:rsidRPr="008F5D99">
        <w:rPr>
          <w:rFonts w:asciiTheme="majorHAnsi" w:hAnsiTheme="majorHAnsi" w:cstheme="minorHAnsi"/>
        </w:rPr>
        <w:t xml:space="preserve"> de las inversiones de las entidades en títulos de deuda individual por emisor sobrepasa el 3% del activo administrado </w:t>
      </w:r>
      <w:r w:rsidR="000D1A49" w:rsidRPr="008F5D99">
        <w:rPr>
          <w:rFonts w:asciiTheme="majorHAnsi" w:hAnsiTheme="majorHAnsi" w:cstheme="minorHAnsi"/>
        </w:rPr>
        <w:t>de</w:t>
      </w:r>
      <w:r w:rsidRPr="008F5D99">
        <w:rPr>
          <w:rFonts w:asciiTheme="majorHAnsi" w:hAnsiTheme="majorHAnsi" w:cstheme="minorHAnsi"/>
        </w:rPr>
        <w:t xml:space="preserve"> cada entidad. </w:t>
      </w:r>
    </w:p>
    <w:p w14:paraId="1DA6542E" w14:textId="77777777" w:rsidR="00E431D1" w:rsidRPr="008F5D99" w:rsidRDefault="00E431D1" w:rsidP="00AB1521">
      <w:pPr>
        <w:spacing w:after="0" w:line="240" w:lineRule="auto"/>
        <w:jc w:val="both"/>
        <w:rPr>
          <w:rFonts w:asciiTheme="majorHAnsi" w:hAnsiTheme="majorHAnsi" w:cstheme="minorHAnsi"/>
        </w:rPr>
      </w:pPr>
    </w:p>
    <w:p w14:paraId="08F3BA11" w14:textId="77777777" w:rsidR="00AD327C" w:rsidRPr="008F5D99" w:rsidRDefault="00AD327C" w:rsidP="00AD327C">
      <w:pPr>
        <w:spacing w:after="0" w:line="240" w:lineRule="auto"/>
        <w:jc w:val="both"/>
        <w:rPr>
          <w:rFonts w:asciiTheme="majorHAnsi" w:hAnsiTheme="majorHAnsi" w:cstheme="minorHAnsi"/>
        </w:rPr>
      </w:pPr>
      <w:r w:rsidRPr="008F5D99">
        <w:rPr>
          <w:rFonts w:asciiTheme="majorHAnsi" w:hAnsiTheme="majorHAnsi" w:cstheme="minorHAnsi"/>
        </w:rPr>
        <w:t>Con relación al total de activos invertidos por fondo en instrumentos de deuda individual,</w:t>
      </w:r>
      <w:r w:rsidR="0014477C" w:rsidRPr="008F5D99">
        <w:rPr>
          <w:rFonts w:asciiTheme="majorHAnsi" w:hAnsiTheme="majorHAnsi" w:cstheme="minorHAnsi"/>
        </w:rPr>
        <w:t xml:space="preserve"> el 87% de estos recursos está concentrado siete entidades</w:t>
      </w:r>
      <w:r w:rsidRPr="008F5D99">
        <w:rPr>
          <w:rFonts w:asciiTheme="majorHAnsi" w:hAnsiTheme="majorHAnsi" w:cstheme="minorHAnsi"/>
        </w:rPr>
        <w:t xml:space="preserve">, </w:t>
      </w:r>
      <w:r w:rsidR="0014477C" w:rsidRPr="008F5D99">
        <w:rPr>
          <w:rFonts w:asciiTheme="majorHAnsi" w:hAnsiTheme="majorHAnsi" w:cstheme="minorHAnsi"/>
        </w:rPr>
        <w:t xml:space="preserve">el Fondo de Capitalización Colectiva del Magisterio Nacional con un 18%, Popular Pensiones y BN Vital cada una con un 15%, BCR </w:t>
      </w:r>
      <w:r w:rsidR="0014477C" w:rsidRPr="008F5D99">
        <w:rPr>
          <w:rFonts w:asciiTheme="majorHAnsi" w:hAnsiTheme="majorHAnsi" w:cstheme="minorHAnsi"/>
        </w:rPr>
        <w:lastRenderedPageBreak/>
        <w:t xml:space="preserve">Pensión con 13%, BAC SJ Pensiones y Vida Plena OPC cada una con 9% y el Fondo de Invalidez, Vejez y Muerte administrado por la CCSS con un 8%. </w:t>
      </w:r>
    </w:p>
    <w:p w14:paraId="3041E394" w14:textId="77777777" w:rsidR="00AD327C" w:rsidRPr="008F5D99" w:rsidRDefault="00AD327C" w:rsidP="00AD327C">
      <w:pPr>
        <w:spacing w:after="0" w:line="240" w:lineRule="auto"/>
        <w:jc w:val="both"/>
        <w:rPr>
          <w:rFonts w:asciiTheme="majorHAnsi" w:hAnsiTheme="majorHAnsi" w:cstheme="minorHAnsi"/>
        </w:rPr>
      </w:pPr>
    </w:p>
    <w:p w14:paraId="44D97725" w14:textId="77777777" w:rsidR="007D0BC7" w:rsidRPr="008F5D99" w:rsidRDefault="008A0E3E" w:rsidP="00AB1521">
      <w:pPr>
        <w:spacing w:after="0" w:line="240" w:lineRule="auto"/>
        <w:jc w:val="both"/>
        <w:rPr>
          <w:rFonts w:asciiTheme="majorHAnsi" w:hAnsiTheme="majorHAnsi" w:cstheme="minorHAnsi"/>
        </w:rPr>
      </w:pPr>
      <w:r w:rsidRPr="008F5D99">
        <w:rPr>
          <w:rFonts w:asciiTheme="majorHAnsi" w:hAnsiTheme="majorHAnsi" w:cstheme="minorHAnsi"/>
        </w:rPr>
        <w:t>Sobre las concentraciones por emisor, destacan los siguientes aspectos:</w:t>
      </w:r>
    </w:p>
    <w:p w14:paraId="5EFEEB82" w14:textId="77777777" w:rsidR="007D0BC7" w:rsidRPr="008F5D99" w:rsidRDefault="007D0BC7" w:rsidP="00AB1521">
      <w:pPr>
        <w:pStyle w:val="Prrafodelista"/>
        <w:numPr>
          <w:ilvl w:val="0"/>
          <w:numId w:val="10"/>
        </w:numPr>
        <w:spacing w:after="0" w:line="240" w:lineRule="auto"/>
        <w:jc w:val="both"/>
        <w:rPr>
          <w:rFonts w:asciiTheme="majorHAnsi" w:hAnsiTheme="majorHAnsi" w:cstheme="minorHAnsi"/>
          <w:sz w:val="22"/>
        </w:rPr>
      </w:pPr>
      <w:r w:rsidRPr="008F5D99">
        <w:rPr>
          <w:rFonts w:asciiTheme="majorHAnsi" w:hAnsiTheme="majorHAnsi" w:cstheme="minorHAnsi"/>
          <w:sz w:val="22"/>
        </w:rPr>
        <w:t xml:space="preserve">La inversión del </w:t>
      </w:r>
      <w:r w:rsidR="0014477C" w:rsidRPr="008F5D99">
        <w:rPr>
          <w:rFonts w:asciiTheme="majorHAnsi" w:hAnsiTheme="majorHAnsi" w:cstheme="minorHAnsi"/>
          <w:sz w:val="22"/>
        </w:rPr>
        <w:t>9</w:t>
      </w:r>
      <w:r w:rsidRPr="008F5D99">
        <w:rPr>
          <w:rFonts w:asciiTheme="majorHAnsi" w:hAnsiTheme="majorHAnsi" w:cstheme="minorHAnsi"/>
          <w:sz w:val="22"/>
        </w:rPr>
        <w:t xml:space="preserve">% del activo del Poder </w:t>
      </w:r>
      <w:r w:rsidR="0014477C" w:rsidRPr="008F5D99">
        <w:rPr>
          <w:rFonts w:asciiTheme="majorHAnsi" w:hAnsiTheme="majorHAnsi" w:cstheme="minorHAnsi"/>
          <w:sz w:val="22"/>
        </w:rPr>
        <w:t>J</w:t>
      </w:r>
      <w:r w:rsidRPr="008F5D99">
        <w:rPr>
          <w:rFonts w:asciiTheme="majorHAnsi" w:hAnsiTheme="majorHAnsi" w:cstheme="minorHAnsi"/>
          <w:sz w:val="22"/>
        </w:rPr>
        <w:t>udicial en títulos de deuda individual del BCR.</w:t>
      </w:r>
    </w:p>
    <w:p w14:paraId="225D5330" w14:textId="77777777" w:rsidR="007D0BC7" w:rsidRPr="008F5D99" w:rsidRDefault="007D0BC7" w:rsidP="00AB1521">
      <w:pPr>
        <w:pStyle w:val="Prrafodelista"/>
        <w:numPr>
          <w:ilvl w:val="0"/>
          <w:numId w:val="10"/>
        </w:numPr>
        <w:spacing w:after="0" w:line="240" w:lineRule="auto"/>
        <w:jc w:val="both"/>
        <w:rPr>
          <w:rFonts w:asciiTheme="majorHAnsi" w:hAnsiTheme="majorHAnsi" w:cstheme="minorHAnsi"/>
          <w:sz w:val="22"/>
        </w:rPr>
      </w:pPr>
      <w:r w:rsidRPr="008F5D99">
        <w:rPr>
          <w:rFonts w:asciiTheme="majorHAnsi" w:hAnsiTheme="majorHAnsi" w:cstheme="minorHAnsi"/>
          <w:sz w:val="22"/>
        </w:rPr>
        <w:t xml:space="preserve">La inversión del </w:t>
      </w:r>
      <w:r w:rsidR="0014477C" w:rsidRPr="008F5D99">
        <w:rPr>
          <w:rFonts w:asciiTheme="majorHAnsi" w:hAnsiTheme="majorHAnsi" w:cstheme="minorHAnsi"/>
          <w:sz w:val="22"/>
        </w:rPr>
        <w:t>5</w:t>
      </w:r>
      <w:r w:rsidRPr="008F5D99">
        <w:rPr>
          <w:rFonts w:asciiTheme="majorHAnsi" w:hAnsiTheme="majorHAnsi" w:cstheme="minorHAnsi"/>
          <w:sz w:val="22"/>
        </w:rPr>
        <w:t>% del activo del Fondo de Empleados d</w:t>
      </w:r>
      <w:r w:rsidR="0014477C" w:rsidRPr="008F5D99">
        <w:rPr>
          <w:rFonts w:asciiTheme="majorHAnsi" w:hAnsiTheme="majorHAnsi" w:cstheme="minorHAnsi"/>
          <w:sz w:val="22"/>
        </w:rPr>
        <w:t xml:space="preserve">el BNCR </w:t>
      </w:r>
      <w:r w:rsidRPr="008F5D99">
        <w:rPr>
          <w:rFonts w:asciiTheme="majorHAnsi" w:hAnsiTheme="majorHAnsi" w:cstheme="minorHAnsi"/>
          <w:sz w:val="22"/>
        </w:rPr>
        <w:t xml:space="preserve">en títulos de deuda individual del </w:t>
      </w:r>
      <w:r w:rsidR="0014477C" w:rsidRPr="008F5D99">
        <w:rPr>
          <w:rFonts w:asciiTheme="majorHAnsi" w:hAnsiTheme="majorHAnsi" w:cstheme="minorHAnsi"/>
          <w:sz w:val="22"/>
        </w:rPr>
        <w:t>BCR y el 4% que está misma entidad tiene en BPDC</w:t>
      </w:r>
      <w:r w:rsidRPr="008F5D99">
        <w:rPr>
          <w:rFonts w:asciiTheme="majorHAnsi" w:hAnsiTheme="majorHAnsi" w:cstheme="minorHAnsi"/>
          <w:sz w:val="22"/>
        </w:rPr>
        <w:t>.</w:t>
      </w:r>
    </w:p>
    <w:p w14:paraId="410D2519" w14:textId="77777777" w:rsidR="007D0BC7" w:rsidRPr="008F5D99" w:rsidRDefault="007D0BC7" w:rsidP="00AB1521">
      <w:pPr>
        <w:pStyle w:val="Prrafodelista"/>
        <w:numPr>
          <w:ilvl w:val="0"/>
          <w:numId w:val="10"/>
        </w:numPr>
        <w:spacing w:after="0" w:line="240" w:lineRule="auto"/>
        <w:jc w:val="both"/>
        <w:rPr>
          <w:rFonts w:asciiTheme="majorHAnsi" w:hAnsiTheme="majorHAnsi" w:cstheme="minorHAnsi"/>
          <w:sz w:val="22"/>
        </w:rPr>
      </w:pPr>
      <w:r w:rsidRPr="008F5D99">
        <w:rPr>
          <w:rFonts w:asciiTheme="majorHAnsi" w:hAnsiTheme="majorHAnsi" w:cstheme="minorHAnsi"/>
          <w:sz w:val="22"/>
        </w:rPr>
        <w:t xml:space="preserve">La inversión del </w:t>
      </w:r>
      <w:r w:rsidR="0014477C" w:rsidRPr="008F5D99">
        <w:rPr>
          <w:rFonts w:asciiTheme="majorHAnsi" w:hAnsiTheme="majorHAnsi" w:cstheme="minorHAnsi"/>
          <w:sz w:val="22"/>
        </w:rPr>
        <w:t>4</w:t>
      </w:r>
      <w:r w:rsidRPr="008F5D99">
        <w:rPr>
          <w:rFonts w:asciiTheme="majorHAnsi" w:hAnsiTheme="majorHAnsi" w:cstheme="minorHAnsi"/>
          <w:sz w:val="22"/>
        </w:rPr>
        <w:t xml:space="preserve">% del activo de </w:t>
      </w:r>
      <w:r w:rsidR="000D1A49" w:rsidRPr="008F5D99">
        <w:rPr>
          <w:rFonts w:asciiTheme="majorHAnsi" w:hAnsiTheme="majorHAnsi" w:cstheme="minorHAnsi"/>
          <w:sz w:val="22"/>
        </w:rPr>
        <w:t xml:space="preserve">BAC </w:t>
      </w:r>
      <w:r w:rsidRPr="008F5D99">
        <w:rPr>
          <w:rFonts w:asciiTheme="majorHAnsi" w:hAnsiTheme="majorHAnsi" w:cstheme="minorHAnsi"/>
          <w:sz w:val="22"/>
        </w:rPr>
        <w:t>SJ-Pensiones</w:t>
      </w:r>
      <w:r w:rsidR="0014477C" w:rsidRPr="008F5D99">
        <w:rPr>
          <w:rFonts w:asciiTheme="majorHAnsi" w:hAnsiTheme="majorHAnsi" w:cstheme="minorHAnsi"/>
          <w:sz w:val="22"/>
        </w:rPr>
        <w:t xml:space="preserve"> y del activo BCR Pensión</w:t>
      </w:r>
      <w:r w:rsidRPr="008F5D99">
        <w:rPr>
          <w:rFonts w:asciiTheme="majorHAnsi" w:hAnsiTheme="majorHAnsi" w:cstheme="minorHAnsi"/>
          <w:sz w:val="22"/>
        </w:rPr>
        <w:t xml:space="preserve"> en títulos de deuda individual del BNCR.</w:t>
      </w:r>
    </w:p>
    <w:p w14:paraId="59A6E948" w14:textId="77777777" w:rsidR="007D0BC7" w:rsidRPr="008F5D99" w:rsidRDefault="007D0BC7" w:rsidP="00AB1521">
      <w:pPr>
        <w:pStyle w:val="Prrafodelista"/>
        <w:numPr>
          <w:ilvl w:val="0"/>
          <w:numId w:val="10"/>
        </w:numPr>
        <w:spacing w:after="0" w:line="240" w:lineRule="auto"/>
        <w:jc w:val="both"/>
        <w:rPr>
          <w:rFonts w:asciiTheme="majorHAnsi" w:hAnsiTheme="majorHAnsi" w:cstheme="minorHAnsi"/>
          <w:sz w:val="22"/>
        </w:rPr>
      </w:pPr>
      <w:r w:rsidRPr="008F5D99">
        <w:rPr>
          <w:rFonts w:asciiTheme="majorHAnsi" w:hAnsiTheme="majorHAnsi" w:cstheme="minorHAnsi"/>
          <w:sz w:val="22"/>
        </w:rPr>
        <w:t xml:space="preserve">La inversión </w:t>
      </w:r>
      <w:r w:rsidR="000D1A49" w:rsidRPr="008F5D99">
        <w:rPr>
          <w:rFonts w:asciiTheme="majorHAnsi" w:hAnsiTheme="majorHAnsi" w:cstheme="minorHAnsi"/>
          <w:sz w:val="22"/>
        </w:rPr>
        <w:t xml:space="preserve">del </w:t>
      </w:r>
      <w:r w:rsidR="0014477C" w:rsidRPr="008F5D99">
        <w:rPr>
          <w:rFonts w:asciiTheme="majorHAnsi" w:hAnsiTheme="majorHAnsi" w:cstheme="minorHAnsi"/>
          <w:sz w:val="22"/>
        </w:rPr>
        <w:t>4</w:t>
      </w:r>
      <w:r w:rsidR="000D1A49" w:rsidRPr="008F5D99">
        <w:rPr>
          <w:rFonts w:asciiTheme="majorHAnsi" w:hAnsiTheme="majorHAnsi" w:cstheme="minorHAnsi"/>
          <w:sz w:val="22"/>
        </w:rPr>
        <w:t>% del activo del F</w:t>
      </w:r>
      <w:r w:rsidR="008A0E3E" w:rsidRPr="008F5D99">
        <w:rPr>
          <w:rFonts w:asciiTheme="majorHAnsi" w:hAnsiTheme="majorHAnsi" w:cstheme="minorHAnsi"/>
          <w:sz w:val="22"/>
        </w:rPr>
        <w:t xml:space="preserve">ondo de </w:t>
      </w:r>
      <w:r w:rsidR="0014477C" w:rsidRPr="008F5D99">
        <w:rPr>
          <w:rFonts w:asciiTheme="majorHAnsi" w:hAnsiTheme="majorHAnsi" w:cstheme="minorHAnsi"/>
          <w:sz w:val="22"/>
        </w:rPr>
        <w:t>Vendedores de Lotería</w:t>
      </w:r>
      <w:r w:rsidRPr="008F5D99">
        <w:rPr>
          <w:rFonts w:asciiTheme="majorHAnsi" w:hAnsiTheme="majorHAnsi" w:cstheme="minorHAnsi"/>
          <w:sz w:val="22"/>
        </w:rPr>
        <w:t xml:space="preserve"> en títulos de deuda individual del M</w:t>
      </w:r>
      <w:r w:rsidR="0014477C" w:rsidRPr="008F5D99">
        <w:rPr>
          <w:rFonts w:asciiTheme="majorHAnsi" w:hAnsiTheme="majorHAnsi" w:cstheme="minorHAnsi"/>
          <w:sz w:val="22"/>
        </w:rPr>
        <w:t>UCAP</w:t>
      </w:r>
      <w:r w:rsidRPr="008F5D99">
        <w:rPr>
          <w:rFonts w:asciiTheme="majorHAnsi" w:hAnsiTheme="majorHAnsi" w:cstheme="minorHAnsi"/>
          <w:sz w:val="22"/>
        </w:rPr>
        <w:t>.</w:t>
      </w:r>
    </w:p>
    <w:p w14:paraId="722B00AE" w14:textId="77777777" w:rsidR="0014477C" w:rsidRPr="008F5D99" w:rsidRDefault="0014477C" w:rsidP="0014477C">
      <w:pPr>
        <w:spacing w:after="0" w:line="240" w:lineRule="auto"/>
        <w:jc w:val="both"/>
        <w:rPr>
          <w:rFonts w:asciiTheme="majorHAnsi" w:hAnsiTheme="majorHAnsi" w:cstheme="minorHAnsi"/>
        </w:rPr>
      </w:pPr>
    </w:p>
    <w:p w14:paraId="3A157B1C" w14:textId="1F3B2984" w:rsidR="00BD22B3" w:rsidRPr="008F5D99" w:rsidRDefault="0033676D" w:rsidP="0033676D">
      <w:pPr>
        <w:spacing w:after="0" w:line="240" w:lineRule="auto"/>
        <w:jc w:val="center"/>
        <w:rPr>
          <w:rFonts w:asciiTheme="majorHAnsi" w:hAnsiTheme="majorHAnsi" w:cstheme="minorHAnsi"/>
        </w:rPr>
      </w:pPr>
      <w:r w:rsidRPr="0033676D">
        <w:rPr>
          <w:rFonts w:asciiTheme="majorHAnsi" w:hAnsiTheme="majorHAnsi" w:cstheme="minorHAnsi"/>
        </w:rPr>
        <w:t xml:space="preserve">Cuadro </w:t>
      </w:r>
      <w:r w:rsidRPr="0033676D">
        <w:rPr>
          <w:rFonts w:asciiTheme="majorHAnsi" w:hAnsiTheme="majorHAnsi" w:cstheme="minorHAnsi"/>
        </w:rPr>
        <w:fldChar w:fldCharType="begin"/>
      </w:r>
      <w:r w:rsidRPr="0033676D">
        <w:rPr>
          <w:rFonts w:asciiTheme="majorHAnsi" w:hAnsiTheme="majorHAnsi" w:cstheme="minorHAnsi"/>
        </w:rPr>
        <w:instrText xml:space="preserve"> SEQ Cuadro \* ARABIC </w:instrText>
      </w:r>
      <w:r w:rsidRPr="0033676D">
        <w:rPr>
          <w:rFonts w:asciiTheme="majorHAnsi" w:hAnsiTheme="majorHAnsi" w:cstheme="minorHAnsi"/>
        </w:rPr>
        <w:fldChar w:fldCharType="separate"/>
      </w:r>
      <w:r w:rsidR="00F7428D">
        <w:rPr>
          <w:rFonts w:asciiTheme="majorHAnsi" w:hAnsiTheme="majorHAnsi" w:cstheme="minorHAnsi"/>
          <w:noProof/>
        </w:rPr>
        <w:t>10</w:t>
      </w:r>
      <w:r w:rsidRPr="0033676D">
        <w:rPr>
          <w:rFonts w:asciiTheme="majorHAnsi" w:hAnsiTheme="majorHAnsi" w:cstheme="minorHAnsi"/>
        </w:rPr>
        <w:fldChar w:fldCharType="end"/>
      </w:r>
    </w:p>
    <w:p w14:paraId="1AC2AF8D"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 xml:space="preserve">Concentración en deuda individual </w:t>
      </w:r>
      <w:r w:rsidR="007A1517" w:rsidRPr="008F5D99">
        <w:rPr>
          <w:rFonts w:asciiTheme="majorHAnsi" w:hAnsiTheme="majorHAnsi" w:cstheme="minorHAnsi"/>
        </w:rPr>
        <w:t xml:space="preserve">pensiones </w:t>
      </w:r>
    </w:p>
    <w:p w14:paraId="4B2B949D" w14:textId="77777777" w:rsidR="007D0BC7" w:rsidRPr="00D51A25" w:rsidRDefault="00955F51" w:rsidP="00AB1521">
      <w:pPr>
        <w:spacing w:after="0" w:line="240" w:lineRule="auto"/>
        <w:jc w:val="center"/>
        <w:rPr>
          <w:rFonts w:asciiTheme="majorHAnsi" w:hAnsiTheme="majorHAnsi" w:cstheme="minorHAnsi"/>
        </w:rPr>
      </w:pPr>
      <w:r>
        <w:rPr>
          <w:rFonts w:asciiTheme="majorHAnsi" w:hAnsiTheme="majorHAnsi" w:cstheme="minorHAnsi"/>
        </w:rPr>
        <w:t xml:space="preserve">Como </w:t>
      </w:r>
      <w:r w:rsidR="007D0BC7" w:rsidRPr="00D51A25">
        <w:rPr>
          <w:rFonts w:asciiTheme="majorHAnsi" w:hAnsiTheme="majorHAnsi" w:cstheme="minorHAnsi"/>
        </w:rPr>
        <w:t xml:space="preserve">porcentaje </w:t>
      </w:r>
      <w:r>
        <w:rPr>
          <w:rFonts w:asciiTheme="majorHAnsi" w:hAnsiTheme="majorHAnsi" w:cstheme="minorHAnsi"/>
        </w:rPr>
        <w:t>d</w:t>
      </w:r>
      <w:r w:rsidR="007D0BC7" w:rsidRPr="00D51A25">
        <w:rPr>
          <w:rFonts w:asciiTheme="majorHAnsi" w:hAnsiTheme="majorHAnsi" w:cstheme="minorHAnsi"/>
        </w:rPr>
        <w:t>el pasivo total</w:t>
      </w:r>
      <w:r>
        <w:rPr>
          <w:rFonts w:asciiTheme="majorHAnsi" w:hAnsiTheme="majorHAnsi" w:cstheme="minorHAnsi"/>
        </w:rPr>
        <w:t xml:space="preserve"> y las captaciones a plazo con el público</w:t>
      </w:r>
    </w:p>
    <w:p w14:paraId="4BDEACFF" w14:textId="77777777" w:rsidR="00D51A25" w:rsidRPr="00D51A25" w:rsidRDefault="00D51A25" w:rsidP="00AB1521">
      <w:pPr>
        <w:spacing w:after="0" w:line="240" w:lineRule="auto"/>
        <w:jc w:val="center"/>
        <w:rPr>
          <w:rFonts w:asciiTheme="majorHAnsi" w:hAnsiTheme="majorHAnsi" w:cstheme="minorHAnsi"/>
        </w:rPr>
      </w:pPr>
      <w:r w:rsidRPr="00D51A25">
        <w:rPr>
          <w:rFonts w:asciiTheme="majorHAnsi" w:hAnsiTheme="majorHAnsi" w:cstheme="minorHAnsi"/>
        </w:rPr>
        <w:t>Al 31 de diciembre 2018</w:t>
      </w:r>
    </w:p>
    <w:p w14:paraId="42C6D796" w14:textId="77777777" w:rsidR="007F71E4" w:rsidRPr="008F5D99" w:rsidRDefault="007F71E4" w:rsidP="00AB1521">
      <w:pPr>
        <w:spacing w:after="0" w:line="240" w:lineRule="auto"/>
        <w:jc w:val="center"/>
        <w:rPr>
          <w:rFonts w:asciiTheme="majorHAnsi" w:hAnsiTheme="majorHAnsi" w:cstheme="minorHAnsi"/>
          <w:sz w:val="18"/>
        </w:rPr>
      </w:pPr>
      <w:r w:rsidRPr="007F71E4">
        <w:rPr>
          <w:noProof/>
        </w:rPr>
        <w:drawing>
          <wp:inline distT="0" distB="0" distL="0" distR="0" wp14:anchorId="61B14603" wp14:editId="07777777">
            <wp:extent cx="4714875" cy="35132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8451" cy="3515888"/>
                    </a:xfrm>
                    <a:prstGeom prst="rect">
                      <a:avLst/>
                    </a:prstGeom>
                    <a:noFill/>
                    <a:ln>
                      <a:noFill/>
                    </a:ln>
                  </pic:spPr>
                </pic:pic>
              </a:graphicData>
            </a:graphic>
          </wp:inline>
        </w:drawing>
      </w:r>
    </w:p>
    <w:p w14:paraId="19A03AC2" w14:textId="003DD687" w:rsidR="00055084" w:rsidRPr="009B7058" w:rsidRDefault="3373A143" w:rsidP="003C289E">
      <w:pPr>
        <w:spacing w:after="20" w:line="240" w:lineRule="auto"/>
        <w:ind w:left="709" w:right="758"/>
        <w:jc w:val="both"/>
        <w:rPr>
          <w:rFonts w:asciiTheme="majorHAnsi" w:hAnsiTheme="majorHAnsi" w:cstheme="minorHAnsi"/>
          <w:sz w:val="20"/>
          <w:lang w:val="es-CR"/>
        </w:rPr>
      </w:pPr>
      <w:r w:rsidRPr="009B7058">
        <w:rPr>
          <w:rFonts w:asciiTheme="majorHAnsi" w:hAnsiTheme="majorHAnsi"/>
          <w:sz w:val="20"/>
        </w:rPr>
        <w:t xml:space="preserve">Fuente: Elaboración </w:t>
      </w:r>
      <w:r w:rsidRPr="009B7058">
        <w:rPr>
          <w:rFonts w:asciiTheme="majorHAnsi" w:hAnsiTheme="majorHAnsi"/>
          <w:sz w:val="20"/>
          <w:lang w:val="es-CR"/>
        </w:rPr>
        <w:t>propia con datos suministrados por las entidades</w:t>
      </w:r>
      <w:r w:rsidR="00596ABA" w:rsidRPr="009B7058">
        <w:rPr>
          <w:rFonts w:asciiTheme="majorHAnsi" w:hAnsiTheme="majorHAnsi"/>
          <w:sz w:val="20"/>
          <w:lang w:val="es-CR"/>
        </w:rPr>
        <w:t xml:space="preserve">  </w:t>
      </w:r>
    </w:p>
    <w:p w14:paraId="0E7EC6D9" w14:textId="7FE2E052" w:rsidR="3373A143" w:rsidRPr="009B7058" w:rsidRDefault="003C289E" w:rsidP="003C289E">
      <w:pPr>
        <w:spacing w:after="20" w:line="240" w:lineRule="auto"/>
        <w:ind w:left="709" w:right="758"/>
        <w:jc w:val="both"/>
        <w:rPr>
          <w:rFonts w:asciiTheme="majorHAnsi" w:hAnsiTheme="majorHAnsi"/>
          <w:sz w:val="20"/>
          <w:lang w:val="es-CR"/>
        </w:rPr>
      </w:pPr>
      <w:r w:rsidRPr="00AB6CEA">
        <w:rPr>
          <w:rFonts w:asciiTheme="majorHAnsi" w:hAnsiTheme="majorHAnsi"/>
          <w:sz w:val="20"/>
          <w:lang w:val="es-CR"/>
        </w:rPr>
        <w:t>Los datos de pasivo total y captaciones a plazo con el público fueron tomados de</w:t>
      </w:r>
      <w:r w:rsidR="00421D90" w:rsidRPr="00AB6CEA">
        <w:rPr>
          <w:rFonts w:asciiTheme="majorHAnsi" w:hAnsiTheme="majorHAnsi"/>
          <w:sz w:val="20"/>
          <w:lang w:val="es-CR"/>
        </w:rPr>
        <w:t xml:space="preserve"> </w:t>
      </w:r>
      <w:r w:rsidR="00B45DA6" w:rsidRPr="00AB6CEA">
        <w:rPr>
          <w:rFonts w:asciiTheme="majorHAnsi" w:hAnsiTheme="majorHAnsi"/>
          <w:sz w:val="20"/>
          <w:lang w:val="es-CR"/>
        </w:rPr>
        <w:t>l</w:t>
      </w:r>
      <w:r w:rsidR="00421D90" w:rsidRPr="00AB6CEA">
        <w:rPr>
          <w:rFonts w:asciiTheme="majorHAnsi" w:hAnsiTheme="majorHAnsi"/>
          <w:sz w:val="20"/>
          <w:lang w:val="es-CR"/>
        </w:rPr>
        <w:t>a</w:t>
      </w:r>
      <w:r w:rsidR="00B45DA6" w:rsidRPr="00AB6CEA">
        <w:rPr>
          <w:rFonts w:asciiTheme="majorHAnsi" w:hAnsiTheme="majorHAnsi"/>
          <w:sz w:val="20"/>
          <w:lang w:val="es-CR"/>
        </w:rPr>
        <w:t xml:space="preserve"> </w:t>
      </w:r>
      <w:r w:rsidR="00421D90" w:rsidRPr="00AB6CEA">
        <w:rPr>
          <w:rFonts w:asciiTheme="majorHAnsi" w:hAnsiTheme="majorHAnsi"/>
          <w:sz w:val="20"/>
          <w:lang w:val="es-CR"/>
        </w:rPr>
        <w:t xml:space="preserve">Información Financiera Contable </w:t>
      </w:r>
      <w:r w:rsidR="00B45DA6" w:rsidRPr="00AB6CEA">
        <w:rPr>
          <w:rFonts w:asciiTheme="majorHAnsi" w:hAnsiTheme="majorHAnsi"/>
          <w:sz w:val="20"/>
          <w:lang w:val="es-CR"/>
        </w:rPr>
        <w:t>publicad</w:t>
      </w:r>
      <w:r w:rsidR="00421D90" w:rsidRPr="00AB6CEA">
        <w:rPr>
          <w:rFonts w:asciiTheme="majorHAnsi" w:hAnsiTheme="majorHAnsi"/>
          <w:sz w:val="20"/>
          <w:lang w:val="es-CR"/>
        </w:rPr>
        <w:t>a</w:t>
      </w:r>
      <w:r w:rsidR="00B45DA6" w:rsidRPr="00AB6CEA">
        <w:rPr>
          <w:rFonts w:asciiTheme="majorHAnsi" w:hAnsiTheme="majorHAnsi"/>
          <w:sz w:val="20"/>
          <w:lang w:val="es-CR"/>
        </w:rPr>
        <w:t xml:space="preserve"> en la p</w:t>
      </w:r>
      <w:r w:rsidR="00421D90" w:rsidRPr="00AB6CEA">
        <w:rPr>
          <w:rFonts w:asciiTheme="majorHAnsi" w:hAnsiTheme="majorHAnsi"/>
          <w:sz w:val="20"/>
          <w:lang w:val="es-CR"/>
        </w:rPr>
        <w:t>á</w:t>
      </w:r>
      <w:r w:rsidR="00B45DA6" w:rsidRPr="00AB6CEA">
        <w:rPr>
          <w:rFonts w:asciiTheme="majorHAnsi" w:hAnsiTheme="majorHAnsi"/>
          <w:sz w:val="20"/>
          <w:lang w:val="es-CR"/>
        </w:rPr>
        <w:t>gina Web de SUGEF</w:t>
      </w:r>
      <w:r w:rsidR="00421D90" w:rsidRPr="00AB6CEA">
        <w:rPr>
          <w:rFonts w:asciiTheme="majorHAnsi" w:hAnsiTheme="majorHAnsi"/>
          <w:sz w:val="20"/>
          <w:lang w:val="es-CR"/>
        </w:rPr>
        <w:t>.</w:t>
      </w:r>
    </w:p>
    <w:p w14:paraId="6E1831B3" w14:textId="77777777" w:rsidR="00055084" w:rsidRPr="008F5D99" w:rsidRDefault="00055084" w:rsidP="00055084">
      <w:pPr>
        <w:spacing w:after="0" w:line="240" w:lineRule="auto"/>
        <w:jc w:val="center"/>
        <w:rPr>
          <w:rFonts w:asciiTheme="majorHAnsi" w:hAnsiTheme="majorHAnsi" w:cstheme="minorHAnsi"/>
          <w:lang w:val="es-CR"/>
        </w:rPr>
      </w:pPr>
    </w:p>
    <w:p w14:paraId="004C91B0"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Se ob</w:t>
      </w:r>
      <w:r w:rsidR="00316569" w:rsidRPr="008F5D99">
        <w:rPr>
          <w:rFonts w:asciiTheme="majorHAnsi" w:hAnsiTheme="majorHAnsi" w:cstheme="minorHAnsi"/>
        </w:rPr>
        <w:t>serva</w:t>
      </w:r>
      <w:r w:rsidRPr="008F5D99">
        <w:rPr>
          <w:rFonts w:asciiTheme="majorHAnsi" w:hAnsiTheme="majorHAnsi" w:cstheme="minorHAnsi"/>
        </w:rPr>
        <w:t xml:space="preserve"> que </w:t>
      </w:r>
      <w:r w:rsidR="00055084" w:rsidRPr="008F5D99">
        <w:rPr>
          <w:rFonts w:asciiTheme="majorHAnsi" w:hAnsiTheme="majorHAnsi" w:cstheme="minorHAnsi"/>
        </w:rPr>
        <w:t>para seis</w:t>
      </w:r>
      <w:r w:rsidRPr="008F5D99">
        <w:rPr>
          <w:rFonts w:asciiTheme="majorHAnsi" w:hAnsiTheme="majorHAnsi" w:cstheme="minorHAnsi"/>
        </w:rPr>
        <w:t xml:space="preserve"> entidades financieras la concentración en deuda individual en el sector pensiones representa más del 1</w:t>
      </w:r>
      <w:r w:rsidR="00055084" w:rsidRPr="008F5D99">
        <w:rPr>
          <w:rFonts w:asciiTheme="majorHAnsi" w:hAnsiTheme="majorHAnsi" w:cstheme="minorHAnsi"/>
        </w:rPr>
        <w:t>0</w:t>
      </w:r>
      <w:r w:rsidRPr="008F5D99">
        <w:rPr>
          <w:rFonts w:asciiTheme="majorHAnsi" w:hAnsiTheme="majorHAnsi" w:cstheme="minorHAnsi"/>
        </w:rPr>
        <w:t xml:space="preserve">% de su pasivo total: </w:t>
      </w:r>
      <w:proofErr w:type="spellStart"/>
      <w:r w:rsidRPr="008F5D99">
        <w:rPr>
          <w:rFonts w:asciiTheme="majorHAnsi" w:hAnsiTheme="majorHAnsi" w:cstheme="minorHAnsi"/>
        </w:rPr>
        <w:t>Prival</w:t>
      </w:r>
      <w:proofErr w:type="spellEnd"/>
      <w:r w:rsidRPr="008F5D99">
        <w:rPr>
          <w:rFonts w:asciiTheme="majorHAnsi" w:hAnsiTheme="majorHAnsi" w:cstheme="minorHAnsi"/>
        </w:rPr>
        <w:t xml:space="preserve"> Bank Costa Rica, </w:t>
      </w:r>
      <w:r w:rsidR="00055084" w:rsidRPr="008F5D99">
        <w:rPr>
          <w:rFonts w:asciiTheme="majorHAnsi" w:hAnsiTheme="majorHAnsi" w:cstheme="minorHAnsi"/>
        </w:rPr>
        <w:t xml:space="preserve">Banco Hipotecario de la Vivienda, Grupo Mutual Alajuela - La Vivienda de Ahorro y Préstamo, </w:t>
      </w:r>
      <w:r w:rsidRPr="008F5D99">
        <w:rPr>
          <w:rFonts w:asciiTheme="majorHAnsi" w:hAnsiTheme="majorHAnsi" w:cstheme="minorHAnsi"/>
        </w:rPr>
        <w:t xml:space="preserve">Mutual Cartago de Ahorro y Préstamo, Banco Improsa y </w:t>
      </w:r>
      <w:r w:rsidR="00055084" w:rsidRPr="008F5D99">
        <w:rPr>
          <w:rFonts w:asciiTheme="majorHAnsi" w:hAnsiTheme="majorHAnsi" w:cstheme="minorHAnsi"/>
        </w:rPr>
        <w:t>Banco Promerica</w:t>
      </w:r>
      <w:r w:rsidRPr="008F5D99">
        <w:rPr>
          <w:rFonts w:asciiTheme="majorHAnsi" w:hAnsiTheme="majorHAnsi" w:cstheme="minorHAnsi"/>
        </w:rPr>
        <w:t>.</w:t>
      </w:r>
    </w:p>
    <w:p w14:paraId="54E11D2A" w14:textId="77777777" w:rsidR="007D0BC7" w:rsidRPr="008F5D99" w:rsidRDefault="007D0BC7" w:rsidP="00AB1521">
      <w:pPr>
        <w:spacing w:after="0" w:line="240" w:lineRule="auto"/>
        <w:jc w:val="both"/>
        <w:rPr>
          <w:rFonts w:asciiTheme="majorHAnsi" w:hAnsiTheme="majorHAnsi" w:cstheme="minorHAnsi"/>
        </w:rPr>
      </w:pPr>
    </w:p>
    <w:p w14:paraId="5F4419D7"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 xml:space="preserve">Por otro lado, hay </w:t>
      </w:r>
      <w:r w:rsidR="00055084" w:rsidRPr="008F5D99">
        <w:rPr>
          <w:rFonts w:asciiTheme="majorHAnsi" w:hAnsiTheme="majorHAnsi" w:cstheme="minorHAnsi"/>
        </w:rPr>
        <w:t>diez</w:t>
      </w:r>
      <w:r w:rsidRPr="008F5D99">
        <w:rPr>
          <w:rFonts w:asciiTheme="majorHAnsi" w:hAnsiTheme="majorHAnsi" w:cstheme="minorHAnsi"/>
        </w:rPr>
        <w:t xml:space="preserve"> entidades financieras donde la concentración en deuda individual en el sector pensiones representa más del 1</w:t>
      </w:r>
      <w:r w:rsidR="00055084" w:rsidRPr="008F5D99">
        <w:rPr>
          <w:rFonts w:asciiTheme="majorHAnsi" w:hAnsiTheme="majorHAnsi" w:cstheme="minorHAnsi"/>
        </w:rPr>
        <w:t>0</w:t>
      </w:r>
      <w:r w:rsidRPr="008F5D99">
        <w:rPr>
          <w:rFonts w:asciiTheme="majorHAnsi" w:hAnsiTheme="majorHAnsi" w:cstheme="minorHAnsi"/>
        </w:rPr>
        <w:t>% de la cuenta de captaciones a plazo con el público.</w:t>
      </w:r>
    </w:p>
    <w:p w14:paraId="31126E5D" w14:textId="77777777" w:rsidR="007D0BC7" w:rsidRPr="008F5D99" w:rsidRDefault="007D0BC7" w:rsidP="00AB1521">
      <w:pPr>
        <w:spacing w:after="0" w:line="240" w:lineRule="auto"/>
        <w:jc w:val="both"/>
        <w:rPr>
          <w:rFonts w:asciiTheme="majorHAnsi" w:hAnsiTheme="majorHAnsi" w:cstheme="minorHAnsi"/>
        </w:rPr>
      </w:pPr>
    </w:p>
    <w:p w14:paraId="673A18BE" w14:textId="77777777" w:rsidR="00055084" w:rsidRDefault="00736B67" w:rsidP="00736B67">
      <w:pPr>
        <w:pStyle w:val="Ttulo2"/>
        <w:rPr>
          <w:rFonts w:cstheme="minorHAnsi"/>
        </w:rPr>
      </w:pPr>
      <w:r w:rsidRPr="008F5D99">
        <w:rPr>
          <w:rFonts w:cstheme="minorHAnsi"/>
        </w:rPr>
        <w:lastRenderedPageBreak/>
        <w:t>Régimen obligatorio de pensiones Complementario (ROP)</w:t>
      </w:r>
    </w:p>
    <w:p w14:paraId="2DE403A5" w14:textId="77777777" w:rsidR="00695F60" w:rsidRDefault="00695F60" w:rsidP="00695F60">
      <w:pPr>
        <w:spacing w:after="0" w:line="240" w:lineRule="auto"/>
        <w:jc w:val="both"/>
        <w:rPr>
          <w:rFonts w:asciiTheme="majorHAnsi" w:hAnsiTheme="majorHAnsi" w:cstheme="minorHAnsi"/>
          <w:b/>
        </w:rPr>
      </w:pPr>
    </w:p>
    <w:p w14:paraId="5FCE8149" w14:textId="77777777" w:rsidR="00F76E5A" w:rsidRPr="00F76E5A" w:rsidRDefault="00F76E5A" w:rsidP="00F76E5A">
      <w:pPr>
        <w:rPr>
          <w:rFonts w:asciiTheme="majorHAnsi" w:hAnsiTheme="majorHAnsi" w:cstheme="minorHAnsi"/>
          <w:b/>
        </w:rPr>
      </w:pPr>
      <w:r w:rsidRPr="00F76E5A">
        <w:rPr>
          <w:rFonts w:asciiTheme="majorHAnsi" w:hAnsiTheme="majorHAnsi" w:cstheme="minorHAnsi"/>
          <w:b/>
        </w:rPr>
        <w:t>Inversiones del ROP</w:t>
      </w:r>
    </w:p>
    <w:p w14:paraId="65490FA2" w14:textId="77777777" w:rsidR="00F76E5A" w:rsidRDefault="00F76E5A" w:rsidP="00F76E5A">
      <w:pPr>
        <w:spacing w:after="0" w:line="240" w:lineRule="auto"/>
        <w:jc w:val="both"/>
        <w:rPr>
          <w:rFonts w:asciiTheme="majorHAnsi" w:hAnsiTheme="majorHAnsi" w:cstheme="minorHAnsi"/>
        </w:rPr>
      </w:pPr>
      <w:r>
        <w:rPr>
          <w:rFonts w:asciiTheme="majorHAnsi" w:hAnsiTheme="majorHAnsi" w:cstheme="minorHAnsi"/>
        </w:rPr>
        <w:t>Durante el último año</w:t>
      </w:r>
      <w:r w:rsidRPr="008F5D99">
        <w:rPr>
          <w:rFonts w:asciiTheme="majorHAnsi" w:hAnsiTheme="majorHAnsi" w:cstheme="minorHAnsi"/>
        </w:rPr>
        <w:t xml:space="preserve"> se observa una disminución </w:t>
      </w:r>
      <w:r>
        <w:rPr>
          <w:rFonts w:asciiTheme="majorHAnsi" w:hAnsiTheme="majorHAnsi" w:cstheme="minorHAnsi"/>
        </w:rPr>
        <w:t xml:space="preserve">del 4% </w:t>
      </w:r>
      <w:r w:rsidRPr="008F5D99">
        <w:rPr>
          <w:rFonts w:asciiTheme="majorHAnsi" w:hAnsiTheme="majorHAnsi" w:cstheme="minorHAnsi"/>
        </w:rPr>
        <w:t>de</w:t>
      </w:r>
      <w:r>
        <w:rPr>
          <w:rFonts w:asciiTheme="majorHAnsi" w:hAnsiTheme="majorHAnsi" w:cstheme="minorHAnsi"/>
        </w:rPr>
        <w:t xml:space="preserve"> todas las inversiones </w:t>
      </w:r>
      <w:r w:rsidR="003D29C0">
        <w:rPr>
          <w:rFonts w:asciiTheme="majorHAnsi" w:hAnsiTheme="majorHAnsi" w:cstheme="minorHAnsi"/>
        </w:rPr>
        <w:t>del</w:t>
      </w:r>
      <w:r>
        <w:rPr>
          <w:rFonts w:asciiTheme="majorHAnsi" w:hAnsiTheme="majorHAnsi" w:cstheme="minorHAnsi"/>
        </w:rPr>
        <w:t xml:space="preserve"> ROP</w:t>
      </w:r>
      <w:r w:rsidRPr="008F5D99">
        <w:rPr>
          <w:rFonts w:asciiTheme="majorHAnsi" w:hAnsiTheme="majorHAnsi" w:cstheme="minorHAnsi"/>
        </w:rPr>
        <w:t xml:space="preserve"> </w:t>
      </w:r>
      <w:r>
        <w:rPr>
          <w:rFonts w:asciiTheme="majorHAnsi" w:hAnsiTheme="majorHAnsi" w:cstheme="minorHAnsi"/>
        </w:rPr>
        <w:t>en el</w:t>
      </w:r>
      <w:r w:rsidRPr="008F5D99">
        <w:rPr>
          <w:rFonts w:asciiTheme="majorHAnsi" w:hAnsiTheme="majorHAnsi" w:cstheme="minorHAnsi"/>
        </w:rPr>
        <w:t xml:space="preserve"> sector público local</w:t>
      </w:r>
      <w:r>
        <w:rPr>
          <w:rFonts w:asciiTheme="majorHAnsi" w:hAnsiTheme="majorHAnsi" w:cstheme="minorHAnsi"/>
        </w:rPr>
        <w:t>.</w:t>
      </w:r>
      <w:r w:rsidRPr="008F5D99">
        <w:rPr>
          <w:rFonts w:asciiTheme="majorHAnsi" w:hAnsiTheme="majorHAnsi" w:cstheme="minorHAnsi"/>
        </w:rPr>
        <w:t xml:space="preserve"> Adicionalmente, se da una disminución para el periodo observado de 1% en las inversiones del sector privado. </w:t>
      </w:r>
      <w:r>
        <w:rPr>
          <w:rFonts w:asciiTheme="majorHAnsi" w:hAnsiTheme="majorHAnsi" w:cstheme="minorHAnsi"/>
        </w:rPr>
        <w:t>Las disminuciones de los sectores público y privado local</w:t>
      </w:r>
      <w:r w:rsidRPr="008F5D99">
        <w:rPr>
          <w:rFonts w:asciiTheme="majorHAnsi" w:hAnsiTheme="majorHAnsi" w:cstheme="minorHAnsi"/>
        </w:rPr>
        <w:t xml:space="preserve"> se contrapone</w:t>
      </w:r>
      <w:r>
        <w:rPr>
          <w:rFonts w:asciiTheme="majorHAnsi" w:hAnsiTheme="majorHAnsi" w:cstheme="minorHAnsi"/>
        </w:rPr>
        <w:t xml:space="preserve">n con el </w:t>
      </w:r>
      <w:r w:rsidRPr="008F5D99">
        <w:rPr>
          <w:rFonts w:asciiTheme="majorHAnsi" w:hAnsiTheme="majorHAnsi" w:cstheme="minorHAnsi"/>
        </w:rPr>
        <w:t>aumento en las inversiones en el sector ext</w:t>
      </w:r>
      <w:r>
        <w:rPr>
          <w:rFonts w:asciiTheme="majorHAnsi" w:hAnsiTheme="majorHAnsi" w:cstheme="minorHAnsi"/>
        </w:rPr>
        <w:t>ranjero</w:t>
      </w:r>
      <w:r w:rsidRPr="008F5D99">
        <w:rPr>
          <w:rFonts w:asciiTheme="majorHAnsi" w:hAnsiTheme="majorHAnsi" w:cstheme="minorHAnsi"/>
        </w:rPr>
        <w:t xml:space="preserve">, que crecieron un </w:t>
      </w:r>
      <w:r>
        <w:rPr>
          <w:rFonts w:asciiTheme="majorHAnsi" w:hAnsiTheme="majorHAnsi" w:cstheme="minorHAnsi"/>
        </w:rPr>
        <w:t>4</w:t>
      </w:r>
      <w:r w:rsidRPr="008F5D99">
        <w:rPr>
          <w:rFonts w:asciiTheme="majorHAnsi" w:hAnsiTheme="majorHAnsi" w:cstheme="minorHAnsi"/>
        </w:rPr>
        <w:t>% en el último año.</w:t>
      </w:r>
    </w:p>
    <w:p w14:paraId="62431CDC" w14:textId="77777777" w:rsidR="00F76E5A" w:rsidRPr="008F5D99" w:rsidRDefault="00F76E5A" w:rsidP="00F76E5A">
      <w:pPr>
        <w:spacing w:after="0" w:line="240" w:lineRule="auto"/>
        <w:jc w:val="center"/>
        <w:rPr>
          <w:rFonts w:asciiTheme="majorHAnsi" w:hAnsiTheme="majorHAnsi" w:cstheme="minorHAnsi"/>
        </w:rPr>
      </w:pPr>
    </w:p>
    <w:p w14:paraId="41849709" w14:textId="72197313" w:rsidR="00F76E5A" w:rsidRDefault="00F76E5A" w:rsidP="00F76E5A">
      <w:pPr>
        <w:spacing w:after="0" w:line="240" w:lineRule="auto"/>
        <w:jc w:val="center"/>
        <w:rPr>
          <w:rFonts w:asciiTheme="majorHAnsi" w:hAnsiTheme="majorHAnsi" w:cstheme="minorHAnsi"/>
        </w:rPr>
      </w:pPr>
      <w:bookmarkStart w:id="12" w:name="_1603525717"/>
      <w:bookmarkEnd w:id="12"/>
      <w:r w:rsidRPr="0033676D">
        <w:rPr>
          <w:rFonts w:asciiTheme="majorHAnsi" w:hAnsiTheme="majorHAnsi" w:cstheme="minorHAnsi"/>
        </w:rPr>
        <w:t xml:space="preserve">Gráfico </w:t>
      </w:r>
      <w:r w:rsidRPr="0033676D">
        <w:rPr>
          <w:rFonts w:asciiTheme="majorHAnsi" w:hAnsiTheme="majorHAnsi" w:cstheme="minorHAnsi"/>
        </w:rPr>
        <w:fldChar w:fldCharType="begin"/>
      </w:r>
      <w:r w:rsidRPr="0033676D">
        <w:rPr>
          <w:rFonts w:asciiTheme="majorHAnsi" w:hAnsiTheme="majorHAnsi" w:cstheme="minorHAnsi"/>
        </w:rPr>
        <w:instrText xml:space="preserve"> SEQ Gráfico \* ARABIC </w:instrText>
      </w:r>
      <w:r w:rsidRPr="0033676D">
        <w:rPr>
          <w:rFonts w:asciiTheme="majorHAnsi" w:hAnsiTheme="majorHAnsi" w:cstheme="minorHAnsi"/>
        </w:rPr>
        <w:fldChar w:fldCharType="separate"/>
      </w:r>
      <w:r w:rsidR="00F7428D">
        <w:rPr>
          <w:rFonts w:asciiTheme="majorHAnsi" w:hAnsiTheme="majorHAnsi" w:cstheme="minorHAnsi"/>
          <w:noProof/>
        </w:rPr>
        <w:t>5</w:t>
      </w:r>
      <w:r w:rsidRPr="0033676D">
        <w:rPr>
          <w:rFonts w:asciiTheme="majorHAnsi" w:hAnsiTheme="majorHAnsi" w:cstheme="minorHAnsi"/>
        </w:rPr>
        <w:fldChar w:fldCharType="end"/>
      </w:r>
    </w:p>
    <w:p w14:paraId="4005F2C3" w14:textId="77777777" w:rsidR="00F76E5A" w:rsidRPr="008F5D99" w:rsidRDefault="00955F51" w:rsidP="00F76E5A">
      <w:pPr>
        <w:spacing w:after="0" w:line="240" w:lineRule="auto"/>
        <w:jc w:val="center"/>
        <w:rPr>
          <w:rFonts w:asciiTheme="majorHAnsi" w:hAnsiTheme="majorHAnsi" w:cstheme="minorHAnsi"/>
        </w:rPr>
      </w:pPr>
      <w:r>
        <w:rPr>
          <w:rFonts w:asciiTheme="majorHAnsi" w:hAnsiTheme="majorHAnsi" w:cstheme="minorHAnsi"/>
        </w:rPr>
        <w:t xml:space="preserve">ROP: </w:t>
      </w:r>
      <w:r w:rsidR="00F76E5A" w:rsidRPr="008F5D99">
        <w:rPr>
          <w:rFonts w:asciiTheme="majorHAnsi" w:hAnsiTheme="majorHAnsi" w:cstheme="minorHAnsi"/>
        </w:rPr>
        <w:t xml:space="preserve">Inversiones </w:t>
      </w:r>
      <w:r>
        <w:rPr>
          <w:rFonts w:asciiTheme="majorHAnsi" w:hAnsiTheme="majorHAnsi" w:cstheme="minorHAnsi"/>
        </w:rPr>
        <w:t>por sector</w:t>
      </w:r>
    </w:p>
    <w:p w14:paraId="4CFEA050" w14:textId="77777777" w:rsidR="00F76E5A" w:rsidRPr="008F5D99" w:rsidRDefault="00F76E5A" w:rsidP="00F76E5A">
      <w:pPr>
        <w:spacing w:after="0" w:line="240" w:lineRule="auto"/>
        <w:jc w:val="center"/>
        <w:rPr>
          <w:rFonts w:asciiTheme="majorHAnsi" w:hAnsiTheme="majorHAnsi" w:cstheme="minorHAnsi"/>
        </w:rPr>
      </w:pPr>
      <w:r w:rsidRPr="008F5D99">
        <w:rPr>
          <w:rFonts w:asciiTheme="majorHAnsi" w:hAnsiTheme="majorHAnsi" w:cstheme="minorHAnsi"/>
        </w:rPr>
        <w:t>Cifras Porcentuales</w:t>
      </w:r>
    </w:p>
    <w:p w14:paraId="49E398E2" w14:textId="77777777" w:rsidR="00F76E5A" w:rsidRPr="008F5D99" w:rsidRDefault="00F76E5A" w:rsidP="00F76E5A">
      <w:pPr>
        <w:spacing w:after="20" w:line="240" w:lineRule="auto"/>
        <w:jc w:val="center"/>
        <w:rPr>
          <w:rFonts w:asciiTheme="majorHAnsi" w:hAnsiTheme="majorHAnsi" w:cstheme="minorHAnsi"/>
        </w:rPr>
      </w:pPr>
      <w:r w:rsidRPr="008F5D99">
        <w:rPr>
          <w:rFonts w:asciiTheme="majorHAnsi" w:hAnsiTheme="majorHAnsi" w:cstheme="minorHAnsi"/>
          <w:noProof/>
        </w:rPr>
        <mc:AlternateContent>
          <mc:Choice Requires="cx1">
            <w:drawing>
              <wp:inline distT="0" distB="0" distL="0" distR="0" wp14:anchorId="47504E38" wp14:editId="6ED587D1">
                <wp:extent cx="4391025" cy="2476500"/>
                <wp:effectExtent l="0" t="0" r="9525" b="0"/>
                <wp:docPr id="6" name="Gráfico 6">
                  <a:extLst xmlns:a="http://schemas.openxmlformats.org/drawingml/2006/main">
                    <a:ext uri="{FF2B5EF4-FFF2-40B4-BE49-F238E27FC236}">
                      <a16:creationId xmlns:a16="http://schemas.microsoft.com/office/drawing/2014/main" id="{C88C396A-2D03-4C59-BD8B-10F1F0E867A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w:drawing>
              <wp:inline distT="0" distB="0" distL="0" distR="0" wp14:anchorId="47504E38" wp14:editId="6ED587D1">
                <wp:extent cx="4391025" cy="2476500"/>
                <wp:effectExtent l="0" t="0" r="9525" b="0"/>
                <wp:docPr id="6" name="Gráfico 6">
                  <a:extLst xmlns:a="http://schemas.openxmlformats.org/drawingml/2006/main">
                    <a:ext uri="{FF2B5EF4-FFF2-40B4-BE49-F238E27FC236}">
                      <a16:creationId xmlns:a16="http://schemas.microsoft.com/office/drawing/2014/main" id="{C88C396A-2D03-4C59-BD8B-10F1F0E867A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Gráfico 6">
                          <a:extLst>
                            <a:ext uri="{FF2B5EF4-FFF2-40B4-BE49-F238E27FC236}">
                              <a16:creationId xmlns:a16="http://schemas.microsoft.com/office/drawing/2014/main" id="{C88C396A-2D03-4C59-BD8B-10F1F0E867A6}"/>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4391025" cy="2476500"/>
                        </a:xfrm>
                        <a:prstGeom prst="rect">
                          <a:avLst/>
                        </a:prstGeom>
                      </pic:spPr>
                    </pic:pic>
                  </a:graphicData>
                </a:graphic>
              </wp:inline>
            </w:drawing>
          </mc:Fallback>
        </mc:AlternateContent>
      </w:r>
    </w:p>
    <w:p w14:paraId="3D072525" w14:textId="77777777" w:rsidR="00F76E5A" w:rsidRPr="009B7058" w:rsidRDefault="00F76E5A" w:rsidP="009B7058">
      <w:pPr>
        <w:spacing w:after="20" w:line="240" w:lineRule="auto"/>
        <w:ind w:left="1134"/>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5BE93A62" w14:textId="77777777" w:rsidR="00695F60" w:rsidRPr="008F5D99" w:rsidRDefault="00695F60" w:rsidP="00736B67">
      <w:pPr>
        <w:spacing w:after="0" w:line="240" w:lineRule="auto"/>
        <w:jc w:val="both"/>
        <w:rPr>
          <w:rFonts w:asciiTheme="majorHAnsi" w:hAnsiTheme="majorHAnsi" w:cstheme="minorHAnsi"/>
          <w:b/>
        </w:rPr>
      </w:pPr>
      <w:bookmarkStart w:id="13" w:name="_Toc530733761"/>
    </w:p>
    <w:p w14:paraId="0BA72883" w14:textId="77777777" w:rsidR="007D0BC7" w:rsidRPr="008F5D99" w:rsidRDefault="007D0BC7" w:rsidP="00C215C6">
      <w:pPr>
        <w:rPr>
          <w:rFonts w:asciiTheme="majorHAnsi" w:hAnsiTheme="majorHAnsi" w:cstheme="minorHAnsi"/>
          <w:b/>
        </w:rPr>
      </w:pPr>
      <w:r w:rsidRPr="008F5D99">
        <w:rPr>
          <w:rFonts w:asciiTheme="majorHAnsi" w:hAnsiTheme="majorHAnsi" w:cstheme="minorHAnsi"/>
          <w:b/>
        </w:rPr>
        <w:t>Plusvalías ROP</w:t>
      </w:r>
      <w:bookmarkEnd w:id="13"/>
    </w:p>
    <w:p w14:paraId="1AF1289A" w14:textId="77777777" w:rsidR="009B5584" w:rsidRPr="008F5D99" w:rsidRDefault="009B5584" w:rsidP="00AB1521">
      <w:pPr>
        <w:spacing w:after="0" w:line="240" w:lineRule="auto"/>
        <w:jc w:val="both"/>
        <w:rPr>
          <w:rFonts w:asciiTheme="majorHAnsi" w:hAnsiTheme="majorHAnsi" w:cstheme="minorHAnsi"/>
          <w:color w:val="FF0000"/>
        </w:rPr>
      </w:pPr>
      <w:r w:rsidRPr="008F5D99">
        <w:rPr>
          <w:rFonts w:asciiTheme="majorHAnsi" w:hAnsiTheme="majorHAnsi" w:cstheme="minorHAnsi"/>
        </w:rPr>
        <w:t xml:space="preserve">Desde el año anterior, las carteras de los fondos de pensiones han experimentado una disminución de su valor. Esto en el mercado local debido la caída en el precio de los valores que conforman las carteras, producto de aumento interno de las tasas de interés. </w:t>
      </w:r>
    </w:p>
    <w:p w14:paraId="384BA73E" w14:textId="77777777" w:rsidR="009B5584" w:rsidRPr="008F5D99" w:rsidRDefault="009B5584" w:rsidP="00AB1521">
      <w:pPr>
        <w:spacing w:after="0" w:line="240" w:lineRule="auto"/>
        <w:jc w:val="both"/>
        <w:rPr>
          <w:rFonts w:asciiTheme="majorHAnsi" w:hAnsiTheme="majorHAnsi" w:cstheme="minorHAnsi"/>
        </w:rPr>
      </w:pPr>
    </w:p>
    <w:p w14:paraId="766E1D37" w14:textId="509F3A43" w:rsidR="00BD22B3" w:rsidRPr="008F5D99" w:rsidRDefault="009B5584" w:rsidP="00AB1521">
      <w:pPr>
        <w:spacing w:after="0" w:line="240" w:lineRule="auto"/>
        <w:jc w:val="both"/>
        <w:rPr>
          <w:rFonts w:asciiTheme="majorHAnsi" w:hAnsiTheme="majorHAnsi" w:cstheme="minorHAnsi"/>
        </w:rPr>
      </w:pPr>
      <w:r w:rsidRPr="008F5D99">
        <w:rPr>
          <w:rFonts w:asciiTheme="majorHAnsi" w:hAnsiTheme="majorHAnsi" w:cstheme="minorHAnsi"/>
        </w:rPr>
        <w:t>Los fondos administrados han perdido valor durante el año por sus inversiones en el valor locales (denominados en colones). Sin embargo, para las carteras con porcentajes significativos invertidos en valores extranjeros la af</w:t>
      </w:r>
      <w:r w:rsidR="0017203C" w:rsidRPr="008F5D99">
        <w:rPr>
          <w:rFonts w:asciiTheme="majorHAnsi" w:hAnsiTheme="majorHAnsi" w:cstheme="minorHAnsi"/>
        </w:rPr>
        <w:t>ectación ha sido menor debido a</w:t>
      </w:r>
      <w:r w:rsidRPr="008F5D99">
        <w:rPr>
          <w:rFonts w:asciiTheme="majorHAnsi" w:hAnsiTheme="majorHAnsi" w:cstheme="minorHAnsi"/>
        </w:rPr>
        <w:t xml:space="preserve"> que estas inversiones se han comportado positivamente, es decir, aumento en valor de las carteras. </w:t>
      </w:r>
    </w:p>
    <w:p w14:paraId="34B3F2EB" w14:textId="77777777" w:rsidR="007A1517" w:rsidRPr="008F5D99" w:rsidRDefault="007A1517" w:rsidP="00AB1521">
      <w:pPr>
        <w:spacing w:after="0" w:line="240" w:lineRule="auto"/>
        <w:jc w:val="center"/>
        <w:rPr>
          <w:rFonts w:asciiTheme="majorHAnsi" w:hAnsiTheme="majorHAnsi" w:cstheme="minorHAnsi"/>
        </w:rPr>
      </w:pPr>
    </w:p>
    <w:p w14:paraId="6ADAE19A" w14:textId="38258323" w:rsidR="0033676D" w:rsidRDefault="0033676D" w:rsidP="0033676D">
      <w:pPr>
        <w:spacing w:after="0" w:line="240" w:lineRule="auto"/>
        <w:jc w:val="center"/>
        <w:rPr>
          <w:rFonts w:asciiTheme="majorHAnsi" w:hAnsiTheme="majorHAnsi" w:cstheme="minorHAnsi"/>
        </w:rPr>
      </w:pPr>
      <w:r w:rsidRPr="0033676D">
        <w:rPr>
          <w:rFonts w:asciiTheme="majorHAnsi" w:hAnsiTheme="majorHAnsi" w:cstheme="minorHAnsi"/>
        </w:rPr>
        <w:t xml:space="preserve">Cuadro </w:t>
      </w:r>
      <w:r w:rsidRPr="0033676D">
        <w:rPr>
          <w:rFonts w:asciiTheme="majorHAnsi" w:hAnsiTheme="majorHAnsi" w:cstheme="minorHAnsi"/>
        </w:rPr>
        <w:fldChar w:fldCharType="begin"/>
      </w:r>
      <w:r w:rsidRPr="0033676D">
        <w:rPr>
          <w:rFonts w:asciiTheme="majorHAnsi" w:hAnsiTheme="majorHAnsi" w:cstheme="minorHAnsi"/>
        </w:rPr>
        <w:instrText xml:space="preserve"> SEQ Cuadro \* ARABIC </w:instrText>
      </w:r>
      <w:r w:rsidRPr="0033676D">
        <w:rPr>
          <w:rFonts w:asciiTheme="majorHAnsi" w:hAnsiTheme="majorHAnsi" w:cstheme="minorHAnsi"/>
        </w:rPr>
        <w:fldChar w:fldCharType="separate"/>
      </w:r>
      <w:r w:rsidR="00F7428D">
        <w:rPr>
          <w:rFonts w:asciiTheme="majorHAnsi" w:hAnsiTheme="majorHAnsi" w:cstheme="minorHAnsi"/>
          <w:noProof/>
        </w:rPr>
        <w:t>11</w:t>
      </w:r>
      <w:r w:rsidRPr="0033676D">
        <w:rPr>
          <w:rFonts w:asciiTheme="majorHAnsi" w:hAnsiTheme="majorHAnsi" w:cstheme="minorHAnsi"/>
        </w:rPr>
        <w:fldChar w:fldCharType="end"/>
      </w:r>
    </w:p>
    <w:p w14:paraId="45E85C0A" w14:textId="77777777" w:rsidR="00772349" w:rsidRPr="008F5D99" w:rsidRDefault="00772349" w:rsidP="00AB1521">
      <w:pPr>
        <w:spacing w:after="0" w:line="240" w:lineRule="auto"/>
        <w:jc w:val="center"/>
        <w:rPr>
          <w:rFonts w:asciiTheme="majorHAnsi" w:hAnsiTheme="majorHAnsi" w:cstheme="minorHAnsi"/>
        </w:rPr>
      </w:pPr>
      <w:r w:rsidRPr="008F5D99">
        <w:rPr>
          <w:rFonts w:asciiTheme="majorHAnsi" w:hAnsiTheme="majorHAnsi" w:cstheme="minorHAnsi"/>
        </w:rPr>
        <w:t>ROP: Plusvalías del 2018</w:t>
      </w:r>
    </w:p>
    <w:p w14:paraId="7E962AEB" w14:textId="77777777" w:rsidR="00772349" w:rsidRPr="008F5D99" w:rsidRDefault="007A1517" w:rsidP="00AB1521">
      <w:pPr>
        <w:spacing w:after="0" w:line="240" w:lineRule="auto"/>
        <w:jc w:val="center"/>
        <w:rPr>
          <w:rFonts w:asciiTheme="majorHAnsi" w:hAnsiTheme="majorHAnsi" w:cstheme="minorHAnsi"/>
        </w:rPr>
      </w:pPr>
      <w:r w:rsidRPr="008F5D99">
        <w:rPr>
          <w:rFonts w:asciiTheme="majorHAnsi" w:hAnsiTheme="majorHAnsi" w:cstheme="minorHAnsi"/>
        </w:rPr>
        <w:t>millones de colones</w:t>
      </w:r>
    </w:p>
    <w:tbl>
      <w:tblPr>
        <w:tblW w:w="10059" w:type="dxa"/>
        <w:jc w:val="center"/>
        <w:tblCellMar>
          <w:left w:w="70" w:type="dxa"/>
          <w:right w:w="70" w:type="dxa"/>
        </w:tblCellMar>
        <w:tblLook w:val="04A0" w:firstRow="1" w:lastRow="0" w:firstColumn="1" w:lastColumn="0" w:noHBand="0" w:noVBand="1"/>
      </w:tblPr>
      <w:tblGrid>
        <w:gridCol w:w="1418"/>
        <w:gridCol w:w="1276"/>
        <w:gridCol w:w="1458"/>
        <w:gridCol w:w="1380"/>
        <w:gridCol w:w="1556"/>
        <w:gridCol w:w="1300"/>
        <w:gridCol w:w="1671"/>
      </w:tblGrid>
      <w:tr w:rsidR="00984D51" w:rsidRPr="008F5D99" w14:paraId="6B4442A2" w14:textId="77777777" w:rsidTr="007F71E4">
        <w:trPr>
          <w:trHeight w:val="930"/>
          <w:jc w:val="center"/>
        </w:trPr>
        <w:tc>
          <w:tcPr>
            <w:tcW w:w="1418" w:type="dxa"/>
            <w:tcBorders>
              <w:top w:val="single" w:sz="4" w:space="0" w:color="auto"/>
              <w:left w:val="nil"/>
              <w:bottom w:val="double" w:sz="6" w:space="0" w:color="auto"/>
              <w:right w:val="nil"/>
            </w:tcBorders>
            <w:shd w:val="clear" w:color="auto" w:fill="auto"/>
            <w:vAlign w:val="center"/>
            <w:hideMark/>
          </w:tcPr>
          <w:p w14:paraId="48FF8E3E" w14:textId="77777777" w:rsidR="00984D51" w:rsidRPr="008F5D99" w:rsidRDefault="00984D51" w:rsidP="00984D5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Fecha</w:t>
            </w:r>
          </w:p>
        </w:tc>
        <w:tc>
          <w:tcPr>
            <w:tcW w:w="1276" w:type="dxa"/>
            <w:tcBorders>
              <w:top w:val="single" w:sz="4" w:space="0" w:color="auto"/>
              <w:left w:val="nil"/>
              <w:bottom w:val="double" w:sz="6" w:space="0" w:color="auto"/>
              <w:right w:val="nil"/>
            </w:tcBorders>
            <w:shd w:val="clear" w:color="auto" w:fill="auto"/>
            <w:vAlign w:val="center"/>
            <w:hideMark/>
          </w:tcPr>
          <w:p w14:paraId="52607BE1" w14:textId="77777777" w:rsidR="00984D51" w:rsidRPr="008F5D99" w:rsidRDefault="00984D51" w:rsidP="00984D5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Disponibilidades</w:t>
            </w:r>
          </w:p>
        </w:tc>
        <w:tc>
          <w:tcPr>
            <w:tcW w:w="1458" w:type="dxa"/>
            <w:tcBorders>
              <w:top w:val="single" w:sz="4" w:space="0" w:color="auto"/>
              <w:left w:val="nil"/>
              <w:bottom w:val="double" w:sz="6" w:space="0" w:color="auto"/>
              <w:right w:val="nil"/>
            </w:tcBorders>
            <w:shd w:val="clear" w:color="auto" w:fill="auto"/>
            <w:vAlign w:val="center"/>
            <w:hideMark/>
          </w:tcPr>
          <w:p w14:paraId="3E2A14FC" w14:textId="77777777" w:rsidR="00984D51" w:rsidRPr="008F5D99" w:rsidRDefault="00984D51" w:rsidP="00984D5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Inversiones</w:t>
            </w:r>
          </w:p>
        </w:tc>
        <w:tc>
          <w:tcPr>
            <w:tcW w:w="1380" w:type="dxa"/>
            <w:tcBorders>
              <w:top w:val="single" w:sz="4" w:space="0" w:color="auto"/>
              <w:left w:val="nil"/>
              <w:bottom w:val="double" w:sz="6" w:space="0" w:color="auto"/>
              <w:right w:val="nil"/>
            </w:tcBorders>
            <w:shd w:val="clear" w:color="auto" w:fill="auto"/>
            <w:vAlign w:val="center"/>
            <w:hideMark/>
          </w:tcPr>
          <w:p w14:paraId="145E14ED" w14:textId="77777777" w:rsidR="007F71E4" w:rsidRDefault="00984D51" w:rsidP="00984D5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 xml:space="preserve">Plusvalías valores </w:t>
            </w:r>
          </w:p>
          <w:p w14:paraId="0B835540" w14:textId="77777777" w:rsidR="00984D51" w:rsidRPr="008F5D99" w:rsidRDefault="00984D51" w:rsidP="00984D5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Nacionales</w:t>
            </w:r>
          </w:p>
        </w:tc>
        <w:tc>
          <w:tcPr>
            <w:tcW w:w="1556" w:type="dxa"/>
            <w:tcBorders>
              <w:top w:val="single" w:sz="4" w:space="0" w:color="auto"/>
              <w:left w:val="nil"/>
              <w:bottom w:val="double" w:sz="6" w:space="0" w:color="auto"/>
              <w:right w:val="nil"/>
            </w:tcBorders>
            <w:shd w:val="clear" w:color="auto" w:fill="auto"/>
            <w:vAlign w:val="center"/>
            <w:hideMark/>
          </w:tcPr>
          <w:p w14:paraId="4804FE3D" w14:textId="77777777" w:rsidR="007F71E4" w:rsidRDefault="00984D51" w:rsidP="00984D5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Plusvalías</w:t>
            </w:r>
            <w:r w:rsidRPr="008F5D99">
              <w:rPr>
                <w:rFonts w:asciiTheme="majorHAnsi" w:eastAsia="Times New Roman" w:hAnsiTheme="majorHAnsi" w:cstheme="minorHAnsi"/>
                <w:b/>
                <w:bCs/>
                <w:color w:val="000000"/>
                <w:lang w:val="es-CR" w:eastAsia="es-CR"/>
              </w:rPr>
              <w:br/>
              <w:t xml:space="preserve">valores </w:t>
            </w:r>
          </w:p>
          <w:p w14:paraId="37EBFD1B" w14:textId="77777777" w:rsidR="00984D51" w:rsidRPr="008F5D99" w:rsidRDefault="00984D51" w:rsidP="00984D5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extranjeros</w:t>
            </w:r>
          </w:p>
        </w:tc>
        <w:tc>
          <w:tcPr>
            <w:tcW w:w="1300" w:type="dxa"/>
            <w:tcBorders>
              <w:top w:val="single" w:sz="4" w:space="0" w:color="auto"/>
              <w:left w:val="nil"/>
              <w:bottom w:val="double" w:sz="6" w:space="0" w:color="auto"/>
              <w:right w:val="nil"/>
            </w:tcBorders>
            <w:shd w:val="clear" w:color="auto" w:fill="auto"/>
            <w:vAlign w:val="center"/>
            <w:hideMark/>
          </w:tcPr>
          <w:p w14:paraId="77EB3AE0" w14:textId="77777777" w:rsidR="00984D51" w:rsidRPr="008F5D99" w:rsidRDefault="00984D51" w:rsidP="00984D5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Plusvalías totales</w:t>
            </w:r>
          </w:p>
        </w:tc>
        <w:tc>
          <w:tcPr>
            <w:tcW w:w="1671" w:type="dxa"/>
            <w:tcBorders>
              <w:top w:val="single" w:sz="4" w:space="0" w:color="auto"/>
              <w:left w:val="nil"/>
              <w:bottom w:val="double" w:sz="6" w:space="0" w:color="auto"/>
              <w:right w:val="nil"/>
            </w:tcBorders>
            <w:shd w:val="clear" w:color="auto" w:fill="auto"/>
            <w:vAlign w:val="center"/>
            <w:hideMark/>
          </w:tcPr>
          <w:p w14:paraId="4C6988EE" w14:textId="77777777" w:rsidR="00984D51" w:rsidRPr="008F5D99" w:rsidRDefault="00984D51" w:rsidP="00984D5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eastAsia="es-CR"/>
              </w:rPr>
              <w:t>Porcentaje de las inversiones</w:t>
            </w:r>
          </w:p>
        </w:tc>
      </w:tr>
      <w:tr w:rsidR="00984D51" w:rsidRPr="008F5D99" w14:paraId="5EE8ECA3" w14:textId="77777777" w:rsidTr="007F71E4">
        <w:trPr>
          <w:trHeight w:val="315"/>
          <w:jc w:val="center"/>
        </w:trPr>
        <w:tc>
          <w:tcPr>
            <w:tcW w:w="1418" w:type="dxa"/>
            <w:tcBorders>
              <w:top w:val="nil"/>
              <w:left w:val="nil"/>
              <w:bottom w:val="nil"/>
              <w:right w:val="nil"/>
            </w:tcBorders>
            <w:shd w:val="clear" w:color="auto" w:fill="auto"/>
            <w:noWrap/>
            <w:vAlign w:val="bottom"/>
            <w:hideMark/>
          </w:tcPr>
          <w:p w14:paraId="06DF9031"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eastAsia="es-CR"/>
              </w:rPr>
              <w:t>Enero</w:t>
            </w:r>
          </w:p>
        </w:tc>
        <w:tc>
          <w:tcPr>
            <w:tcW w:w="1276" w:type="dxa"/>
            <w:tcBorders>
              <w:top w:val="nil"/>
              <w:left w:val="nil"/>
              <w:bottom w:val="nil"/>
              <w:right w:val="nil"/>
            </w:tcBorders>
            <w:shd w:val="clear" w:color="auto" w:fill="auto"/>
            <w:noWrap/>
            <w:vAlign w:val="bottom"/>
            <w:hideMark/>
          </w:tcPr>
          <w:p w14:paraId="6F59A59B"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48 386 </w:t>
            </w:r>
          </w:p>
        </w:tc>
        <w:tc>
          <w:tcPr>
            <w:tcW w:w="1458" w:type="dxa"/>
            <w:tcBorders>
              <w:top w:val="nil"/>
              <w:left w:val="nil"/>
              <w:bottom w:val="nil"/>
              <w:right w:val="nil"/>
            </w:tcBorders>
            <w:shd w:val="clear" w:color="auto" w:fill="auto"/>
            <w:noWrap/>
            <w:vAlign w:val="bottom"/>
            <w:hideMark/>
          </w:tcPr>
          <w:p w14:paraId="1A2CF185"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4 957 655 </w:t>
            </w:r>
          </w:p>
        </w:tc>
        <w:tc>
          <w:tcPr>
            <w:tcW w:w="1380" w:type="dxa"/>
            <w:tcBorders>
              <w:top w:val="nil"/>
              <w:left w:val="nil"/>
              <w:bottom w:val="nil"/>
              <w:right w:val="nil"/>
            </w:tcBorders>
            <w:shd w:val="clear" w:color="auto" w:fill="auto"/>
            <w:noWrap/>
            <w:vAlign w:val="bottom"/>
            <w:hideMark/>
          </w:tcPr>
          <w:p w14:paraId="70BE4303"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-7 758 </w:t>
            </w:r>
          </w:p>
        </w:tc>
        <w:tc>
          <w:tcPr>
            <w:tcW w:w="1556" w:type="dxa"/>
            <w:tcBorders>
              <w:top w:val="nil"/>
              <w:left w:val="nil"/>
              <w:bottom w:val="nil"/>
              <w:right w:val="nil"/>
            </w:tcBorders>
            <w:shd w:val="clear" w:color="auto" w:fill="auto"/>
            <w:noWrap/>
            <w:vAlign w:val="bottom"/>
            <w:hideMark/>
          </w:tcPr>
          <w:p w14:paraId="490C964B"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29 549 </w:t>
            </w:r>
          </w:p>
        </w:tc>
        <w:tc>
          <w:tcPr>
            <w:tcW w:w="1300" w:type="dxa"/>
            <w:tcBorders>
              <w:top w:val="nil"/>
              <w:left w:val="nil"/>
              <w:bottom w:val="nil"/>
              <w:right w:val="nil"/>
            </w:tcBorders>
            <w:shd w:val="clear" w:color="auto" w:fill="auto"/>
            <w:noWrap/>
            <w:vAlign w:val="bottom"/>
            <w:hideMark/>
          </w:tcPr>
          <w:p w14:paraId="7091379F"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21 791 </w:t>
            </w:r>
          </w:p>
        </w:tc>
        <w:tc>
          <w:tcPr>
            <w:tcW w:w="1671" w:type="dxa"/>
            <w:tcBorders>
              <w:top w:val="nil"/>
              <w:left w:val="nil"/>
              <w:bottom w:val="nil"/>
              <w:right w:val="nil"/>
            </w:tcBorders>
            <w:shd w:val="clear" w:color="auto" w:fill="auto"/>
            <w:noWrap/>
            <w:vAlign w:val="bottom"/>
            <w:hideMark/>
          </w:tcPr>
          <w:p w14:paraId="45809342"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0,44%</w:t>
            </w:r>
          </w:p>
        </w:tc>
      </w:tr>
      <w:tr w:rsidR="00984D51" w:rsidRPr="008F5D99" w14:paraId="5E5F4A1C"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42D1D4F6"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eastAsia="es-CR"/>
              </w:rPr>
              <w:lastRenderedPageBreak/>
              <w:t>Febrero</w:t>
            </w:r>
          </w:p>
        </w:tc>
        <w:tc>
          <w:tcPr>
            <w:tcW w:w="1276" w:type="dxa"/>
            <w:tcBorders>
              <w:top w:val="nil"/>
              <w:left w:val="nil"/>
              <w:bottom w:val="nil"/>
              <w:right w:val="nil"/>
            </w:tcBorders>
            <w:shd w:val="clear" w:color="auto" w:fill="auto"/>
            <w:noWrap/>
            <w:vAlign w:val="bottom"/>
            <w:hideMark/>
          </w:tcPr>
          <w:p w14:paraId="73233534"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78 020 </w:t>
            </w:r>
          </w:p>
        </w:tc>
        <w:tc>
          <w:tcPr>
            <w:tcW w:w="1458" w:type="dxa"/>
            <w:tcBorders>
              <w:top w:val="nil"/>
              <w:left w:val="nil"/>
              <w:bottom w:val="nil"/>
              <w:right w:val="nil"/>
            </w:tcBorders>
            <w:shd w:val="clear" w:color="auto" w:fill="auto"/>
            <w:noWrap/>
            <w:vAlign w:val="bottom"/>
            <w:hideMark/>
          </w:tcPr>
          <w:p w14:paraId="47CB13CB"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4 923 577 </w:t>
            </w:r>
          </w:p>
        </w:tc>
        <w:tc>
          <w:tcPr>
            <w:tcW w:w="1380" w:type="dxa"/>
            <w:tcBorders>
              <w:top w:val="nil"/>
              <w:left w:val="nil"/>
              <w:bottom w:val="nil"/>
              <w:right w:val="nil"/>
            </w:tcBorders>
            <w:shd w:val="clear" w:color="auto" w:fill="auto"/>
            <w:noWrap/>
            <w:vAlign w:val="bottom"/>
            <w:hideMark/>
          </w:tcPr>
          <w:p w14:paraId="6BAF4C3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-14 749 </w:t>
            </w:r>
          </w:p>
        </w:tc>
        <w:tc>
          <w:tcPr>
            <w:tcW w:w="1556" w:type="dxa"/>
            <w:tcBorders>
              <w:top w:val="nil"/>
              <w:left w:val="nil"/>
              <w:bottom w:val="nil"/>
              <w:right w:val="nil"/>
            </w:tcBorders>
            <w:shd w:val="clear" w:color="auto" w:fill="auto"/>
            <w:noWrap/>
            <w:vAlign w:val="bottom"/>
            <w:hideMark/>
          </w:tcPr>
          <w:p w14:paraId="5CC12963"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10 085 </w:t>
            </w:r>
          </w:p>
        </w:tc>
        <w:tc>
          <w:tcPr>
            <w:tcW w:w="1300" w:type="dxa"/>
            <w:tcBorders>
              <w:top w:val="nil"/>
              <w:left w:val="nil"/>
              <w:bottom w:val="nil"/>
              <w:right w:val="nil"/>
            </w:tcBorders>
            <w:shd w:val="clear" w:color="auto" w:fill="auto"/>
            <w:noWrap/>
            <w:vAlign w:val="bottom"/>
            <w:hideMark/>
          </w:tcPr>
          <w:p w14:paraId="3D2FF544"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- 4 664 </w:t>
            </w:r>
          </w:p>
        </w:tc>
        <w:tc>
          <w:tcPr>
            <w:tcW w:w="1671" w:type="dxa"/>
            <w:tcBorders>
              <w:top w:val="nil"/>
              <w:left w:val="nil"/>
              <w:bottom w:val="nil"/>
              <w:right w:val="nil"/>
            </w:tcBorders>
            <w:shd w:val="clear" w:color="auto" w:fill="auto"/>
            <w:noWrap/>
            <w:vAlign w:val="bottom"/>
            <w:hideMark/>
          </w:tcPr>
          <w:p w14:paraId="3EF7DD96"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-0,09%</w:t>
            </w:r>
          </w:p>
        </w:tc>
      </w:tr>
      <w:tr w:rsidR="00984D51" w:rsidRPr="008F5D99" w14:paraId="3F9ABF03"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270332BD"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eastAsia="es-CR"/>
              </w:rPr>
              <w:t>Marzo</w:t>
            </w:r>
          </w:p>
        </w:tc>
        <w:tc>
          <w:tcPr>
            <w:tcW w:w="1276" w:type="dxa"/>
            <w:tcBorders>
              <w:top w:val="nil"/>
              <w:left w:val="nil"/>
              <w:bottom w:val="nil"/>
              <w:right w:val="nil"/>
            </w:tcBorders>
            <w:shd w:val="clear" w:color="auto" w:fill="auto"/>
            <w:noWrap/>
            <w:vAlign w:val="bottom"/>
            <w:hideMark/>
          </w:tcPr>
          <w:p w14:paraId="3E228A7A"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79 887 </w:t>
            </w:r>
          </w:p>
        </w:tc>
        <w:tc>
          <w:tcPr>
            <w:tcW w:w="1458" w:type="dxa"/>
            <w:tcBorders>
              <w:top w:val="nil"/>
              <w:left w:val="nil"/>
              <w:bottom w:val="nil"/>
              <w:right w:val="nil"/>
            </w:tcBorders>
            <w:shd w:val="clear" w:color="auto" w:fill="auto"/>
            <w:noWrap/>
            <w:vAlign w:val="bottom"/>
            <w:hideMark/>
          </w:tcPr>
          <w:p w14:paraId="6A725307"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5 109 805 </w:t>
            </w:r>
          </w:p>
        </w:tc>
        <w:tc>
          <w:tcPr>
            <w:tcW w:w="1380" w:type="dxa"/>
            <w:tcBorders>
              <w:top w:val="nil"/>
              <w:left w:val="nil"/>
              <w:bottom w:val="nil"/>
              <w:right w:val="nil"/>
            </w:tcBorders>
            <w:shd w:val="clear" w:color="auto" w:fill="auto"/>
            <w:noWrap/>
            <w:vAlign w:val="bottom"/>
            <w:hideMark/>
          </w:tcPr>
          <w:p w14:paraId="35B8D46F"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-19 971 </w:t>
            </w:r>
          </w:p>
        </w:tc>
        <w:tc>
          <w:tcPr>
            <w:tcW w:w="1556" w:type="dxa"/>
            <w:tcBorders>
              <w:top w:val="nil"/>
              <w:left w:val="nil"/>
              <w:bottom w:val="nil"/>
              <w:right w:val="nil"/>
            </w:tcBorders>
            <w:shd w:val="clear" w:color="auto" w:fill="auto"/>
            <w:noWrap/>
            <w:vAlign w:val="bottom"/>
            <w:hideMark/>
          </w:tcPr>
          <w:p w14:paraId="45A5E52B"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213 </w:t>
            </w:r>
          </w:p>
        </w:tc>
        <w:tc>
          <w:tcPr>
            <w:tcW w:w="1300" w:type="dxa"/>
            <w:tcBorders>
              <w:top w:val="nil"/>
              <w:left w:val="nil"/>
              <w:bottom w:val="nil"/>
              <w:right w:val="nil"/>
            </w:tcBorders>
            <w:shd w:val="clear" w:color="auto" w:fill="auto"/>
            <w:noWrap/>
            <w:vAlign w:val="bottom"/>
            <w:hideMark/>
          </w:tcPr>
          <w:p w14:paraId="5278AAA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-19 758 </w:t>
            </w:r>
          </w:p>
        </w:tc>
        <w:tc>
          <w:tcPr>
            <w:tcW w:w="1671" w:type="dxa"/>
            <w:tcBorders>
              <w:top w:val="nil"/>
              <w:left w:val="nil"/>
              <w:bottom w:val="nil"/>
              <w:right w:val="nil"/>
            </w:tcBorders>
            <w:shd w:val="clear" w:color="auto" w:fill="auto"/>
            <w:noWrap/>
            <w:vAlign w:val="bottom"/>
            <w:hideMark/>
          </w:tcPr>
          <w:p w14:paraId="3F879D43"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-0,39%</w:t>
            </w:r>
          </w:p>
        </w:tc>
      </w:tr>
      <w:tr w:rsidR="00984D51" w:rsidRPr="008F5D99" w14:paraId="08F58B09"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5B61F15B"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eastAsia="es-CR"/>
              </w:rPr>
              <w:t>Abril</w:t>
            </w:r>
          </w:p>
        </w:tc>
        <w:tc>
          <w:tcPr>
            <w:tcW w:w="1276" w:type="dxa"/>
            <w:tcBorders>
              <w:top w:val="nil"/>
              <w:left w:val="nil"/>
              <w:bottom w:val="nil"/>
              <w:right w:val="nil"/>
            </w:tcBorders>
            <w:shd w:val="clear" w:color="auto" w:fill="auto"/>
            <w:noWrap/>
            <w:vAlign w:val="bottom"/>
            <w:hideMark/>
          </w:tcPr>
          <w:p w14:paraId="68EECC75"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74 566 </w:t>
            </w:r>
          </w:p>
        </w:tc>
        <w:tc>
          <w:tcPr>
            <w:tcW w:w="1458" w:type="dxa"/>
            <w:tcBorders>
              <w:top w:val="nil"/>
              <w:left w:val="nil"/>
              <w:bottom w:val="nil"/>
              <w:right w:val="nil"/>
            </w:tcBorders>
            <w:shd w:val="clear" w:color="auto" w:fill="auto"/>
            <w:noWrap/>
            <w:vAlign w:val="bottom"/>
            <w:hideMark/>
          </w:tcPr>
          <w:p w14:paraId="4C4EAE7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5 158 930 </w:t>
            </w:r>
          </w:p>
        </w:tc>
        <w:tc>
          <w:tcPr>
            <w:tcW w:w="1380" w:type="dxa"/>
            <w:tcBorders>
              <w:top w:val="nil"/>
              <w:left w:val="nil"/>
              <w:bottom w:val="nil"/>
              <w:right w:val="nil"/>
            </w:tcBorders>
            <w:shd w:val="clear" w:color="auto" w:fill="auto"/>
            <w:noWrap/>
            <w:vAlign w:val="bottom"/>
            <w:hideMark/>
          </w:tcPr>
          <w:p w14:paraId="5950A227"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-21 286 </w:t>
            </w:r>
          </w:p>
        </w:tc>
        <w:tc>
          <w:tcPr>
            <w:tcW w:w="1556" w:type="dxa"/>
            <w:tcBorders>
              <w:top w:val="nil"/>
              <w:left w:val="nil"/>
              <w:bottom w:val="nil"/>
              <w:right w:val="nil"/>
            </w:tcBorders>
            <w:shd w:val="clear" w:color="auto" w:fill="auto"/>
            <w:noWrap/>
            <w:vAlign w:val="bottom"/>
            <w:hideMark/>
          </w:tcPr>
          <w:p w14:paraId="7036818E"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9 316 </w:t>
            </w:r>
          </w:p>
        </w:tc>
        <w:tc>
          <w:tcPr>
            <w:tcW w:w="1300" w:type="dxa"/>
            <w:tcBorders>
              <w:top w:val="nil"/>
              <w:left w:val="nil"/>
              <w:bottom w:val="nil"/>
              <w:right w:val="nil"/>
            </w:tcBorders>
            <w:shd w:val="clear" w:color="auto" w:fill="auto"/>
            <w:noWrap/>
            <w:vAlign w:val="bottom"/>
            <w:hideMark/>
          </w:tcPr>
          <w:p w14:paraId="503B3D91"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-11 970 </w:t>
            </w:r>
          </w:p>
        </w:tc>
        <w:tc>
          <w:tcPr>
            <w:tcW w:w="1671" w:type="dxa"/>
            <w:tcBorders>
              <w:top w:val="nil"/>
              <w:left w:val="nil"/>
              <w:bottom w:val="nil"/>
              <w:right w:val="nil"/>
            </w:tcBorders>
            <w:shd w:val="clear" w:color="auto" w:fill="auto"/>
            <w:noWrap/>
            <w:vAlign w:val="bottom"/>
            <w:hideMark/>
          </w:tcPr>
          <w:p w14:paraId="53541D39"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-0,23%</w:t>
            </w:r>
          </w:p>
        </w:tc>
      </w:tr>
      <w:tr w:rsidR="00984D51" w:rsidRPr="008F5D99" w14:paraId="7948F227"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11E4497F"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eastAsia="es-CR"/>
              </w:rPr>
              <w:t>Mayo</w:t>
            </w:r>
          </w:p>
        </w:tc>
        <w:tc>
          <w:tcPr>
            <w:tcW w:w="1276" w:type="dxa"/>
            <w:tcBorders>
              <w:top w:val="nil"/>
              <w:left w:val="nil"/>
              <w:bottom w:val="nil"/>
              <w:right w:val="nil"/>
            </w:tcBorders>
            <w:shd w:val="clear" w:color="auto" w:fill="auto"/>
            <w:noWrap/>
            <w:vAlign w:val="bottom"/>
            <w:hideMark/>
          </w:tcPr>
          <w:p w14:paraId="331D6604"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52 049 </w:t>
            </w:r>
          </w:p>
        </w:tc>
        <w:tc>
          <w:tcPr>
            <w:tcW w:w="1458" w:type="dxa"/>
            <w:tcBorders>
              <w:top w:val="nil"/>
              <w:left w:val="nil"/>
              <w:bottom w:val="nil"/>
              <w:right w:val="nil"/>
            </w:tcBorders>
            <w:shd w:val="clear" w:color="auto" w:fill="auto"/>
            <w:noWrap/>
            <w:vAlign w:val="bottom"/>
            <w:hideMark/>
          </w:tcPr>
          <w:p w14:paraId="4F170684"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5 197 841 </w:t>
            </w:r>
          </w:p>
        </w:tc>
        <w:tc>
          <w:tcPr>
            <w:tcW w:w="1380" w:type="dxa"/>
            <w:tcBorders>
              <w:top w:val="nil"/>
              <w:left w:val="nil"/>
              <w:bottom w:val="nil"/>
              <w:right w:val="nil"/>
            </w:tcBorders>
            <w:shd w:val="clear" w:color="auto" w:fill="auto"/>
            <w:noWrap/>
            <w:vAlign w:val="bottom"/>
            <w:hideMark/>
          </w:tcPr>
          <w:p w14:paraId="3939D2AC"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-24 001 </w:t>
            </w:r>
          </w:p>
        </w:tc>
        <w:tc>
          <w:tcPr>
            <w:tcW w:w="1556" w:type="dxa"/>
            <w:tcBorders>
              <w:top w:val="nil"/>
              <w:left w:val="nil"/>
              <w:bottom w:val="nil"/>
              <w:right w:val="nil"/>
            </w:tcBorders>
            <w:shd w:val="clear" w:color="auto" w:fill="auto"/>
            <w:noWrap/>
            <w:vAlign w:val="bottom"/>
            <w:hideMark/>
          </w:tcPr>
          <w:p w14:paraId="1430B97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11 951 </w:t>
            </w:r>
          </w:p>
        </w:tc>
        <w:tc>
          <w:tcPr>
            <w:tcW w:w="1300" w:type="dxa"/>
            <w:tcBorders>
              <w:top w:val="nil"/>
              <w:left w:val="nil"/>
              <w:bottom w:val="nil"/>
              <w:right w:val="nil"/>
            </w:tcBorders>
            <w:shd w:val="clear" w:color="auto" w:fill="auto"/>
            <w:noWrap/>
            <w:vAlign w:val="bottom"/>
            <w:hideMark/>
          </w:tcPr>
          <w:p w14:paraId="512C88D4"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-12 050 </w:t>
            </w:r>
          </w:p>
        </w:tc>
        <w:tc>
          <w:tcPr>
            <w:tcW w:w="1671" w:type="dxa"/>
            <w:tcBorders>
              <w:top w:val="nil"/>
              <w:left w:val="nil"/>
              <w:bottom w:val="nil"/>
              <w:right w:val="nil"/>
            </w:tcBorders>
            <w:shd w:val="clear" w:color="auto" w:fill="auto"/>
            <w:noWrap/>
            <w:vAlign w:val="bottom"/>
            <w:hideMark/>
          </w:tcPr>
          <w:p w14:paraId="1A23EF81"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-0,23%</w:t>
            </w:r>
          </w:p>
        </w:tc>
      </w:tr>
      <w:tr w:rsidR="00984D51" w:rsidRPr="008F5D99" w14:paraId="128EC983"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6C736CAA"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eastAsia="es-CR"/>
              </w:rPr>
              <w:t>Junio</w:t>
            </w:r>
          </w:p>
        </w:tc>
        <w:tc>
          <w:tcPr>
            <w:tcW w:w="1276" w:type="dxa"/>
            <w:tcBorders>
              <w:top w:val="nil"/>
              <w:left w:val="nil"/>
              <w:bottom w:val="nil"/>
              <w:right w:val="nil"/>
            </w:tcBorders>
            <w:shd w:val="clear" w:color="auto" w:fill="auto"/>
            <w:noWrap/>
            <w:vAlign w:val="bottom"/>
            <w:hideMark/>
          </w:tcPr>
          <w:p w14:paraId="7BEACF75"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42 639 </w:t>
            </w:r>
          </w:p>
        </w:tc>
        <w:tc>
          <w:tcPr>
            <w:tcW w:w="1458" w:type="dxa"/>
            <w:tcBorders>
              <w:top w:val="nil"/>
              <w:left w:val="nil"/>
              <w:bottom w:val="nil"/>
              <w:right w:val="nil"/>
            </w:tcBorders>
            <w:shd w:val="clear" w:color="auto" w:fill="auto"/>
            <w:noWrap/>
            <w:vAlign w:val="bottom"/>
            <w:hideMark/>
          </w:tcPr>
          <w:p w14:paraId="59720412"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5 241 229 </w:t>
            </w:r>
          </w:p>
        </w:tc>
        <w:tc>
          <w:tcPr>
            <w:tcW w:w="1380" w:type="dxa"/>
            <w:tcBorders>
              <w:top w:val="nil"/>
              <w:left w:val="nil"/>
              <w:bottom w:val="nil"/>
              <w:right w:val="nil"/>
            </w:tcBorders>
            <w:shd w:val="clear" w:color="auto" w:fill="auto"/>
            <w:noWrap/>
            <w:vAlign w:val="bottom"/>
            <w:hideMark/>
          </w:tcPr>
          <w:p w14:paraId="3E70184E"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-22 793 </w:t>
            </w:r>
          </w:p>
        </w:tc>
        <w:tc>
          <w:tcPr>
            <w:tcW w:w="1556" w:type="dxa"/>
            <w:tcBorders>
              <w:top w:val="nil"/>
              <w:left w:val="nil"/>
              <w:bottom w:val="nil"/>
              <w:right w:val="nil"/>
            </w:tcBorders>
            <w:shd w:val="clear" w:color="auto" w:fill="auto"/>
            <w:noWrap/>
            <w:vAlign w:val="bottom"/>
            <w:hideMark/>
          </w:tcPr>
          <w:p w14:paraId="79A2D2F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7 651 </w:t>
            </w:r>
          </w:p>
        </w:tc>
        <w:tc>
          <w:tcPr>
            <w:tcW w:w="1300" w:type="dxa"/>
            <w:tcBorders>
              <w:top w:val="nil"/>
              <w:left w:val="nil"/>
              <w:bottom w:val="nil"/>
              <w:right w:val="nil"/>
            </w:tcBorders>
            <w:shd w:val="clear" w:color="auto" w:fill="auto"/>
            <w:noWrap/>
            <w:vAlign w:val="bottom"/>
            <w:hideMark/>
          </w:tcPr>
          <w:p w14:paraId="43EEF32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-15 143 </w:t>
            </w:r>
          </w:p>
        </w:tc>
        <w:tc>
          <w:tcPr>
            <w:tcW w:w="1671" w:type="dxa"/>
            <w:tcBorders>
              <w:top w:val="nil"/>
              <w:left w:val="nil"/>
              <w:bottom w:val="nil"/>
              <w:right w:val="nil"/>
            </w:tcBorders>
            <w:shd w:val="clear" w:color="auto" w:fill="auto"/>
            <w:noWrap/>
            <w:vAlign w:val="bottom"/>
            <w:hideMark/>
          </w:tcPr>
          <w:p w14:paraId="275929D5"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-0,29%</w:t>
            </w:r>
          </w:p>
        </w:tc>
      </w:tr>
      <w:tr w:rsidR="00984D51" w:rsidRPr="008F5D99" w14:paraId="27E09EEA"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4FD4FC8D"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eastAsia="es-CR"/>
              </w:rPr>
              <w:t>Julio</w:t>
            </w:r>
          </w:p>
        </w:tc>
        <w:tc>
          <w:tcPr>
            <w:tcW w:w="1276" w:type="dxa"/>
            <w:tcBorders>
              <w:top w:val="nil"/>
              <w:left w:val="nil"/>
              <w:bottom w:val="nil"/>
              <w:right w:val="nil"/>
            </w:tcBorders>
            <w:shd w:val="clear" w:color="auto" w:fill="auto"/>
            <w:noWrap/>
            <w:vAlign w:val="bottom"/>
            <w:hideMark/>
          </w:tcPr>
          <w:p w14:paraId="3FE5BE4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82 639 </w:t>
            </w:r>
          </w:p>
        </w:tc>
        <w:tc>
          <w:tcPr>
            <w:tcW w:w="1458" w:type="dxa"/>
            <w:tcBorders>
              <w:top w:val="nil"/>
              <w:left w:val="nil"/>
              <w:bottom w:val="nil"/>
              <w:right w:val="nil"/>
            </w:tcBorders>
            <w:shd w:val="clear" w:color="auto" w:fill="auto"/>
            <w:noWrap/>
            <w:vAlign w:val="bottom"/>
            <w:hideMark/>
          </w:tcPr>
          <w:p w14:paraId="05D7F74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5 352 762 </w:t>
            </w:r>
          </w:p>
        </w:tc>
        <w:tc>
          <w:tcPr>
            <w:tcW w:w="1380" w:type="dxa"/>
            <w:tcBorders>
              <w:top w:val="nil"/>
              <w:left w:val="nil"/>
              <w:bottom w:val="nil"/>
              <w:right w:val="nil"/>
            </w:tcBorders>
            <w:shd w:val="clear" w:color="auto" w:fill="auto"/>
            <w:noWrap/>
            <w:vAlign w:val="bottom"/>
            <w:hideMark/>
          </w:tcPr>
          <w:p w14:paraId="18D58A7A"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-33 269 </w:t>
            </w:r>
          </w:p>
        </w:tc>
        <w:tc>
          <w:tcPr>
            <w:tcW w:w="1556" w:type="dxa"/>
            <w:tcBorders>
              <w:top w:val="nil"/>
              <w:left w:val="nil"/>
              <w:bottom w:val="nil"/>
              <w:right w:val="nil"/>
            </w:tcBorders>
            <w:shd w:val="clear" w:color="auto" w:fill="auto"/>
            <w:noWrap/>
            <w:vAlign w:val="bottom"/>
            <w:hideMark/>
          </w:tcPr>
          <w:p w14:paraId="1A1FC337"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20 005 </w:t>
            </w:r>
          </w:p>
        </w:tc>
        <w:tc>
          <w:tcPr>
            <w:tcW w:w="1300" w:type="dxa"/>
            <w:tcBorders>
              <w:top w:val="nil"/>
              <w:left w:val="nil"/>
              <w:bottom w:val="nil"/>
              <w:right w:val="nil"/>
            </w:tcBorders>
            <w:shd w:val="clear" w:color="auto" w:fill="auto"/>
            <w:noWrap/>
            <w:vAlign w:val="bottom"/>
            <w:hideMark/>
          </w:tcPr>
          <w:p w14:paraId="3C87C04C"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-13 264 </w:t>
            </w:r>
          </w:p>
        </w:tc>
        <w:tc>
          <w:tcPr>
            <w:tcW w:w="1671" w:type="dxa"/>
            <w:tcBorders>
              <w:top w:val="nil"/>
              <w:left w:val="nil"/>
              <w:bottom w:val="nil"/>
              <w:right w:val="nil"/>
            </w:tcBorders>
            <w:shd w:val="clear" w:color="auto" w:fill="auto"/>
            <w:noWrap/>
            <w:vAlign w:val="bottom"/>
            <w:hideMark/>
          </w:tcPr>
          <w:p w14:paraId="7457C266"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-0,25%</w:t>
            </w:r>
          </w:p>
        </w:tc>
      </w:tr>
      <w:tr w:rsidR="00984D51" w:rsidRPr="008F5D99" w14:paraId="2D914C6C"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543B3EFC"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eastAsia="es-CR"/>
              </w:rPr>
              <w:t>Agosto</w:t>
            </w:r>
          </w:p>
        </w:tc>
        <w:tc>
          <w:tcPr>
            <w:tcW w:w="1276" w:type="dxa"/>
            <w:tcBorders>
              <w:top w:val="nil"/>
              <w:left w:val="nil"/>
              <w:bottom w:val="nil"/>
              <w:right w:val="nil"/>
            </w:tcBorders>
            <w:shd w:val="clear" w:color="auto" w:fill="auto"/>
            <w:noWrap/>
            <w:vAlign w:val="bottom"/>
            <w:hideMark/>
          </w:tcPr>
          <w:p w14:paraId="3F1B60E7"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45 563 </w:t>
            </w:r>
          </w:p>
        </w:tc>
        <w:tc>
          <w:tcPr>
            <w:tcW w:w="1458" w:type="dxa"/>
            <w:tcBorders>
              <w:top w:val="nil"/>
              <w:left w:val="nil"/>
              <w:bottom w:val="nil"/>
              <w:right w:val="nil"/>
            </w:tcBorders>
            <w:shd w:val="clear" w:color="auto" w:fill="auto"/>
            <w:noWrap/>
            <w:vAlign w:val="bottom"/>
            <w:hideMark/>
          </w:tcPr>
          <w:p w14:paraId="294DA19E"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5 410 070 </w:t>
            </w:r>
          </w:p>
        </w:tc>
        <w:tc>
          <w:tcPr>
            <w:tcW w:w="1380" w:type="dxa"/>
            <w:tcBorders>
              <w:top w:val="nil"/>
              <w:left w:val="nil"/>
              <w:bottom w:val="nil"/>
              <w:right w:val="nil"/>
            </w:tcBorders>
            <w:shd w:val="clear" w:color="auto" w:fill="auto"/>
            <w:noWrap/>
            <w:vAlign w:val="bottom"/>
            <w:hideMark/>
          </w:tcPr>
          <w:p w14:paraId="4618535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-46 538 </w:t>
            </w:r>
          </w:p>
        </w:tc>
        <w:tc>
          <w:tcPr>
            <w:tcW w:w="1556" w:type="dxa"/>
            <w:tcBorders>
              <w:top w:val="nil"/>
              <w:left w:val="nil"/>
              <w:bottom w:val="nil"/>
              <w:right w:val="nil"/>
            </w:tcBorders>
            <w:shd w:val="clear" w:color="auto" w:fill="auto"/>
            <w:noWrap/>
            <w:vAlign w:val="bottom"/>
            <w:hideMark/>
          </w:tcPr>
          <w:p w14:paraId="7A510370"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24 775 </w:t>
            </w:r>
          </w:p>
        </w:tc>
        <w:tc>
          <w:tcPr>
            <w:tcW w:w="1300" w:type="dxa"/>
            <w:tcBorders>
              <w:top w:val="nil"/>
              <w:left w:val="nil"/>
              <w:bottom w:val="nil"/>
              <w:right w:val="nil"/>
            </w:tcBorders>
            <w:shd w:val="clear" w:color="auto" w:fill="auto"/>
            <w:noWrap/>
            <w:vAlign w:val="bottom"/>
            <w:hideMark/>
          </w:tcPr>
          <w:p w14:paraId="120D71CF"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-21 764 </w:t>
            </w:r>
          </w:p>
        </w:tc>
        <w:tc>
          <w:tcPr>
            <w:tcW w:w="1671" w:type="dxa"/>
            <w:tcBorders>
              <w:top w:val="nil"/>
              <w:left w:val="nil"/>
              <w:bottom w:val="nil"/>
              <w:right w:val="nil"/>
            </w:tcBorders>
            <w:shd w:val="clear" w:color="auto" w:fill="auto"/>
            <w:noWrap/>
            <w:vAlign w:val="bottom"/>
            <w:hideMark/>
          </w:tcPr>
          <w:p w14:paraId="6403A2BF"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-0,40%</w:t>
            </w:r>
          </w:p>
        </w:tc>
      </w:tr>
      <w:tr w:rsidR="00984D51" w:rsidRPr="008F5D99" w14:paraId="51B2536C"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62C01BF7" w14:textId="43425863"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eastAsia="es-CR"/>
              </w:rPr>
              <w:t>Setiembre</w:t>
            </w:r>
          </w:p>
        </w:tc>
        <w:tc>
          <w:tcPr>
            <w:tcW w:w="1276" w:type="dxa"/>
            <w:tcBorders>
              <w:top w:val="nil"/>
              <w:left w:val="nil"/>
              <w:bottom w:val="nil"/>
              <w:right w:val="nil"/>
            </w:tcBorders>
            <w:shd w:val="clear" w:color="auto" w:fill="auto"/>
            <w:noWrap/>
            <w:vAlign w:val="bottom"/>
            <w:hideMark/>
          </w:tcPr>
          <w:p w14:paraId="7B81E5F1"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143 018 </w:t>
            </w:r>
          </w:p>
        </w:tc>
        <w:tc>
          <w:tcPr>
            <w:tcW w:w="1458" w:type="dxa"/>
            <w:tcBorders>
              <w:top w:val="nil"/>
              <w:left w:val="nil"/>
              <w:bottom w:val="nil"/>
              <w:right w:val="nil"/>
            </w:tcBorders>
            <w:shd w:val="clear" w:color="auto" w:fill="auto"/>
            <w:noWrap/>
            <w:vAlign w:val="bottom"/>
            <w:hideMark/>
          </w:tcPr>
          <w:p w14:paraId="467EFB45"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5 398 555 </w:t>
            </w:r>
          </w:p>
        </w:tc>
        <w:tc>
          <w:tcPr>
            <w:tcW w:w="1380" w:type="dxa"/>
            <w:tcBorders>
              <w:top w:val="nil"/>
              <w:left w:val="nil"/>
              <w:bottom w:val="nil"/>
              <w:right w:val="nil"/>
            </w:tcBorders>
            <w:shd w:val="clear" w:color="auto" w:fill="auto"/>
            <w:noWrap/>
            <w:vAlign w:val="bottom"/>
            <w:hideMark/>
          </w:tcPr>
          <w:p w14:paraId="188879EF"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-60 829 </w:t>
            </w:r>
          </w:p>
        </w:tc>
        <w:tc>
          <w:tcPr>
            <w:tcW w:w="1556" w:type="dxa"/>
            <w:tcBorders>
              <w:top w:val="nil"/>
              <w:left w:val="nil"/>
              <w:bottom w:val="nil"/>
              <w:right w:val="nil"/>
            </w:tcBorders>
            <w:shd w:val="clear" w:color="auto" w:fill="auto"/>
            <w:noWrap/>
            <w:vAlign w:val="bottom"/>
            <w:hideMark/>
          </w:tcPr>
          <w:p w14:paraId="3B81DB66"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25 760 </w:t>
            </w:r>
          </w:p>
        </w:tc>
        <w:tc>
          <w:tcPr>
            <w:tcW w:w="1300" w:type="dxa"/>
            <w:tcBorders>
              <w:top w:val="nil"/>
              <w:left w:val="nil"/>
              <w:bottom w:val="nil"/>
              <w:right w:val="nil"/>
            </w:tcBorders>
            <w:shd w:val="clear" w:color="auto" w:fill="auto"/>
            <w:noWrap/>
            <w:vAlign w:val="bottom"/>
            <w:hideMark/>
          </w:tcPr>
          <w:p w14:paraId="5C62E7A4"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-35 069 </w:t>
            </w:r>
          </w:p>
        </w:tc>
        <w:tc>
          <w:tcPr>
            <w:tcW w:w="1671" w:type="dxa"/>
            <w:tcBorders>
              <w:top w:val="nil"/>
              <w:left w:val="nil"/>
              <w:bottom w:val="nil"/>
              <w:right w:val="nil"/>
            </w:tcBorders>
            <w:shd w:val="clear" w:color="auto" w:fill="auto"/>
            <w:noWrap/>
            <w:vAlign w:val="bottom"/>
            <w:hideMark/>
          </w:tcPr>
          <w:p w14:paraId="34D3BC4A"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-0,65%</w:t>
            </w:r>
          </w:p>
        </w:tc>
      </w:tr>
      <w:tr w:rsidR="00984D51" w:rsidRPr="008F5D99" w14:paraId="06ADEF16"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0C2ABCF0"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Octubre</w:t>
            </w:r>
          </w:p>
        </w:tc>
        <w:tc>
          <w:tcPr>
            <w:tcW w:w="1276" w:type="dxa"/>
            <w:tcBorders>
              <w:top w:val="nil"/>
              <w:left w:val="nil"/>
              <w:bottom w:val="nil"/>
              <w:right w:val="nil"/>
            </w:tcBorders>
            <w:shd w:val="clear" w:color="auto" w:fill="auto"/>
            <w:noWrap/>
            <w:vAlign w:val="bottom"/>
            <w:hideMark/>
          </w:tcPr>
          <w:p w14:paraId="14877F17"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105 797 </w:t>
            </w:r>
          </w:p>
        </w:tc>
        <w:tc>
          <w:tcPr>
            <w:tcW w:w="1458" w:type="dxa"/>
            <w:tcBorders>
              <w:top w:val="nil"/>
              <w:left w:val="nil"/>
              <w:bottom w:val="nil"/>
              <w:right w:val="nil"/>
            </w:tcBorders>
            <w:shd w:val="clear" w:color="auto" w:fill="auto"/>
            <w:noWrap/>
            <w:vAlign w:val="bottom"/>
            <w:hideMark/>
          </w:tcPr>
          <w:p w14:paraId="00DC7AAF"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5 489 066 </w:t>
            </w:r>
          </w:p>
        </w:tc>
        <w:tc>
          <w:tcPr>
            <w:tcW w:w="1380" w:type="dxa"/>
            <w:tcBorders>
              <w:top w:val="nil"/>
              <w:left w:val="nil"/>
              <w:bottom w:val="nil"/>
              <w:right w:val="nil"/>
            </w:tcBorders>
            <w:shd w:val="clear" w:color="auto" w:fill="auto"/>
            <w:noWrap/>
            <w:vAlign w:val="bottom"/>
            <w:hideMark/>
          </w:tcPr>
          <w:p w14:paraId="6BBA13A3"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-74 605 </w:t>
            </w:r>
          </w:p>
        </w:tc>
        <w:tc>
          <w:tcPr>
            <w:tcW w:w="1556" w:type="dxa"/>
            <w:tcBorders>
              <w:top w:val="nil"/>
              <w:left w:val="nil"/>
              <w:bottom w:val="nil"/>
              <w:right w:val="nil"/>
            </w:tcBorders>
            <w:shd w:val="clear" w:color="auto" w:fill="auto"/>
            <w:noWrap/>
            <w:vAlign w:val="bottom"/>
            <w:hideMark/>
          </w:tcPr>
          <w:p w14:paraId="0C555253"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- 9 302 </w:t>
            </w:r>
          </w:p>
        </w:tc>
        <w:tc>
          <w:tcPr>
            <w:tcW w:w="1300" w:type="dxa"/>
            <w:tcBorders>
              <w:top w:val="nil"/>
              <w:left w:val="nil"/>
              <w:bottom w:val="nil"/>
              <w:right w:val="nil"/>
            </w:tcBorders>
            <w:shd w:val="clear" w:color="auto" w:fill="auto"/>
            <w:noWrap/>
            <w:vAlign w:val="bottom"/>
            <w:hideMark/>
          </w:tcPr>
          <w:p w14:paraId="302C90DE"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-83 906 </w:t>
            </w:r>
          </w:p>
        </w:tc>
        <w:tc>
          <w:tcPr>
            <w:tcW w:w="1671" w:type="dxa"/>
            <w:tcBorders>
              <w:top w:val="nil"/>
              <w:left w:val="nil"/>
              <w:bottom w:val="nil"/>
              <w:right w:val="nil"/>
            </w:tcBorders>
            <w:shd w:val="clear" w:color="auto" w:fill="auto"/>
            <w:noWrap/>
            <w:vAlign w:val="bottom"/>
            <w:hideMark/>
          </w:tcPr>
          <w:p w14:paraId="35A9F35C"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-1,53%</w:t>
            </w:r>
          </w:p>
        </w:tc>
      </w:tr>
      <w:tr w:rsidR="00984D51" w:rsidRPr="008F5D99" w14:paraId="7017D45B" w14:textId="77777777" w:rsidTr="007F71E4">
        <w:trPr>
          <w:trHeight w:val="300"/>
          <w:jc w:val="center"/>
        </w:trPr>
        <w:tc>
          <w:tcPr>
            <w:tcW w:w="1418" w:type="dxa"/>
            <w:tcBorders>
              <w:top w:val="nil"/>
              <w:left w:val="nil"/>
              <w:bottom w:val="nil"/>
              <w:right w:val="nil"/>
            </w:tcBorders>
            <w:shd w:val="clear" w:color="auto" w:fill="auto"/>
            <w:noWrap/>
            <w:vAlign w:val="bottom"/>
            <w:hideMark/>
          </w:tcPr>
          <w:p w14:paraId="0EC9C9AA"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Noviembre</w:t>
            </w:r>
          </w:p>
        </w:tc>
        <w:tc>
          <w:tcPr>
            <w:tcW w:w="1276" w:type="dxa"/>
            <w:tcBorders>
              <w:top w:val="nil"/>
              <w:left w:val="nil"/>
              <w:bottom w:val="nil"/>
              <w:right w:val="nil"/>
            </w:tcBorders>
            <w:shd w:val="clear" w:color="auto" w:fill="auto"/>
            <w:noWrap/>
            <w:vAlign w:val="bottom"/>
            <w:hideMark/>
          </w:tcPr>
          <w:p w14:paraId="1553778C"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130 528 </w:t>
            </w:r>
          </w:p>
        </w:tc>
        <w:tc>
          <w:tcPr>
            <w:tcW w:w="1458" w:type="dxa"/>
            <w:tcBorders>
              <w:top w:val="nil"/>
              <w:left w:val="nil"/>
              <w:bottom w:val="nil"/>
              <w:right w:val="nil"/>
            </w:tcBorders>
            <w:shd w:val="clear" w:color="auto" w:fill="auto"/>
            <w:noWrap/>
            <w:vAlign w:val="bottom"/>
            <w:hideMark/>
          </w:tcPr>
          <w:p w14:paraId="669C94E8"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5 430 618 </w:t>
            </w:r>
          </w:p>
        </w:tc>
        <w:tc>
          <w:tcPr>
            <w:tcW w:w="1380" w:type="dxa"/>
            <w:tcBorders>
              <w:top w:val="nil"/>
              <w:left w:val="nil"/>
              <w:bottom w:val="nil"/>
              <w:right w:val="nil"/>
            </w:tcBorders>
            <w:shd w:val="clear" w:color="auto" w:fill="auto"/>
            <w:noWrap/>
            <w:vAlign w:val="bottom"/>
            <w:hideMark/>
          </w:tcPr>
          <w:p w14:paraId="3767470A"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- 114 201 </w:t>
            </w:r>
          </w:p>
        </w:tc>
        <w:tc>
          <w:tcPr>
            <w:tcW w:w="1556" w:type="dxa"/>
            <w:tcBorders>
              <w:top w:val="nil"/>
              <w:left w:val="nil"/>
              <w:bottom w:val="nil"/>
              <w:right w:val="nil"/>
            </w:tcBorders>
            <w:shd w:val="clear" w:color="auto" w:fill="auto"/>
            <w:noWrap/>
            <w:vAlign w:val="bottom"/>
            <w:hideMark/>
          </w:tcPr>
          <w:p w14:paraId="7E261D01"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- 7 466 </w:t>
            </w:r>
          </w:p>
        </w:tc>
        <w:tc>
          <w:tcPr>
            <w:tcW w:w="1300" w:type="dxa"/>
            <w:tcBorders>
              <w:top w:val="nil"/>
              <w:left w:val="nil"/>
              <w:bottom w:val="nil"/>
              <w:right w:val="nil"/>
            </w:tcBorders>
            <w:shd w:val="clear" w:color="auto" w:fill="auto"/>
            <w:noWrap/>
            <w:vAlign w:val="bottom"/>
            <w:hideMark/>
          </w:tcPr>
          <w:p w14:paraId="5E710B5C"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- 121 667 </w:t>
            </w:r>
          </w:p>
        </w:tc>
        <w:tc>
          <w:tcPr>
            <w:tcW w:w="1671" w:type="dxa"/>
            <w:tcBorders>
              <w:top w:val="nil"/>
              <w:left w:val="nil"/>
              <w:bottom w:val="nil"/>
              <w:right w:val="nil"/>
            </w:tcBorders>
            <w:shd w:val="clear" w:color="auto" w:fill="auto"/>
            <w:noWrap/>
            <w:vAlign w:val="bottom"/>
            <w:hideMark/>
          </w:tcPr>
          <w:p w14:paraId="212B1ED1"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-2,24%</w:t>
            </w:r>
          </w:p>
        </w:tc>
      </w:tr>
      <w:tr w:rsidR="00984D51" w:rsidRPr="008F5D99" w14:paraId="1F3B0F26" w14:textId="77777777" w:rsidTr="007F71E4">
        <w:trPr>
          <w:trHeight w:val="300"/>
          <w:jc w:val="center"/>
        </w:trPr>
        <w:tc>
          <w:tcPr>
            <w:tcW w:w="1418" w:type="dxa"/>
            <w:tcBorders>
              <w:top w:val="nil"/>
              <w:left w:val="nil"/>
              <w:bottom w:val="single" w:sz="4" w:space="0" w:color="auto"/>
              <w:right w:val="nil"/>
            </w:tcBorders>
            <w:shd w:val="clear" w:color="auto" w:fill="auto"/>
            <w:noWrap/>
            <w:vAlign w:val="bottom"/>
            <w:hideMark/>
          </w:tcPr>
          <w:p w14:paraId="40091FBB" w14:textId="77777777" w:rsidR="00984D51" w:rsidRPr="008F5D99" w:rsidRDefault="00984D51" w:rsidP="00984D51">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Diciembre</w:t>
            </w:r>
          </w:p>
        </w:tc>
        <w:tc>
          <w:tcPr>
            <w:tcW w:w="1276" w:type="dxa"/>
            <w:tcBorders>
              <w:top w:val="nil"/>
              <w:left w:val="nil"/>
              <w:bottom w:val="single" w:sz="4" w:space="0" w:color="auto"/>
              <w:right w:val="nil"/>
            </w:tcBorders>
            <w:shd w:val="clear" w:color="auto" w:fill="auto"/>
            <w:noWrap/>
            <w:vAlign w:val="bottom"/>
            <w:hideMark/>
          </w:tcPr>
          <w:p w14:paraId="329FE736"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163 721 </w:t>
            </w:r>
          </w:p>
        </w:tc>
        <w:tc>
          <w:tcPr>
            <w:tcW w:w="1458" w:type="dxa"/>
            <w:tcBorders>
              <w:top w:val="nil"/>
              <w:left w:val="nil"/>
              <w:bottom w:val="single" w:sz="4" w:space="0" w:color="auto"/>
              <w:right w:val="nil"/>
            </w:tcBorders>
            <w:shd w:val="clear" w:color="auto" w:fill="auto"/>
            <w:noWrap/>
            <w:vAlign w:val="bottom"/>
            <w:hideMark/>
          </w:tcPr>
          <w:p w14:paraId="0C3346FE"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5 403 480 </w:t>
            </w:r>
          </w:p>
        </w:tc>
        <w:tc>
          <w:tcPr>
            <w:tcW w:w="1380" w:type="dxa"/>
            <w:tcBorders>
              <w:top w:val="nil"/>
              <w:left w:val="nil"/>
              <w:bottom w:val="single" w:sz="4" w:space="0" w:color="auto"/>
              <w:right w:val="nil"/>
            </w:tcBorders>
            <w:shd w:val="clear" w:color="auto" w:fill="auto"/>
            <w:noWrap/>
            <w:vAlign w:val="bottom"/>
            <w:hideMark/>
          </w:tcPr>
          <w:p w14:paraId="4A3AD1A1"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- 124 445 </w:t>
            </w:r>
          </w:p>
        </w:tc>
        <w:tc>
          <w:tcPr>
            <w:tcW w:w="1556" w:type="dxa"/>
            <w:tcBorders>
              <w:top w:val="nil"/>
              <w:left w:val="nil"/>
              <w:bottom w:val="single" w:sz="4" w:space="0" w:color="auto"/>
              <w:right w:val="nil"/>
            </w:tcBorders>
            <w:shd w:val="clear" w:color="auto" w:fill="auto"/>
            <w:noWrap/>
            <w:vAlign w:val="bottom"/>
            <w:hideMark/>
          </w:tcPr>
          <w:p w14:paraId="3E82F96A"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- 52 801 </w:t>
            </w:r>
          </w:p>
        </w:tc>
        <w:tc>
          <w:tcPr>
            <w:tcW w:w="1300" w:type="dxa"/>
            <w:tcBorders>
              <w:top w:val="nil"/>
              <w:left w:val="nil"/>
              <w:bottom w:val="single" w:sz="4" w:space="0" w:color="auto"/>
              <w:right w:val="nil"/>
            </w:tcBorders>
            <w:shd w:val="clear" w:color="auto" w:fill="auto"/>
            <w:noWrap/>
            <w:vAlign w:val="bottom"/>
            <w:hideMark/>
          </w:tcPr>
          <w:p w14:paraId="439EF9CC"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- 177 246 </w:t>
            </w:r>
          </w:p>
        </w:tc>
        <w:tc>
          <w:tcPr>
            <w:tcW w:w="1671" w:type="dxa"/>
            <w:tcBorders>
              <w:top w:val="nil"/>
              <w:left w:val="nil"/>
              <w:bottom w:val="single" w:sz="4" w:space="0" w:color="auto"/>
              <w:right w:val="nil"/>
            </w:tcBorders>
            <w:shd w:val="clear" w:color="auto" w:fill="auto"/>
            <w:noWrap/>
            <w:vAlign w:val="bottom"/>
            <w:hideMark/>
          </w:tcPr>
          <w:p w14:paraId="3A6FAC20" w14:textId="77777777" w:rsidR="00984D51" w:rsidRPr="008F5D99" w:rsidRDefault="00984D51" w:rsidP="00984D51">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-3,28%</w:t>
            </w:r>
          </w:p>
        </w:tc>
      </w:tr>
    </w:tbl>
    <w:p w14:paraId="440A6011" w14:textId="77777777" w:rsidR="00736B67" w:rsidRPr="009B7058" w:rsidRDefault="00736B67" w:rsidP="00736B67">
      <w:pPr>
        <w:spacing w:after="20" w:line="240" w:lineRule="auto"/>
        <w:rPr>
          <w:rFonts w:asciiTheme="majorHAnsi" w:hAnsiTheme="majorHAnsi" w:cstheme="minorHAnsi"/>
          <w:sz w:val="20"/>
          <w:lang w:val="es-CR"/>
        </w:rPr>
      </w:pPr>
      <w:r w:rsidRPr="006877A9">
        <w:rPr>
          <w:rFonts w:asciiTheme="majorHAnsi" w:hAnsiTheme="majorHAnsi" w:cstheme="minorHAnsi"/>
          <w:b/>
          <w:sz w:val="20"/>
        </w:rPr>
        <w:t>Fuente:</w:t>
      </w:r>
      <w:r w:rsidRPr="009B7058">
        <w:rPr>
          <w:rFonts w:asciiTheme="majorHAnsi" w:hAnsiTheme="majorHAnsi" w:cstheme="minorHAnsi"/>
          <w:sz w:val="20"/>
        </w:rPr>
        <w:t xml:space="preserve"> Elaboración </w:t>
      </w:r>
      <w:r w:rsidRPr="009B7058">
        <w:rPr>
          <w:rFonts w:asciiTheme="majorHAnsi" w:hAnsiTheme="majorHAnsi" w:cstheme="minorHAnsi"/>
          <w:sz w:val="20"/>
          <w:lang w:val="es-CR"/>
        </w:rPr>
        <w:t>propia con datos suministrados por las entidades</w:t>
      </w:r>
    </w:p>
    <w:p w14:paraId="7D34F5C7" w14:textId="77777777" w:rsidR="00984D51" w:rsidRPr="008F5D99" w:rsidRDefault="00984D51" w:rsidP="00AB1521">
      <w:pPr>
        <w:spacing w:after="0" w:line="240" w:lineRule="auto"/>
        <w:jc w:val="center"/>
        <w:rPr>
          <w:rFonts w:asciiTheme="majorHAnsi" w:hAnsiTheme="majorHAnsi" w:cstheme="minorHAnsi"/>
          <w:highlight w:val="yellow"/>
          <w:lang w:val="es-CR"/>
        </w:rPr>
      </w:pPr>
    </w:p>
    <w:p w14:paraId="1EE3F6EE" w14:textId="77777777" w:rsidR="007D0BC7" w:rsidRPr="008F5D99" w:rsidRDefault="007D0BC7" w:rsidP="00C215C6">
      <w:pPr>
        <w:rPr>
          <w:rFonts w:asciiTheme="majorHAnsi" w:hAnsiTheme="majorHAnsi" w:cstheme="minorHAnsi"/>
          <w:color w:val="FF0000"/>
        </w:rPr>
      </w:pPr>
      <w:bookmarkStart w:id="14" w:name="_Toc530733762"/>
      <w:r w:rsidRPr="008F5D99">
        <w:rPr>
          <w:rFonts w:asciiTheme="majorHAnsi" w:hAnsiTheme="majorHAnsi" w:cstheme="minorHAnsi"/>
          <w:b/>
        </w:rPr>
        <w:t>Rentabilidad real</w:t>
      </w:r>
      <w:r w:rsidR="00EE62C1" w:rsidRPr="008F5D99">
        <w:rPr>
          <w:rFonts w:asciiTheme="majorHAnsi" w:hAnsiTheme="majorHAnsi" w:cstheme="minorHAnsi"/>
          <w:b/>
        </w:rPr>
        <w:t xml:space="preserve"> del</w:t>
      </w:r>
      <w:r w:rsidRPr="008F5D99">
        <w:rPr>
          <w:rFonts w:asciiTheme="majorHAnsi" w:hAnsiTheme="majorHAnsi" w:cstheme="minorHAnsi"/>
          <w:b/>
        </w:rPr>
        <w:t xml:space="preserve"> ROP</w:t>
      </w:r>
      <w:bookmarkEnd w:id="14"/>
    </w:p>
    <w:p w14:paraId="564ACD1A" w14:textId="77777777" w:rsidR="007F4271" w:rsidRPr="008F5D99" w:rsidRDefault="007F4271" w:rsidP="00D4737D">
      <w:pPr>
        <w:spacing w:line="240" w:lineRule="auto"/>
        <w:jc w:val="both"/>
        <w:rPr>
          <w:rFonts w:asciiTheme="majorHAnsi" w:hAnsiTheme="majorHAnsi" w:cstheme="minorHAnsi"/>
        </w:rPr>
      </w:pPr>
      <w:r w:rsidRPr="008F5D99">
        <w:rPr>
          <w:rFonts w:asciiTheme="majorHAnsi" w:hAnsiTheme="majorHAnsi" w:cstheme="minorHAnsi"/>
        </w:rPr>
        <w:t xml:space="preserve">Las rentabilidades del ROP se han visto afectadas por diferentes factores, los niveles de tasas de interés locales e internacionales, la fluctuación del tipo de cambio colon versus dólar y la conformación especifica de los instrumentos (plazo al vencimiento, duración, valores locales o internacionales, entre otros). </w:t>
      </w:r>
    </w:p>
    <w:p w14:paraId="1A35F738" w14:textId="77777777" w:rsidR="007F4271" w:rsidRPr="008F5D99" w:rsidRDefault="007F4271" w:rsidP="00D4737D">
      <w:pPr>
        <w:spacing w:line="240" w:lineRule="auto"/>
        <w:jc w:val="both"/>
        <w:rPr>
          <w:rFonts w:asciiTheme="majorHAnsi" w:hAnsiTheme="majorHAnsi" w:cstheme="minorHAnsi"/>
        </w:rPr>
      </w:pPr>
      <w:r w:rsidRPr="008F5D99">
        <w:rPr>
          <w:rFonts w:asciiTheme="majorHAnsi" w:hAnsiTheme="majorHAnsi" w:cstheme="minorHAnsi"/>
        </w:rPr>
        <w:t xml:space="preserve">El aumento de las tasas de interés locales afecta el valor de mercado de los instrumentos, es decir, el precio disminuye y esto produce que las carteras de inversiones de las OPC pierdan valor, afectando el rendimiento mensual de los fondos de manera negativa. </w:t>
      </w:r>
    </w:p>
    <w:p w14:paraId="60803E31" w14:textId="77777777" w:rsidR="007F4271" w:rsidRPr="008F5D99" w:rsidRDefault="007F4271" w:rsidP="00D4737D">
      <w:pPr>
        <w:spacing w:line="240" w:lineRule="auto"/>
        <w:jc w:val="both"/>
        <w:rPr>
          <w:rFonts w:asciiTheme="majorHAnsi" w:hAnsiTheme="majorHAnsi" w:cstheme="minorHAnsi"/>
        </w:rPr>
      </w:pPr>
      <w:r w:rsidRPr="008F5D99">
        <w:rPr>
          <w:rFonts w:asciiTheme="majorHAnsi" w:hAnsiTheme="majorHAnsi" w:cstheme="minorHAnsi"/>
        </w:rPr>
        <w:t xml:space="preserve">Además, la presencia de inversiones extranjeras puede afectar el valor de las inversiones, porque a pesar de que estas han ganado valor de mercado, se ven afectadas por las perdidas cambiarias derivadas de la apreciación del colón, debido a que la valoración de las carteras se coloniza.  </w:t>
      </w:r>
    </w:p>
    <w:p w14:paraId="59A1B41C" w14:textId="77777777" w:rsidR="007F4271" w:rsidRPr="008F5D99" w:rsidRDefault="007F4271" w:rsidP="00D4737D">
      <w:pPr>
        <w:spacing w:line="240" w:lineRule="auto"/>
        <w:jc w:val="both"/>
        <w:rPr>
          <w:rFonts w:asciiTheme="majorHAnsi" w:hAnsiTheme="majorHAnsi" w:cstheme="minorHAnsi"/>
        </w:rPr>
      </w:pPr>
      <w:r w:rsidRPr="008F5D99">
        <w:rPr>
          <w:rFonts w:asciiTheme="majorHAnsi" w:hAnsiTheme="majorHAnsi" w:cstheme="minorHAnsi"/>
        </w:rPr>
        <w:t xml:space="preserve">El resultado de la rentabilidad real para cada operadora en específico es una combinación de estos tres factores, dependiendo de las inversiones que cada fondo mantenga varía la dirección y la magnitud del efecto en la rentabilidad.  </w:t>
      </w:r>
    </w:p>
    <w:p w14:paraId="78D3AEF7" w14:textId="54FB0CEA" w:rsidR="00EF099B" w:rsidRDefault="00D4737D" w:rsidP="00D4737D">
      <w:pPr>
        <w:spacing w:line="240" w:lineRule="auto"/>
        <w:jc w:val="both"/>
        <w:rPr>
          <w:rFonts w:asciiTheme="majorHAnsi" w:hAnsiTheme="majorHAnsi" w:cstheme="minorHAnsi"/>
        </w:rPr>
      </w:pPr>
      <w:r w:rsidRPr="008F5D99">
        <w:rPr>
          <w:rFonts w:asciiTheme="majorHAnsi" w:hAnsiTheme="majorHAnsi" w:cstheme="minorHAnsi"/>
        </w:rPr>
        <w:t xml:space="preserve">Si observamos la rentabilidad real de 3 </w:t>
      </w:r>
      <w:r w:rsidR="00955F51">
        <w:rPr>
          <w:rFonts w:asciiTheme="majorHAnsi" w:hAnsiTheme="majorHAnsi" w:cstheme="minorHAnsi"/>
        </w:rPr>
        <w:t xml:space="preserve">y 5 </w:t>
      </w:r>
      <w:r w:rsidRPr="008F5D99">
        <w:rPr>
          <w:rFonts w:asciiTheme="majorHAnsi" w:hAnsiTheme="majorHAnsi" w:cstheme="minorHAnsi"/>
        </w:rPr>
        <w:t>años la tendencia ha sido decreciente para todas las operadoras</w:t>
      </w:r>
      <w:r w:rsidR="00955F51">
        <w:rPr>
          <w:rFonts w:asciiTheme="majorHAnsi" w:hAnsiTheme="majorHAnsi" w:cstheme="minorHAnsi"/>
        </w:rPr>
        <w:t xml:space="preserve">, pero en </w:t>
      </w:r>
      <w:r w:rsidRPr="008F5D99">
        <w:rPr>
          <w:rFonts w:asciiTheme="majorHAnsi" w:hAnsiTheme="majorHAnsi" w:cstheme="minorHAnsi"/>
        </w:rPr>
        <w:t xml:space="preserve">la de 5 </w:t>
      </w:r>
      <w:r w:rsidR="00955F51" w:rsidRPr="008F5D99">
        <w:rPr>
          <w:rFonts w:asciiTheme="majorHAnsi" w:hAnsiTheme="majorHAnsi" w:cstheme="minorHAnsi"/>
        </w:rPr>
        <w:t>años,</w:t>
      </w:r>
      <w:r w:rsidR="00955F51">
        <w:rPr>
          <w:rFonts w:asciiTheme="majorHAnsi" w:hAnsiTheme="majorHAnsi" w:cstheme="minorHAnsi"/>
        </w:rPr>
        <w:t xml:space="preserve"> aunque</w:t>
      </w:r>
      <w:r w:rsidRPr="008F5D99">
        <w:rPr>
          <w:rFonts w:asciiTheme="majorHAnsi" w:hAnsiTheme="majorHAnsi" w:cstheme="minorHAnsi"/>
        </w:rPr>
        <w:t xml:space="preserve"> </w:t>
      </w:r>
      <w:r w:rsidR="00955F51">
        <w:rPr>
          <w:rFonts w:asciiTheme="majorHAnsi" w:hAnsiTheme="majorHAnsi" w:cstheme="minorHAnsi"/>
        </w:rPr>
        <w:t>la</w:t>
      </w:r>
      <w:r w:rsidRPr="008F5D99">
        <w:rPr>
          <w:rFonts w:asciiTheme="majorHAnsi" w:hAnsiTheme="majorHAnsi" w:cstheme="minorHAnsi"/>
        </w:rPr>
        <w:t xml:space="preserve"> tendencia</w:t>
      </w:r>
      <w:r w:rsidR="00955F51">
        <w:rPr>
          <w:rFonts w:asciiTheme="majorHAnsi" w:hAnsiTheme="majorHAnsi" w:cstheme="minorHAnsi"/>
        </w:rPr>
        <w:t xml:space="preserve"> es</w:t>
      </w:r>
      <w:r w:rsidRPr="008F5D99">
        <w:rPr>
          <w:rFonts w:asciiTheme="majorHAnsi" w:hAnsiTheme="majorHAnsi" w:cstheme="minorHAnsi"/>
        </w:rPr>
        <w:t xml:space="preserve"> decreciente </w:t>
      </w:r>
      <w:r w:rsidR="00955F51">
        <w:rPr>
          <w:rFonts w:asciiTheme="majorHAnsi" w:hAnsiTheme="majorHAnsi" w:cstheme="minorHAnsi"/>
        </w:rPr>
        <w:t>es posible observar más estabilidad a lo largo del periodo</w:t>
      </w:r>
      <w:r w:rsidRPr="008F5D99">
        <w:rPr>
          <w:rFonts w:asciiTheme="majorHAnsi" w:hAnsiTheme="majorHAnsi" w:cstheme="minorHAnsi"/>
        </w:rPr>
        <w:t xml:space="preserve">. </w:t>
      </w:r>
      <w:r w:rsidR="00955F51">
        <w:rPr>
          <w:rFonts w:asciiTheme="majorHAnsi" w:hAnsiTheme="majorHAnsi" w:cstheme="minorHAnsi"/>
        </w:rPr>
        <w:t>Ahora bien,</w:t>
      </w:r>
      <w:r w:rsidRPr="008F5D99">
        <w:rPr>
          <w:rFonts w:asciiTheme="majorHAnsi" w:hAnsiTheme="majorHAnsi" w:cstheme="minorHAnsi"/>
        </w:rPr>
        <w:t xml:space="preserve"> los fondos de pensiones son de largo plazo, por lo tanto, para un análisis prudencial debiéramos mirar indicadores de largo plazo, porque los de corto plazo suelen ser muy volátiles. Cuando observamos la rentabilidad real de 10 años para el </w:t>
      </w:r>
      <w:r w:rsidR="00955F51">
        <w:rPr>
          <w:rFonts w:asciiTheme="majorHAnsi" w:hAnsiTheme="majorHAnsi" w:cstheme="minorHAnsi"/>
        </w:rPr>
        <w:t>2018</w:t>
      </w:r>
      <w:r w:rsidRPr="008F5D99">
        <w:rPr>
          <w:rFonts w:asciiTheme="majorHAnsi" w:hAnsiTheme="majorHAnsi" w:cstheme="minorHAnsi"/>
        </w:rPr>
        <w:t xml:space="preserve"> podemos ver que la tendencia en todas las Operadoras de Pensiones ha sido creciente.</w:t>
      </w:r>
      <w:r w:rsidR="008D06B2">
        <w:rPr>
          <w:rFonts w:asciiTheme="majorHAnsi" w:hAnsiTheme="majorHAnsi" w:cstheme="minorHAnsi"/>
        </w:rPr>
        <w:br/>
      </w:r>
    </w:p>
    <w:p w14:paraId="3E2B4679" w14:textId="77777777" w:rsidR="00EF099B" w:rsidRDefault="00EF099B">
      <w:pPr>
        <w:rPr>
          <w:rFonts w:asciiTheme="majorHAnsi" w:hAnsiTheme="majorHAnsi" w:cstheme="minorHAnsi"/>
        </w:rPr>
      </w:pPr>
      <w:r>
        <w:rPr>
          <w:rFonts w:asciiTheme="majorHAnsi" w:hAnsiTheme="majorHAnsi" w:cstheme="minorHAnsi"/>
        </w:rPr>
        <w:br w:type="page"/>
      </w:r>
    </w:p>
    <w:p w14:paraId="2DA1C3BA" w14:textId="093586BE" w:rsidR="0033676D" w:rsidRDefault="0033676D" w:rsidP="0033676D">
      <w:pPr>
        <w:spacing w:after="0" w:line="240" w:lineRule="auto"/>
        <w:jc w:val="center"/>
        <w:rPr>
          <w:rFonts w:asciiTheme="majorHAnsi" w:hAnsiTheme="majorHAnsi" w:cstheme="minorHAnsi"/>
        </w:rPr>
      </w:pPr>
      <w:r w:rsidRPr="0033676D">
        <w:rPr>
          <w:rFonts w:asciiTheme="majorHAnsi" w:hAnsiTheme="majorHAnsi" w:cstheme="minorHAnsi"/>
        </w:rPr>
        <w:lastRenderedPageBreak/>
        <w:t xml:space="preserve">Gráfico </w:t>
      </w:r>
      <w:r w:rsidRPr="0033676D">
        <w:rPr>
          <w:rFonts w:asciiTheme="majorHAnsi" w:hAnsiTheme="majorHAnsi" w:cstheme="minorHAnsi"/>
        </w:rPr>
        <w:fldChar w:fldCharType="begin"/>
      </w:r>
      <w:r w:rsidRPr="0033676D">
        <w:rPr>
          <w:rFonts w:asciiTheme="majorHAnsi" w:hAnsiTheme="majorHAnsi" w:cstheme="minorHAnsi"/>
        </w:rPr>
        <w:instrText xml:space="preserve"> SEQ Gráfico \* ARABIC </w:instrText>
      </w:r>
      <w:r w:rsidRPr="0033676D">
        <w:rPr>
          <w:rFonts w:asciiTheme="majorHAnsi" w:hAnsiTheme="majorHAnsi" w:cstheme="minorHAnsi"/>
        </w:rPr>
        <w:fldChar w:fldCharType="separate"/>
      </w:r>
      <w:r w:rsidR="00F7428D">
        <w:rPr>
          <w:rFonts w:asciiTheme="majorHAnsi" w:hAnsiTheme="majorHAnsi" w:cstheme="minorHAnsi"/>
          <w:noProof/>
        </w:rPr>
        <w:t>6</w:t>
      </w:r>
      <w:r w:rsidRPr="0033676D">
        <w:rPr>
          <w:rFonts w:asciiTheme="majorHAnsi" w:hAnsiTheme="majorHAnsi" w:cstheme="minorHAnsi"/>
        </w:rPr>
        <w:fldChar w:fldCharType="end"/>
      </w:r>
    </w:p>
    <w:p w14:paraId="3063C9B2" w14:textId="77777777" w:rsidR="007D0BC7" w:rsidRPr="008F5D99" w:rsidRDefault="0033676D" w:rsidP="00AB1521">
      <w:pPr>
        <w:spacing w:after="0" w:line="240" w:lineRule="auto"/>
        <w:jc w:val="center"/>
        <w:rPr>
          <w:rFonts w:asciiTheme="majorHAnsi" w:hAnsiTheme="majorHAnsi" w:cstheme="minorHAnsi"/>
        </w:rPr>
      </w:pPr>
      <w:r>
        <w:rPr>
          <w:rFonts w:asciiTheme="majorHAnsi" w:hAnsiTheme="majorHAnsi" w:cstheme="minorHAnsi"/>
        </w:rPr>
        <w:t>R</w:t>
      </w:r>
      <w:r w:rsidR="00737534" w:rsidRPr="008F5D99">
        <w:rPr>
          <w:rFonts w:asciiTheme="majorHAnsi" w:hAnsiTheme="majorHAnsi" w:cstheme="minorHAnsi"/>
        </w:rPr>
        <w:t>OP: Rentabilidad</w:t>
      </w:r>
      <w:r w:rsidR="007F4271" w:rsidRPr="008F5D99">
        <w:rPr>
          <w:rFonts w:asciiTheme="majorHAnsi" w:hAnsiTheme="majorHAnsi" w:cstheme="minorHAnsi"/>
        </w:rPr>
        <w:t xml:space="preserve"> real</w:t>
      </w:r>
      <w:r w:rsidR="00737534" w:rsidRPr="008F5D99">
        <w:rPr>
          <w:rFonts w:asciiTheme="majorHAnsi" w:hAnsiTheme="majorHAnsi" w:cstheme="minorHAnsi"/>
        </w:rPr>
        <w:t xml:space="preserve"> </w:t>
      </w:r>
      <w:r w:rsidR="00F51360" w:rsidRPr="008F5D99">
        <w:rPr>
          <w:rFonts w:asciiTheme="majorHAnsi" w:hAnsiTheme="majorHAnsi" w:cstheme="minorHAnsi"/>
        </w:rPr>
        <w:t>de 3</w:t>
      </w:r>
      <w:r w:rsidR="007F4271" w:rsidRPr="008F5D99">
        <w:rPr>
          <w:rFonts w:asciiTheme="majorHAnsi" w:hAnsiTheme="majorHAnsi" w:cstheme="minorHAnsi"/>
        </w:rPr>
        <w:t>, 5 y 10 años</w:t>
      </w:r>
      <w:r w:rsidR="00737534" w:rsidRPr="008F5D99">
        <w:rPr>
          <w:rFonts w:asciiTheme="majorHAnsi" w:hAnsiTheme="majorHAnsi" w:cstheme="minorHAnsi"/>
        </w:rPr>
        <w:t xml:space="preserve"> </w:t>
      </w:r>
    </w:p>
    <w:p w14:paraId="0B4020A7" w14:textId="77777777" w:rsidR="007F4271" w:rsidRPr="008F5D99" w:rsidRDefault="007F4271" w:rsidP="00AB1521">
      <w:pPr>
        <w:spacing w:after="0" w:line="240" w:lineRule="auto"/>
        <w:jc w:val="center"/>
        <w:rPr>
          <w:rFonts w:asciiTheme="majorHAnsi" w:hAnsiTheme="majorHAnsi" w:cstheme="minorHAnsi"/>
        </w:rPr>
      </w:pPr>
      <w:r w:rsidRPr="008F5D99">
        <w:rPr>
          <w:rFonts w:asciiTheme="majorHAnsi" w:hAnsiTheme="majorHAnsi" w:cstheme="minorHAnsi"/>
          <w:noProof/>
        </w:rPr>
        <w:drawing>
          <wp:inline distT="0" distB="0" distL="0" distR="0" wp14:anchorId="227C5961" wp14:editId="07777777">
            <wp:extent cx="4223504" cy="766762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4317" cy="7687256"/>
                    </a:xfrm>
                    <a:prstGeom prst="rect">
                      <a:avLst/>
                    </a:prstGeom>
                    <a:noFill/>
                  </pic:spPr>
                </pic:pic>
              </a:graphicData>
            </a:graphic>
          </wp:inline>
        </w:drawing>
      </w:r>
    </w:p>
    <w:p w14:paraId="5AA210D6" w14:textId="77777777" w:rsidR="007F4271" w:rsidRPr="009B7058" w:rsidRDefault="007F4271" w:rsidP="007F4271">
      <w:pPr>
        <w:spacing w:after="20" w:line="240" w:lineRule="auto"/>
        <w:ind w:left="708" w:firstLine="708"/>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 xml:space="preserve">propia </w:t>
      </w:r>
    </w:p>
    <w:p w14:paraId="7BAB1681" w14:textId="77777777" w:rsidR="00CC18F3" w:rsidRDefault="00CC18F3" w:rsidP="003D29C0">
      <w:pPr>
        <w:pStyle w:val="Ttulo2"/>
        <w:rPr>
          <w:rFonts w:cstheme="minorHAnsi"/>
        </w:rPr>
      </w:pPr>
    </w:p>
    <w:p w14:paraId="558DB68D" w14:textId="078B077E" w:rsidR="007D0BC7" w:rsidRDefault="007D0BC7" w:rsidP="003D29C0">
      <w:pPr>
        <w:pStyle w:val="Ttulo2"/>
        <w:rPr>
          <w:rFonts w:cstheme="minorHAnsi"/>
        </w:rPr>
      </w:pPr>
      <w:r w:rsidRPr="003D29C0">
        <w:rPr>
          <w:rFonts w:cstheme="minorHAnsi"/>
        </w:rPr>
        <w:t>Pensiones y demás prestaciones</w:t>
      </w:r>
    </w:p>
    <w:p w14:paraId="1D7B270A" w14:textId="77777777" w:rsidR="00D03A51" w:rsidRDefault="00D03A51" w:rsidP="00D03A51">
      <w:pPr>
        <w:spacing w:after="0" w:line="240" w:lineRule="auto"/>
        <w:jc w:val="both"/>
        <w:rPr>
          <w:rFonts w:asciiTheme="majorHAnsi" w:hAnsiTheme="majorHAnsi" w:cstheme="minorHAnsi"/>
        </w:rPr>
      </w:pPr>
    </w:p>
    <w:p w14:paraId="1D7D42D3" w14:textId="77777777" w:rsidR="007D0BC7" w:rsidRDefault="00D03A51" w:rsidP="00D03A51">
      <w:pPr>
        <w:spacing w:after="0" w:line="240" w:lineRule="auto"/>
        <w:jc w:val="both"/>
        <w:rPr>
          <w:rFonts w:asciiTheme="majorHAnsi" w:hAnsiTheme="majorHAnsi" w:cstheme="minorHAnsi"/>
        </w:rPr>
      </w:pPr>
      <w:r>
        <w:rPr>
          <w:rFonts w:asciiTheme="majorHAnsi" w:hAnsiTheme="majorHAnsi" w:cstheme="minorHAnsi"/>
        </w:rPr>
        <w:t>E</w:t>
      </w:r>
      <w:r w:rsidR="007D0BC7" w:rsidRPr="008F5D99">
        <w:rPr>
          <w:rFonts w:asciiTheme="majorHAnsi" w:hAnsiTheme="majorHAnsi" w:cstheme="minorHAnsi"/>
        </w:rPr>
        <w:t xml:space="preserve">ste capítulo </w:t>
      </w:r>
      <w:r w:rsidR="009B5584" w:rsidRPr="008F5D99">
        <w:rPr>
          <w:rFonts w:asciiTheme="majorHAnsi" w:hAnsiTheme="majorHAnsi" w:cstheme="minorHAnsi"/>
        </w:rPr>
        <w:t>presenta</w:t>
      </w:r>
      <w:r w:rsidR="007D0BC7" w:rsidRPr="008F5D99">
        <w:rPr>
          <w:rFonts w:asciiTheme="majorHAnsi" w:hAnsiTheme="majorHAnsi" w:cstheme="minorHAnsi"/>
        </w:rPr>
        <w:t xml:space="preserve"> la situación de los regímenes de pensiones en Costa Rica desde la perspectiva de la </w:t>
      </w:r>
      <w:proofErr w:type="spellStart"/>
      <w:r w:rsidR="007D0BC7" w:rsidRPr="008F5D99">
        <w:rPr>
          <w:rFonts w:asciiTheme="majorHAnsi" w:hAnsiTheme="majorHAnsi" w:cstheme="minorHAnsi"/>
        </w:rPr>
        <w:t>desacumulación</w:t>
      </w:r>
      <w:proofErr w:type="spellEnd"/>
      <w:r w:rsidR="007D0BC7" w:rsidRPr="008F5D99">
        <w:rPr>
          <w:rFonts w:asciiTheme="majorHAnsi" w:hAnsiTheme="majorHAnsi" w:cstheme="minorHAnsi"/>
        </w:rPr>
        <w:t>. Más allá de un análisis de sostenibilidad (expuesto en el capítulo de supervisión), aquí se pretende</w:t>
      </w:r>
      <w:r w:rsidR="002A5E5C" w:rsidRPr="008F5D99">
        <w:rPr>
          <w:rFonts w:asciiTheme="majorHAnsi" w:hAnsiTheme="majorHAnsi" w:cstheme="minorHAnsi"/>
        </w:rPr>
        <w:t>n</w:t>
      </w:r>
      <w:r w:rsidR="007D0BC7" w:rsidRPr="008F5D99">
        <w:rPr>
          <w:rFonts w:asciiTheme="majorHAnsi" w:hAnsiTheme="majorHAnsi" w:cstheme="minorHAnsi"/>
        </w:rPr>
        <w:t xml:space="preserve"> describir los montos de pensión y las características de los afiliados que las disfrutan en los distintos regímenes existentes. La descripción del fenómeno se hace tomando como base la información histórica disponible en las bases de datos de</w:t>
      </w:r>
      <w:r w:rsidR="00CA65EA" w:rsidRPr="008F5D99">
        <w:rPr>
          <w:rFonts w:asciiTheme="majorHAnsi" w:hAnsiTheme="majorHAnsi" w:cstheme="minorHAnsi"/>
        </w:rPr>
        <w:t>l</w:t>
      </w:r>
      <w:r w:rsidR="007D0BC7" w:rsidRPr="008F5D99">
        <w:rPr>
          <w:rFonts w:asciiTheme="majorHAnsi" w:hAnsiTheme="majorHAnsi" w:cstheme="minorHAnsi"/>
        </w:rPr>
        <w:t xml:space="preserve"> supervisor.</w:t>
      </w:r>
    </w:p>
    <w:p w14:paraId="4F904CB7" w14:textId="77777777" w:rsidR="006A1B0E" w:rsidRPr="008F5D99" w:rsidRDefault="006A1B0E" w:rsidP="00D03A51">
      <w:pPr>
        <w:spacing w:after="0" w:line="240" w:lineRule="auto"/>
        <w:jc w:val="both"/>
        <w:rPr>
          <w:rFonts w:asciiTheme="majorHAnsi" w:hAnsiTheme="majorHAnsi" w:cstheme="minorHAnsi"/>
        </w:rPr>
      </w:pPr>
    </w:p>
    <w:p w14:paraId="58BB588A" w14:textId="77777777" w:rsidR="007D0BC7" w:rsidRPr="008F5D99" w:rsidRDefault="007D0BC7" w:rsidP="00AB1521">
      <w:pPr>
        <w:spacing w:line="240" w:lineRule="auto"/>
        <w:jc w:val="both"/>
        <w:rPr>
          <w:rFonts w:asciiTheme="majorHAnsi" w:hAnsiTheme="majorHAnsi" w:cstheme="minorHAnsi"/>
        </w:rPr>
      </w:pPr>
      <w:r w:rsidRPr="008F5D99">
        <w:rPr>
          <w:rFonts w:asciiTheme="majorHAnsi" w:hAnsiTheme="majorHAnsi" w:cstheme="minorHAnsi"/>
        </w:rPr>
        <w:t xml:space="preserve">El sistema costarricense de pensiones es </w:t>
      </w:r>
      <w:proofErr w:type="spellStart"/>
      <w:r w:rsidRPr="008F5D99">
        <w:rPr>
          <w:rFonts w:asciiTheme="majorHAnsi" w:hAnsiTheme="majorHAnsi" w:cstheme="minorHAnsi"/>
        </w:rPr>
        <w:t>multipilar</w:t>
      </w:r>
      <w:proofErr w:type="spellEnd"/>
      <w:r w:rsidRPr="008F5D99">
        <w:rPr>
          <w:rFonts w:asciiTheme="majorHAnsi" w:hAnsiTheme="majorHAnsi" w:cstheme="minorHAnsi"/>
        </w:rPr>
        <w:t xml:space="preserve"> lo que hace que su análisis parta de una separación en al menos cuatro tipos diferentes de prestaciones que, en conjunto, consolidan los recursos para hacer frente a la vejez. Además de los cuatro pilares está también el fenómeno de las pensiones por invalidez y por sobrevivencia, las cuales completan las aristas del análisis de este capítulo.</w:t>
      </w:r>
    </w:p>
    <w:p w14:paraId="619E3044" w14:textId="77777777" w:rsidR="007D0BC7" w:rsidRPr="008F5D99" w:rsidRDefault="007D0BC7" w:rsidP="00AB1521">
      <w:pPr>
        <w:spacing w:line="240" w:lineRule="auto"/>
        <w:jc w:val="both"/>
        <w:rPr>
          <w:rFonts w:asciiTheme="majorHAnsi" w:hAnsiTheme="majorHAnsi" w:cstheme="minorHAnsi"/>
        </w:rPr>
      </w:pPr>
      <w:r w:rsidRPr="008F5D99">
        <w:rPr>
          <w:rFonts w:asciiTheme="majorHAnsi" w:hAnsiTheme="majorHAnsi" w:cstheme="minorHAnsi"/>
        </w:rPr>
        <w:t>La coyuntura que enfrenta nuestro país a finales de la segunda década de este siglo lleva consigo el inicio de la madurez del sistema complementario obligatorio, esto es, que los saldos acumulados a lo largo de casi 18 años empiezan a ser suficientes (dado el aporte del 4,25% del salario) para financiar pensiones que representen al menos un 10% de la pensión del régimen básico, esto hace que el año 2018 sea un punto de inflexión en el análisis de las pensiones complementarias. Con esto, inicia el proceso de entender el sistema y abre el reto de darlo a conocer a los trabajadores, quienes a la fecha aún esperan llevarse en un solo tracto los montos acumulados, contrario al objetivo de una pensión, cual es proteger el capital para hacer frente a los gastos de los años de retiro.</w:t>
      </w:r>
      <w:r w:rsidRPr="008F5D99">
        <w:rPr>
          <w:rFonts w:asciiTheme="majorHAnsi" w:hAnsiTheme="majorHAnsi" w:cstheme="minorHAnsi"/>
          <w:noProof/>
        </w:rPr>
        <w:t xml:space="preserve"> </w:t>
      </w:r>
    </w:p>
    <w:p w14:paraId="0822560B" w14:textId="77777777" w:rsidR="007D0BC7" w:rsidRDefault="007D0BC7" w:rsidP="006A1B0E">
      <w:pPr>
        <w:spacing w:after="0" w:line="240" w:lineRule="auto"/>
        <w:jc w:val="both"/>
        <w:rPr>
          <w:rFonts w:asciiTheme="majorHAnsi" w:hAnsiTheme="majorHAnsi" w:cstheme="minorHAnsi"/>
        </w:rPr>
      </w:pPr>
      <w:r w:rsidRPr="006A1B0E">
        <w:rPr>
          <w:rFonts w:asciiTheme="majorHAnsi" w:hAnsiTheme="majorHAnsi" w:cstheme="minorHAnsi"/>
        </w:rPr>
        <w:t xml:space="preserve">El segundo elemento presente en el análisis es el envejecimiento paulatino de nuestra fuerza laboral, </w:t>
      </w:r>
      <w:r w:rsidR="008E7FE9" w:rsidRPr="006A1B0E">
        <w:rPr>
          <w:rFonts w:asciiTheme="majorHAnsi" w:hAnsiTheme="majorHAnsi" w:cstheme="minorHAnsi"/>
        </w:rPr>
        <w:t xml:space="preserve">como se observa en el siguiente gráfico, </w:t>
      </w:r>
      <w:r w:rsidRPr="006A1B0E">
        <w:rPr>
          <w:rFonts w:asciiTheme="majorHAnsi" w:hAnsiTheme="majorHAnsi" w:cstheme="minorHAnsi"/>
        </w:rPr>
        <w:t xml:space="preserve">si bien es cierto, el punto donde la masa de trabajadores entrará en edad de retiro iniciará a mitad de siglo, desde ya puede apreciarse la evolución del proceso. Hoy en día el grueso de la población asalariada está </w:t>
      </w:r>
      <w:r w:rsidR="00932273" w:rsidRPr="006A1B0E">
        <w:rPr>
          <w:rFonts w:asciiTheme="majorHAnsi" w:hAnsiTheme="majorHAnsi" w:cstheme="minorHAnsi"/>
        </w:rPr>
        <w:t xml:space="preserve">en </w:t>
      </w:r>
      <w:r w:rsidRPr="006A1B0E">
        <w:rPr>
          <w:rFonts w:asciiTheme="majorHAnsi" w:hAnsiTheme="majorHAnsi" w:cstheme="minorHAnsi"/>
        </w:rPr>
        <w:t>alrededor de los 30 años, tanto en hombres como en mujeres.</w:t>
      </w:r>
    </w:p>
    <w:p w14:paraId="06971CD3" w14:textId="77777777" w:rsidR="006A1B0E" w:rsidRPr="006A1B0E" w:rsidRDefault="006A1B0E" w:rsidP="006A1B0E">
      <w:pPr>
        <w:spacing w:after="0" w:line="240" w:lineRule="auto"/>
        <w:jc w:val="both"/>
        <w:rPr>
          <w:rFonts w:asciiTheme="majorHAnsi" w:hAnsiTheme="majorHAnsi" w:cstheme="minorHAnsi"/>
        </w:rPr>
      </w:pPr>
    </w:p>
    <w:p w14:paraId="4894D180" w14:textId="77777777" w:rsidR="006A1B0E" w:rsidRDefault="006A1B0E" w:rsidP="006A1B0E">
      <w:pPr>
        <w:spacing w:after="0" w:line="240" w:lineRule="auto"/>
        <w:jc w:val="center"/>
        <w:rPr>
          <w:rFonts w:asciiTheme="majorHAnsi" w:hAnsiTheme="majorHAnsi" w:cstheme="minorHAnsi"/>
        </w:rPr>
      </w:pPr>
      <w:r w:rsidRPr="0033676D">
        <w:rPr>
          <w:rFonts w:asciiTheme="majorHAnsi" w:hAnsiTheme="majorHAnsi" w:cstheme="minorHAnsi"/>
        </w:rPr>
        <w:t xml:space="preserve">Gráfico </w:t>
      </w:r>
      <w:r w:rsidRPr="0033676D">
        <w:rPr>
          <w:rFonts w:asciiTheme="majorHAnsi" w:hAnsiTheme="majorHAnsi" w:cstheme="minorHAnsi"/>
        </w:rPr>
        <w:fldChar w:fldCharType="begin"/>
      </w:r>
      <w:r w:rsidRPr="0033676D">
        <w:rPr>
          <w:rFonts w:asciiTheme="majorHAnsi" w:hAnsiTheme="majorHAnsi" w:cstheme="minorHAnsi"/>
        </w:rPr>
        <w:instrText xml:space="preserve"> SEQ Gráfico \* ARABIC </w:instrText>
      </w:r>
      <w:r w:rsidRPr="0033676D">
        <w:rPr>
          <w:rFonts w:asciiTheme="majorHAnsi" w:hAnsiTheme="majorHAnsi" w:cstheme="minorHAnsi"/>
        </w:rPr>
        <w:fldChar w:fldCharType="separate"/>
      </w:r>
      <w:r>
        <w:rPr>
          <w:rFonts w:asciiTheme="majorHAnsi" w:hAnsiTheme="majorHAnsi" w:cstheme="minorHAnsi"/>
        </w:rPr>
        <w:t>7</w:t>
      </w:r>
      <w:r w:rsidRPr="0033676D">
        <w:rPr>
          <w:rFonts w:asciiTheme="majorHAnsi" w:hAnsiTheme="majorHAnsi" w:cstheme="minorHAnsi"/>
        </w:rPr>
        <w:fldChar w:fldCharType="end"/>
      </w:r>
    </w:p>
    <w:p w14:paraId="3000AA76" w14:textId="77777777" w:rsidR="002B1D77" w:rsidRPr="006A1B0E" w:rsidRDefault="002B1D77" w:rsidP="002B1D77">
      <w:pPr>
        <w:spacing w:after="0" w:line="240" w:lineRule="auto"/>
        <w:jc w:val="center"/>
        <w:rPr>
          <w:rFonts w:asciiTheme="majorHAnsi" w:hAnsiTheme="majorHAnsi" w:cstheme="minorHAnsi"/>
        </w:rPr>
      </w:pPr>
      <w:r w:rsidRPr="006A1B0E">
        <w:rPr>
          <w:rFonts w:asciiTheme="majorHAnsi" w:hAnsiTheme="majorHAnsi" w:cstheme="minorHAnsi"/>
        </w:rPr>
        <w:t>Pirámide Poblacional</w:t>
      </w:r>
    </w:p>
    <w:p w14:paraId="578B9138" w14:textId="77777777" w:rsidR="002B1D77" w:rsidRPr="006A1B0E" w:rsidRDefault="002B1D77" w:rsidP="002B1D77">
      <w:pPr>
        <w:spacing w:after="0" w:line="240" w:lineRule="auto"/>
        <w:jc w:val="center"/>
        <w:rPr>
          <w:rFonts w:asciiTheme="majorHAnsi" w:hAnsiTheme="majorHAnsi" w:cstheme="minorHAnsi"/>
        </w:rPr>
      </w:pPr>
      <w:r w:rsidRPr="006A1B0E">
        <w:rPr>
          <w:rFonts w:asciiTheme="majorHAnsi" w:hAnsiTheme="majorHAnsi" w:cstheme="minorHAnsi"/>
        </w:rPr>
        <w:t>Población Asalariada</w:t>
      </w:r>
    </w:p>
    <w:p w14:paraId="2A1F701D" w14:textId="77777777" w:rsidR="006A1B0E" w:rsidRPr="008F5D99" w:rsidRDefault="006A1B0E" w:rsidP="002B1D77">
      <w:pPr>
        <w:spacing w:after="0" w:line="240" w:lineRule="auto"/>
        <w:jc w:val="center"/>
        <w:rPr>
          <w:rFonts w:asciiTheme="majorHAnsi" w:hAnsiTheme="majorHAnsi" w:cstheme="minorHAnsi"/>
        </w:rPr>
      </w:pPr>
      <w:r>
        <w:rPr>
          <w:rFonts w:asciiTheme="majorHAnsi" w:hAnsiTheme="majorHAnsi" w:cstheme="minorHAnsi"/>
          <w:noProof/>
        </w:rPr>
        <w:drawing>
          <wp:inline distT="0" distB="0" distL="0" distR="0" wp14:anchorId="51B1D188" wp14:editId="58461952">
            <wp:extent cx="3329796" cy="2125541"/>
            <wp:effectExtent l="0" t="0" r="444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9318" cy="2144386"/>
                    </a:xfrm>
                    <a:prstGeom prst="rect">
                      <a:avLst/>
                    </a:prstGeom>
                    <a:noFill/>
                    <a:ln>
                      <a:noFill/>
                    </a:ln>
                  </pic:spPr>
                </pic:pic>
              </a:graphicData>
            </a:graphic>
          </wp:inline>
        </w:drawing>
      </w:r>
    </w:p>
    <w:p w14:paraId="7F0F9B46" w14:textId="77777777" w:rsidR="00E15415" w:rsidRPr="009B7058" w:rsidRDefault="00E15415" w:rsidP="006A1B0E">
      <w:pPr>
        <w:spacing w:after="20" w:line="240" w:lineRule="auto"/>
        <w:ind w:left="1560" w:right="1325"/>
        <w:rPr>
          <w:rFonts w:asciiTheme="majorHAnsi" w:hAnsiTheme="majorHAnsi" w:cstheme="minorHAnsi"/>
          <w:sz w:val="20"/>
          <w:lang w:val="es-CR"/>
        </w:rPr>
      </w:pPr>
      <w:bookmarkStart w:id="15" w:name="_Toc530733763"/>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w:t>
      </w:r>
    </w:p>
    <w:p w14:paraId="03EFCA41" w14:textId="77777777" w:rsidR="002B1D77" w:rsidRPr="00E15415" w:rsidRDefault="002B1D77" w:rsidP="00C215C6">
      <w:pPr>
        <w:rPr>
          <w:rFonts w:asciiTheme="majorHAnsi" w:hAnsiTheme="majorHAnsi" w:cstheme="minorHAnsi"/>
          <w:b/>
          <w:lang w:val="es-CR"/>
        </w:rPr>
      </w:pPr>
    </w:p>
    <w:p w14:paraId="307F62DD" w14:textId="77777777" w:rsidR="007D0BC7" w:rsidRPr="008F5D99" w:rsidRDefault="0056425A" w:rsidP="00C215C6">
      <w:pPr>
        <w:rPr>
          <w:rFonts w:asciiTheme="majorHAnsi" w:hAnsiTheme="majorHAnsi" w:cstheme="minorHAnsi"/>
          <w:b/>
        </w:rPr>
      </w:pPr>
      <w:r w:rsidRPr="008F5D99">
        <w:rPr>
          <w:rFonts w:asciiTheme="majorHAnsi" w:hAnsiTheme="majorHAnsi" w:cstheme="minorHAnsi"/>
          <w:b/>
        </w:rPr>
        <w:t>P</w:t>
      </w:r>
      <w:r w:rsidR="007D0BC7" w:rsidRPr="008F5D99">
        <w:rPr>
          <w:rFonts w:asciiTheme="majorHAnsi" w:hAnsiTheme="majorHAnsi" w:cstheme="minorHAnsi"/>
          <w:b/>
        </w:rPr>
        <w:t>ensiones por Régimen y tipo de protección</w:t>
      </w:r>
      <w:bookmarkEnd w:id="15"/>
    </w:p>
    <w:p w14:paraId="3F6425A7" w14:textId="51F8747E" w:rsidR="00BD22B3" w:rsidRDefault="002A5E5C" w:rsidP="001345C6">
      <w:pPr>
        <w:spacing w:line="240" w:lineRule="auto"/>
        <w:jc w:val="both"/>
        <w:rPr>
          <w:rFonts w:asciiTheme="majorHAnsi" w:hAnsiTheme="majorHAnsi" w:cstheme="minorHAnsi"/>
        </w:rPr>
      </w:pPr>
      <w:r w:rsidRPr="008F5D99">
        <w:rPr>
          <w:rFonts w:asciiTheme="majorHAnsi" w:hAnsiTheme="majorHAnsi" w:cstheme="minorHAnsi"/>
        </w:rPr>
        <w:t>El Sistema Nacional de P</w:t>
      </w:r>
      <w:r w:rsidR="007D0BC7" w:rsidRPr="008F5D99">
        <w:rPr>
          <w:rFonts w:asciiTheme="majorHAnsi" w:hAnsiTheme="majorHAnsi" w:cstheme="minorHAnsi"/>
        </w:rPr>
        <w:t xml:space="preserve">ensiones descansa sobre un pilar básico de protección a cargo de cinco gestores: i) el Régimen de Invalidez, Vejez y Muerte (IVM) administrado por la CCSS, </w:t>
      </w:r>
      <w:proofErr w:type="spellStart"/>
      <w:r w:rsidR="007D0BC7" w:rsidRPr="008F5D99">
        <w:rPr>
          <w:rFonts w:asciiTheme="majorHAnsi" w:hAnsiTheme="majorHAnsi" w:cstheme="minorHAnsi"/>
        </w:rPr>
        <w:t>ii</w:t>
      </w:r>
      <w:proofErr w:type="spellEnd"/>
      <w:r w:rsidR="007D0BC7" w:rsidRPr="008F5D99">
        <w:rPr>
          <w:rFonts w:asciiTheme="majorHAnsi" w:hAnsiTheme="majorHAnsi" w:cstheme="minorHAnsi"/>
        </w:rPr>
        <w:t>) el Régimen del Poder Judicial próximo a ser administrado por una junta administrativa, según la ú</w:t>
      </w:r>
      <w:r w:rsidR="00932273" w:rsidRPr="008F5D99">
        <w:rPr>
          <w:rFonts w:asciiTheme="majorHAnsi" w:hAnsiTheme="majorHAnsi" w:cstheme="minorHAnsi"/>
        </w:rPr>
        <w:t>ltima reforma aprobada en mayo del 2018</w:t>
      </w:r>
      <w:r w:rsidR="007D0BC7" w:rsidRPr="008F5D99">
        <w:rPr>
          <w:rFonts w:asciiTheme="majorHAnsi" w:hAnsiTheme="majorHAnsi" w:cstheme="minorHAnsi"/>
        </w:rPr>
        <w:t xml:space="preserve">, </w:t>
      </w:r>
      <w:proofErr w:type="spellStart"/>
      <w:r w:rsidR="007D0BC7" w:rsidRPr="008F5D99">
        <w:rPr>
          <w:rFonts w:asciiTheme="majorHAnsi" w:hAnsiTheme="majorHAnsi" w:cstheme="minorHAnsi"/>
        </w:rPr>
        <w:t>iii</w:t>
      </w:r>
      <w:proofErr w:type="spellEnd"/>
      <w:r w:rsidR="007D0BC7" w:rsidRPr="008F5D99">
        <w:rPr>
          <w:rFonts w:asciiTheme="majorHAnsi" w:hAnsiTheme="majorHAnsi" w:cstheme="minorHAnsi"/>
        </w:rPr>
        <w:t xml:space="preserve">) </w:t>
      </w:r>
      <w:r w:rsidR="00932273" w:rsidRPr="008F5D99">
        <w:rPr>
          <w:rFonts w:asciiTheme="majorHAnsi" w:hAnsiTheme="majorHAnsi" w:cstheme="minorHAnsi"/>
        </w:rPr>
        <w:t>el R</w:t>
      </w:r>
      <w:r w:rsidR="007D0BC7" w:rsidRPr="008F5D99">
        <w:rPr>
          <w:rFonts w:asciiTheme="majorHAnsi" w:hAnsiTheme="majorHAnsi" w:cstheme="minorHAnsi"/>
        </w:rPr>
        <w:t>égimen de Magisterio Nacional, administrado por la Junta de Pensiones, este régimen tiene la particularidad de que en la década de los noventas se di</w:t>
      </w:r>
      <w:r w:rsidR="00932273" w:rsidRPr="008F5D99">
        <w:rPr>
          <w:rFonts w:asciiTheme="majorHAnsi" w:hAnsiTheme="majorHAnsi" w:cstheme="minorHAnsi"/>
        </w:rPr>
        <w:t>vidió en dos, uno con cargo al Presupuesto N</w:t>
      </w:r>
      <w:r w:rsidR="007D0BC7" w:rsidRPr="008F5D99">
        <w:rPr>
          <w:rFonts w:asciiTheme="majorHAnsi" w:hAnsiTheme="majorHAnsi" w:cstheme="minorHAnsi"/>
        </w:rPr>
        <w:t xml:space="preserve">acional, conocido como </w:t>
      </w:r>
      <w:r w:rsidR="0069118B" w:rsidRPr="008F5D99">
        <w:rPr>
          <w:rFonts w:asciiTheme="majorHAnsi" w:hAnsiTheme="majorHAnsi" w:cstheme="minorHAnsi"/>
        </w:rPr>
        <w:t xml:space="preserve">Régimen </w:t>
      </w:r>
      <w:r w:rsidR="007D0BC7" w:rsidRPr="008F5D99">
        <w:rPr>
          <w:rFonts w:asciiTheme="majorHAnsi" w:hAnsiTheme="majorHAnsi" w:cstheme="minorHAnsi"/>
        </w:rPr>
        <w:t>Transitorio de Reparto</w:t>
      </w:r>
      <w:r w:rsidR="0069118B" w:rsidRPr="008F5D99">
        <w:rPr>
          <w:rFonts w:asciiTheme="majorHAnsi" w:hAnsiTheme="majorHAnsi" w:cstheme="minorHAnsi"/>
        </w:rPr>
        <w:t>(RTRMN)</w:t>
      </w:r>
      <w:r w:rsidR="007D0BC7" w:rsidRPr="008F5D99">
        <w:rPr>
          <w:rFonts w:asciiTheme="majorHAnsi" w:hAnsiTheme="majorHAnsi" w:cstheme="minorHAnsi"/>
        </w:rPr>
        <w:t xml:space="preserve"> y uno para los nuevos</w:t>
      </w:r>
      <w:r w:rsidR="00932273" w:rsidRPr="008F5D99">
        <w:rPr>
          <w:rFonts w:asciiTheme="majorHAnsi" w:hAnsiTheme="majorHAnsi" w:cstheme="minorHAnsi"/>
        </w:rPr>
        <w:t xml:space="preserve"> trabajadores, conocido como R</w:t>
      </w:r>
      <w:r w:rsidR="007D0BC7" w:rsidRPr="008F5D99">
        <w:rPr>
          <w:rFonts w:asciiTheme="majorHAnsi" w:hAnsiTheme="majorHAnsi" w:cstheme="minorHAnsi"/>
        </w:rPr>
        <w:t>égimen de Capitalización Colectiva</w:t>
      </w:r>
      <w:r w:rsidR="0069118B" w:rsidRPr="008F5D99">
        <w:rPr>
          <w:rFonts w:asciiTheme="majorHAnsi" w:hAnsiTheme="majorHAnsi" w:cstheme="minorHAnsi"/>
        </w:rPr>
        <w:t>(RCCMN)</w:t>
      </w:r>
      <w:r w:rsidR="007D0BC7" w:rsidRPr="008F5D99">
        <w:rPr>
          <w:rFonts w:asciiTheme="majorHAnsi" w:hAnsiTheme="majorHAnsi" w:cstheme="minorHAnsi"/>
        </w:rPr>
        <w:t>, el cual por su poco tiempo de conformación aún no reporta prestacio</w:t>
      </w:r>
      <w:r w:rsidR="00932273" w:rsidRPr="008F5D99">
        <w:rPr>
          <w:rFonts w:asciiTheme="majorHAnsi" w:hAnsiTheme="majorHAnsi" w:cstheme="minorHAnsi"/>
        </w:rPr>
        <w:t>nes. Un cuarto Régimen para el Cuerpo de B</w:t>
      </w:r>
      <w:r w:rsidR="007D0BC7" w:rsidRPr="008F5D99">
        <w:rPr>
          <w:rFonts w:asciiTheme="majorHAnsi" w:hAnsiTheme="majorHAnsi" w:cstheme="minorHAnsi"/>
        </w:rPr>
        <w:t>omberos, el cual fue cerrado (1992 mediante Ley 7302) para los nuevos trabajadores, quienes actualmente cotizan en el Régimen de Invalidez, Vejez y Muerte de la CCSS y finalmente un quinto régimen, que en realidad es un conjunto de regímenes especiales creados por leyes particulares, cuyo común denominador es que son gestionadas por la Dirección Nacional de Pensiones</w:t>
      </w:r>
      <w:r w:rsidR="0069118B" w:rsidRPr="008F5D99">
        <w:rPr>
          <w:rFonts w:asciiTheme="majorHAnsi" w:hAnsiTheme="majorHAnsi" w:cstheme="minorHAnsi"/>
        </w:rPr>
        <w:t xml:space="preserve"> (DNP)</w:t>
      </w:r>
      <w:r w:rsidR="007D0BC7" w:rsidRPr="008F5D99">
        <w:rPr>
          <w:rFonts w:asciiTheme="majorHAnsi" w:hAnsiTheme="majorHAnsi" w:cstheme="minorHAnsi"/>
        </w:rPr>
        <w:t xml:space="preserve"> del Ministerio de Trabaj</w:t>
      </w:r>
      <w:r w:rsidR="00AB1521" w:rsidRPr="008F5D99">
        <w:rPr>
          <w:rFonts w:asciiTheme="majorHAnsi" w:hAnsiTheme="majorHAnsi" w:cstheme="minorHAnsi"/>
        </w:rPr>
        <w:t>o y Seguridad Social y que son todos con cargo al Presupuesto N</w:t>
      </w:r>
      <w:r w:rsidR="007D0BC7" w:rsidRPr="008F5D99">
        <w:rPr>
          <w:rFonts w:asciiTheme="majorHAnsi" w:hAnsiTheme="majorHAnsi" w:cstheme="minorHAnsi"/>
        </w:rPr>
        <w:t>acional.</w:t>
      </w:r>
    </w:p>
    <w:p w14:paraId="4FD11034" w14:textId="5E539E0D" w:rsidR="001345C6" w:rsidRPr="001345C6" w:rsidRDefault="001345C6" w:rsidP="001345C6">
      <w:pPr>
        <w:keepNext/>
        <w:spacing w:after="0" w:line="240" w:lineRule="auto"/>
        <w:jc w:val="center"/>
        <w:rPr>
          <w:rFonts w:asciiTheme="majorHAnsi" w:hAnsiTheme="majorHAnsi" w:cstheme="minorHAnsi"/>
        </w:rPr>
      </w:pPr>
      <w:r w:rsidRPr="001345C6">
        <w:rPr>
          <w:rFonts w:asciiTheme="majorHAnsi" w:hAnsiTheme="majorHAnsi" w:cstheme="minorHAnsi"/>
        </w:rPr>
        <w:t xml:space="preserve">Cuadro </w:t>
      </w:r>
      <w:r w:rsidRPr="001345C6">
        <w:rPr>
          <w:rFonts w:asciiTheme="majorHAnsi" w:hAnsiTheme="majorHAnsi" w:cstheme="minorHAnsi"/>
        </w:rPr>
        <w:fldChar w:fldCharType="begin"/>
      </w:r>
      <w:r w:rsidRPr="001345C6">
        <w:rPr>
          <w:rFonts w:asciiTheme="majorHAnsi" w:hAnsiTheme="majorHAnsi" w:cstheme="minorHAnsi"/>
        </w:rPr>
        <w:instrText xml:space="preserve"> SEQ Cuadro \* ARABIC </w:instrText>
      </w:r>
      <w:r w:rsidRPr="001345C6">
        <w:rPr>
          <w:rFonts w:asciiTheme="majorHAnsi" w:hAnsiTheme="majorHAnsi" w:cstheme="minorHAnsi"/>
        </w:rPr>
        <w:fldChar w:fldCharType="separate"/>
      </w:r>
      <w:r w:rsidR="00F7428D">
        <w:rPr>
          <w:rFonts w:asciiTheme="majorHAnsi" w:hAnsiTheme="majorHAnsi" w:cstheme="minorHAnsi"/>
          <w:noProof/>
        </w:rPr>
        <w:t>12</w:t>
      </w:r>
      <w:r w:rsidRPr="001345C6">
        <w:rPr>
          <w:rFonts w:asciiTheme="majorHAnsi" w:hAnsiTheme="majorHAnsi" w:cstheme="minorHAnsi"/>
        </w:rPr>
        <w:fldChar w:fldCharType="end"/>
      </w:r>
    </w:p>
    <w:p w14:paraId="1A3B9F92" w14:textId="77777777" w:rsidR="00CF66F5" w:rsidRPr="008F5D99" w:rsidRDefault="00CF66F5" w:rsidP="00CF66F5">
      <w:pPr>
        <w:spacing w:after="0" w:line="240" w:lineRule="auto"/>
        <w:jc w:val="center"/>
        <w:rPr>
          <w:rFonts w:asciiTheme="majorHAnsi" w:hAnsiTheme="majorHAnsi" w:cstheme="minorHAnsi"/>
        </w:rPr>
      </w:pPr>
      <w:r w:rsidRPr="008F5D99">
        <w:rPr>
          <w:rFonts w:asciiTheme="majorHAnsi" w:hAnsiTheme="majorHAnsi" w:cstheme="minorHAnsi"/>
        </w:rPr>
        <w:t>Pensionados del Sistema Nacional de Pensiones</w:t>
      </w:r>
    </w:p>
    <w:p w14:paraId="6AE8374D" w14:textId="77777777" w:rsidR="00CF66F5" w:rsidRPr="008F5D99" w:rsidRDefault="00CF66F5" w:rsidP="00CF66F5">
      <w:pPr>
        <w:spacing w:after="0" w:line="240" w:lineRule="auto"/>
        <w:jc w:val="center"/>
        <w:rPr>
          <w:rFonts w:asciiTheme="majorHAnsi" w:hAnsiTheme="majorHAnsi" w:cstheme="minorHAnsi"/>
        </w:rPr>
      </w:pPr>
      <w:r w:rsidRPr="008F5D99">
        <w:rPr>
          <w:rFonts w:asciiTheme="majorHAnsi" w:hAnsiTheme="majorHAnsi" w:cstheme="minorHAnsi"/>
        </w:rPr>
        <w:t>Fondos de Beneficio Definido</w:t>
      </w:r>
    </w:p>
    <w:p w14:paraId="0C90D76D" w14:textId="26C548DD" w:rsidR="00CF66F5" w:rsidRPr="008F5D99" w:rsidRDefault="006A1B0E" w:rsidP="00CF66F5">
      <w:pPr>
        <w:spacing w:after="0" w:line="240" w:lineRule="auto"/>
        <w:jc w:val="center"/>
        <w:rPr>
          <w:rFonts w:asciiTheme="majorHAnsi" w:hAnsiTheme="majorHAnsi" w:cstheme="minorHAnsi"/>
        </w:rPr>
      </w:pPr>
      <w:r>
        <w:rPr>
          <w:rFonts w:asciiTheme="majorHAnsi" w:hAnsiTheme="majorHAnsi" w:cstheme="minorHAnsi"/>
        </w:rPr>
        <w:t>Al 31 de s</w:t>
      </w:r>
      <w:r w:rsidR="00F86BB3" w:rsidRPr="008F5D99">
        <w:rPr>
          <w:rFonts w:asciiTheme="majorHAnsi" w:hAnsiTheme="majorHAnsi" w:cstheme="minorHAnsi"/>
        </w:rPr>
        <w:t>etiembre</w:t>
      </w:r>
      <w:r w:rsidR="00CF66F5" w:rsidRPr="008F5D99">
        <w:rPr>
          <w:rFonts w:asciiTheme="majorHAnsi" w:hAnsiTheme="majorHAnsi" w:cstheme="minorHAnsi"/>
        </w:rPr>
        <w:t xml:space="preserve"> 2018</w:t>
      </w:r>
    </w:p>
    <w:tbl>
      <w:tblPr>
        <w:tblW w:w="9500" w:type="dxa"/>
        <w:jc w:val="center"/>
        <w:tblCellMar>
          <w:left w:w="70" w:type="dxa"/>
          <w:right w:w="70" w:type="dxa"/>
        </w:tblCellMar>
        <w:tblLook w:val="04A0" w:firstRow="1" w:lastRow="0" w:firstColumn="1" w:lastColumn="0" w:noHBand="0" w:noVBand="1"/>
      </w:tblPr>
      <w:tblGrid>
        <w:gridCol w:w="1576"/>
        <w:gridCol w:w="1181"/>
        <w:gridCol w:w="1638"/>
        <w:gridCol w:w="1136"/>
        <w:gridCol w:w="1134"/>
        <w:gridCol w:w="1701"/>
        <w:gridCol w:w="1134"/>
      </w:tblGrid>
      <w:tr w:rsidR="00C058D7" w:rsidRPr="008F5D99" w14:paraId="534CC4B4" w14:textId="77777777" w:rsidTr="00C058D7">
        <w:trPr>
          <w:trHeight w:val="300"/>
          <w:jc w:val="center"/>
        </w:trPr>
        <w:tc>
          <w:tcPr>
            <w:tcW w:w="1576" w:type="dxa"/>
            <w:vMerge w:val="restart"/>
            <w:tcBorders>
              <w:top w:val="single" w:sz="4" w:space="0" w:color="auto"/>
              <w:left w:val="nil"/>
              <w:bottom w:val="double" w:sz="6" w:space="0" w:color="000000"/>
              <w:right w:val="nil"/>
            </w:tcBorders>
            <w:shd w:val="clear" w:color="auto" w:fill="auto"/>
            <w:noWrap/>
            <w:vAlign w:val="bottom"/>
            <w:hideMark/>
          </w:tcPr>
          <w:p w14:paraId="7EF6C42E" w14:textId="77777777" w:rsidR="00C058D7" w:rsidRPr="008F5D99" w:rsidRDefault="00C058D7" w:rsidP="00C058D7">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w:t>
            </w:r>
          </w:p>
        </w:tc>
        <w:tc>
          <w:tcPr>
            <w:tcW w:w="3955" w:type="dxa"/>
            <w:gridSpan w:val="3"/>
            <w:tcBorders>
              <w:top w:val="single" w:sz="4" w:space="0" w:color="auto"/>
              <w:left w:val="nil"/>
              <w:bottom w:val="nil"/>
              <w:right w:val="nil"/>
            </w:tcBorders>
            <w:shd w:val="clear" w:color="auto" w:fill="auto"/>
            <w:noWrap/>
            <w:vAlign w:val="bottom"/>
            <w:hideMark/>
          </w:tcPr>
          <w:p w14:paraId="67FA5D20" w14:textId="77777777" w:rsidR="00C058D7" w:rsidRPr="008F5D99" w:rsidRDefault="00353E05" w:rsidP="00C058D7">
            <w:pPr>
              <w:spacing w:after="0" w:line="240" w:lineRule="auto"/>
              <w:jc w:val="center"/>
              <w:rPr>
                <w:rFonts w:asciiTheme="majorHAnsi" w:eastAsia="Times New Roman" w:hAnsiTheme="majorHAnsi" w:cstheme="minorHAnsi"/>
                <w:b/>
                <w:bCs/>
                <w:color w:val="000000"/>
                <w:lang w:val="es-CR" w:eastAsia="es-CR"/>
              </w:rPr>
            </w:pPr>
            <w:r>
              <w:rPr>
                <w:rFonts w:asciiTheme="majorHAnsi" w:eastAsia="Times New Roman" w:hAnsiTheme="majorHAnsi" w:cstheme="minorHAnsi"/>
                <w:b/>
                <w:bCs/>
                <w:color w:val="000000"/>
                <w:lang w:val="es-CR" w:eastAsia="es-CR"/>
              </w:rPr>
              <w:t>Pensionados</w:t>
            </w:r>
          </w:p>
        </w:tc>
        <w:tc>
          <w:tcPr>
            <w:tcW w:w="3969" w:type="dxa"/>
            <w:gridSpan w:val="3"/>
            <w:tcBorders>
              <w:top w:val="single" w:sz="4" w:space="0" w:color="auto"/>
              <w:left w:val="nil"/>
              <w:bottom w:val="nil"/>
              <w:right w:val="nil"/>
            </w:tcBorders>
            <w:shd w:val="clear" w:color="auto" w:fill="auto"/>
            <w:noWrap/>
            <w:vAlign w:val="bottom"/>
            <w:hideMark/>
          </w:tcPr>
          <w:p w14:paraId="0F67D180" w14:textId="77777777" w:rsidR="00C058D7" w:rsidRPr="008F5D99" w:rsidRDefault="00C058D7" w:rsidP="00C058D7">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Pensión Promedio (colones)</w:t>
            </w:r>
          </w:p>
        </w:tc>
      </w:tr>
      <w:tr w:rsidR="00C058D7" w:rsidRPr="008F5D99" w14:paraId="3D706CB2" w14:textId="77777777" w:rsidTr="00C058D7">
        <w:trPr>
          <w:trHeight w:val="30"/>
          <w:jc w:val="center"/>
        </w:trPr>
        <w:tc>
          <w:tcPr>
            <w:tcW w:w="1576" w:type="dxa"/>
            <w:vMerge/>
            <w:tcBorders>
              <w:top w:val="single" w:sz="4" w:space="0" w:color="auto"/>
              <w:left w:val="nil"/>
              <w:bottom w:val="double" w:sz="6" w:space="0" w:color="000000"/>
              <w:right w:val="nil"/>
            </w:tcBorders>
            <w:vAlign w:val="center"/>
            <w:hideMark/>
          </w:tcPr>
          <w:p w14:paraId="5F96A722"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p>
        </w:tc>
        <w:tc>
          <w:tcPr>
            <w:tcW w:w="1181" w:type="dxa"/>
            <w:tcBorders>
              <w:top w:val="nil"/>
              <w:left w:val="nil"/>
              <w:bottom w:val="double" w:sz="6" w:space="0" w:color="auto"/>
              <w:right w:val="nil"/>
            </w:tcBorders>
            <w:shd w:val="clear" w:color="auto" w:fill="auto"/>
            <w:noWrap/>
            <w:vAlign w:val="bottom"/>
            <w:hideMark/>
          </w:tcPr>
          <w:p w14:paraId="0789E073" w14:textId="77777777" w:rsidR="00C058D7" w:rsidRPr="008F5D99" w:rsidRDefault="00C058D7" w:rsidP="00E15415">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Invalidez</w:t>
            </w:r>
          </w:p>
        </w:tc>
        <w:tc>
          <w:tcPr>
            <w:tcW w:w="1638" w:type="dxa"/>
            <w:tcBorders>
              <w:top w:val="nil"/>
              <w:left w:val="nil"/>
              <w:bottom w:val="double" w:sz="6" w:space="0" w:color="auto"/>
              <w:right w:val="nil"/>
            </w:tcBorders>
            <w:shd w:val="clear" w:color="auto" w:fill="auto"/>
            <w:noWrap/>
            <w:vAlign w:val="bottom"/>
            <w:hideMark/>
          </w:tcPr>
          <w:p w14:paraId="25EE51AB" w14:textId="77777777" w:rsidR="00C058D7" w:rsidRPr="008F5D99" w:rsidRDefault="00C058D7" w:rsidP="00E15415">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Sobrevivencia</w:t>
            </w:r>
          </w:p>
        </w:tc>
        <w:tc>
          <w:tcPr>
            <w:tcW w:w="1134" w:type="dxa"/>
            <w:tcBorders>
              <w:top w:val="nil"/>
              <w:left w:val="nil"/>
              <w:bottom w:val="double" w:sz="6" w:space="0" w:color="auto"/>
              <w:right w:val="nil"/>
            </w:tcBorders>
            <w:shd w:val="clear" w:color="auto" w:fill="auto"/>
            <w:noWrap/>
            <w:vAlign w:val="bottom"/>
            <w:hideMark/>
          </w:tcPr>
          <w:p w14:paraId="4106A3B7" w14:textId="77777777" w:rsidR="00C058D7" w:rsidRPr="008F5D99" w:rsidRDefault="00C058D7" w:rsidP="00E15415">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Vejez</w:t>
            </w:r>
          </w:p>
        </w:tc>
        <w:tc>
          <w:tcPr>
            <w:tcW w:w="1134" w:type="dxa"/>
            <w:tcBorders>
              <w:top w:val="nil"/>
              <w:left w:val="nil"/>
              <w:bottom w:val="double" w:sz="6" w:space="0" w:color="auto"/>
              <w:right w:val="nil"/>
            </w:tcBorders>
            <w:shd w:val="clear" w:color="auto" w:fill="auto"/>
            <w:noWrap/>
            <w:vAlign w:val="bottom"/>
            <w:hideMark/>
          </w:tcPr>
          <w:p w14:paraId="09CE5731" w14:textId="77777777" w:rsidR="00C058D7" w:rsidRPr="008F5D99" w:rsidRDefault="00C058D7" w:rsidP="00E15415">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Invalidez</w:t>
            </w:r>
          </w:p>
        </w:tc>
        <w:tc>
          <w:tcPr>
            <w:tcW w:w="1701" w:type="dxa"/>
            <w:tcBorders>
              <w:top w:val="nil"/>
              <w:left w:val="nil"/>
              <w:bottom w:val="double" w:sz="6" w:space="0" w:color="auto"/>
              <w:right w:val="nil"/>
            </w:tcBorders>
            <w:shd w:val="clear" w:color="auto" w:fill="auto"/>
            <w:noWrap/>
            <w:vAlign w:val="bottom"/>
            <w:hideMark/>
          </w:tcPr>
          <w:p w14:paraId="1A1F30A0" w14:textId="77777777" w:rsidR="00C058D7" w:rsidRPr="008F5D99" w:rsidRDefault="00C058D7" w:rsidP="00E15415">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Sobrevivencia</w:t>
            </w:r>
          </w:p>
        </w:tc>
        <w:tc>
          <w:tcPr>
            <w:tcW w:w="1134" w:type="dxa"/>
            <w:tcBorders>
              <w:top w:val="nil"/>
              <w:left w:val="nil"/>
              <w:bottom w:val="double" w:sz="6" w:space="0" w:color="auto"/>
              <w:right w:val="nil"/>
            </w:tcBorders>
            <w:shd w:val="clear" w:color="auto" w:fill="auto"/>
            <w:noWrap/>
            <w:vAlign w:val="bottom"/>
            <w:hideMark/>
          </w:tcPr>
          <w:p w14:paraId="09895046" w14:textId="77777777" w:rsidR="00C058D7" w:rsidRPr="008F5D99" w:rsidRDefault="00C058D7" w:rsidP="00E15415">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Vejez</w:t>
            </w:r>
          </w:p>
        </w:tc>
      </w:tr>
      <w:tr w:rsidR="00C058D7" w:rsidRPr="008F5D99" w14:paraId="2325B0A9" w14:textId="77777777" w:rsidTr="00C058D7">
        <w:trPr>
          <w:trHeight w:val="30"/>
          <w:jc w:val="center"/>
        </w:trPr>
        <w:tc>
          <w:tcPr>
            <w:tcW w:w="9500" w:type="dxa"/>
            <w:gridSpan w:val="7"/>
            <w:tcBorders>
              <w:top w:val="nil"/>
              <w:left w:val="nil"/>
              <w:bottom w:val="nil"/>
              <w:right w:val="nil"/>
            </w:tcBorders>
            <w:shd w:val="clear" w:color="auto" w:fill="auto"/>
            <w:noWrap/>
            <w:vAlign w:val="bottom"/>
            <w:hideMark/>
          </w:tcPr>
          <w:p w14:paraId="3BB06E35" w14:textId="77777777" w:rsidR="00C058D7" w:rsidRPr="008F5D99" w:rsidRDefault="00C058D7" w:rsidP="00C058D7">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Regímenes Básicos</w:t>
            </w:r>
          </w:p>
        </w:tc>
      </w:tr>
      <w:tr w:rsidR="00C058D7" w:rsidRPr="008F5D99" w14:paraId="7EC8BF47" w14:textId="77777777" w:rsidTr="00C058D7">
        <w:trPr>
          <w:trHeight w:val="75"/>
          <w:jc w:val="center"/>
        </w:trPr>
        <w:tc>
          <w:tcPr>
            <w:tcW w:w="1576" w:type="dxa"/>
            <w:tcBorders>
              <w:top w:val="nil"/>
              <w:left w:val="nil"/>
              <w:bottom w:val="nil"/>
              <w:right w:val="nil"/>
            </w:tcBorders>
            <w:shd w:val="clear" w:color="auto" w:fill="auto"/>
            <w:noWrap/>
            <w:vAlign w:val="bottom"/>
            <w:hideMark/>
          </w:tcPr>
          <w:p w14:paraId="1747803F"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IVM</w:t>
            </w:r>
          </w:p>
        </w:tc>
        <w:tc>
          <w:tcPr>
            <w:tcW w:w="1181" w:type="dxa"/>
            <w:tcBorders>
              <w:top w:val="nil"/>
              <w:left w:val="nil"/>
              <w:bottom w:val="nil"/>
              <w:right w:val="nil"/>
            </w:tcBorders>
            <w:shd w:val="clear" w:color="auto" w:fill="auto"/>
            <w:noWrap/>
            <w:vAlign w:val="bottom"/>
            <w:hideMark/>
          </w:tcPr>
          <w:p w14:paraId="29329E9A"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50 783 </w:t>
            </w:r>
          </w:p>
        </w:tc>
        <w:tc>
          <w:tcPr>
            <w:tcW w:w="1638" w:type="dxa"/>
            <w:tcBorders>
              <w:top w:val="nil"/>
              <w:left w:val="nil"/>
              <w:bottom w:val="nil"/>
              <w:right w:val="nil"/>
            </w:tcBorders>
            <w:shd w:val="clear" w:color="auto" w:fill="auto"/>
            <w:noWrap/>
            <w:vAlign w:val="bottom"/>
            <w:hideMark/>
          </w:tcPr>
          <w:p w14:paraId="5955F9A6"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72 528 </w:t>
            </w:r>
          </w:p>
        </w:tc>
        <w:tc>
          <w:tcPr>
            <w:tcW w:w="1134" w:type="dxa"/>
            <w:tcBorders>
              <w:top w:val="nil"/>
              <w:left w:val="nil"/>
              <w:bottom w:val="nil"/>
              <w:right w:val="nil"/>
            </w:tcBorders>
            <w:shd w:val="clear" w:color="auto" w:fill="auto"/>
            <w:noWrap/>
            <w:vAlign w:val="bottom"/>
            <w:hideMark/>
          </w:tcPr>
          <w:p w14:paraId="748B4714"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134 418 </w:t>
            </w:r>
          </w:p>
        </w:tc>
        <w:tc>
          <w:tcPr>
            <w:tcW w:w="1134" w:type="dxa"/>
            <w:tcBorders>
              <w:top w:val="nil"/>
              <w:left w:val="nil"/>
              <w:bottom w:val="nil"/>
              <w:right w:val="nil"/>
            </w:tcBorders>
            <w:shd w:val="clear" w:color="auto" w:fill="auto"/>
            <w:noWrap/>
            <w:vAlign w:val="bottom"/>
            <w:hideMark/>
          </w:tcPr>
          <w:p w14:paraId="2C4A45E1"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203 170 </w:t>
            </w:r>
          </w:p>
        </w:tc>
        <w:tc>
          <w:tcPr>
            <w:tcW w:w="1701" w:type="dxa"/>
            <w:tcBorders>
              <w:top w:val="nil"/>
              <w:left w:val="nil"/>
              <w:bottom w:val="nil"/>
              <w:right w:val="nil"/>
            </w:tcBorders>
            <w:shd w:val="clear" w:color="auto" w:fill="auto"/>
            <w:noWrap/>
            <w:vAlign w:val="bottom"/>
            <w:hideMark/>
          </w:tcPr>
          <w:p w14:paraId="6D27F2B7"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131 018 </w:t>
            </w:r>
          </w:p>
        </w:tc>
        <w:tc>
          <w:tcPr>
            <w:tcW w:w="1134" w:type="dxa"/>
            <w:tcBorders>
              <w:top w:val="nil"/>
              <w:left w:val="nil"/>
              <w:bottom w:val="nil"/>
              <w:right w:val="nil"/>
            </w:tcBorders>
            <w:shd w:val="clear" w:color="auto" w:fill="auto"/>
            <w:noWrap/>
            <w:vAlign w:val="bottom"/>
            <w:hideMark/>
          </w:tcPr>
          <w:p w14:paraId="56918317"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353 870 </w:t>
            </w:r>
          </w:p>
        </w:tc>
      </w:tr>
      <w:tr w:rsidR="00C058D7" w:rsidRPr="008F5D99" w14:paraId="7D1D294B" w14:textId="77777777" w:rsidTr="00C058D7">
        <w:trPr>
          <w:trHeight w:val="75"/>
          <w:jc w:val="center"/>
        </w:trPr>
        <w:tc>
          <w:tcPr>
            <w:tcW w:w="1576" w:type="dxa"/>
            <w:tcBorders>
              <w:top w:val="nil"/>
              <w:left w:val="nil"/>
              <w:bottom w:val="nil"/>
              <w:right w:val="nil"/>
            </w:tcBorders>
            <w:shd w:val="clear" w:color="auto" w:fill="auto"/>
            <w:noWrap/>
            <w:vAlign w:val="bottom"/>
            <w:hideMark/>
          </w:tcPr>
          <w:p w14:paraId="07497014"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Poder Judicial</w:t>
            </w:r>
          </w:p>
        </w:tc>
        <w:tc>
          <w:tcPr>
            <w:tcW w:w="1181" w:type="dxa"/>
            <w:tcBorders>
              <w:top w:val="nil"/>
              <w:left w:val="nil"/>
              <w:bottom w:val="nil"/>
              <w:right w:val="nil"/>
            </w:tcBorders>
            <w:shd w:val="clear" w:color="auto" w:fill="auto"/>
            <w:noWrap/>
            <w:vAlign w:val="bottom"/>
            <w:hideMark/>
          </w:tcPr>
          <w:p w14:paraId="5FF924D2"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393 </w:t>
            </w:r>
          </w:p>
        </w:tc>
        <w:tc>
          <w:tcPr>
            <w:tcW w:w="1638" w:type="dxa"/>
            <w:tcBorders>
              <w:top w:val="nil"/>
              <w:left w:val="nil"/>
              <w:bottom w:val="nil"/>
              <w:right w:val="nil"/>
            </w:tcBorders>
            <w:shd w:val="clear" w:color="auto" w:fill="auto"/>
            <w:noWrap/>
            <w:vAlign w:val="bottom"/>
            <w:hideMark/>
          </w:tcPr>
          <w:p w14:paraId="2B2A916D"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738 </w:t>
            </w:r>
          </w:p>
        </w:tc>
        <w:tc>
          <w:tcPr>
            <w:tcW w:w="1134" w:type="dxa"/>
            <w:tcBorders>
              <w:top w:val="nil"/>
              <w:left w:val="nil"/>
              <w:bottom w:val="nil"/>
              <w:right w:val="nil"/>
            </w:tcBorders>
            <w:shd w:val="clear" w:color="auto" w:fill="auto"/>
            <w:noWrap/>
            <w:vAlign w:val="bottom"/>
            <w:hideMark/>
          </w:tcPr>
          <w:p w14:paraId="6A5D7916"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2 794 </w:t>
            </w:r>
          </w:p>
        </w:tc>
        <w:tc>
          <w:tcPr>
            <w:tcW w:w="1134" w:type="dxa"/>
            <w:tcBorders>
              <w:top w:val="nil"/>
              <w:left w:val="nil"/>
              <w:bottom w:val="nil"/>
              <w:right w:val="nil"/>
            </w:tcBorders>
            <w:shd w:val="clear" w:color="auto" w:fill="auto"/>
            <w:noWrap/>
            <w:vAlign w:val="bottom"/>
            <w:hideMark/>
          </w:tcPr>
          <w:p w14:paraId="70CF8559"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852 268 </w:t>
            </w:r>
          </w:p>
        </w:tc>
        <w:tc>
          <w:tcPr>
            <w:tcW w:w="1701" w:type="dxa"/>
            <w:tcBorders>
              <w:top w:val="nil"/>
              <w:left w:val="nil"/>
              <w:bottom w:val="nil"/>
              <w:right w:val="nil"/>
            </w:tcBorders>
            <w:shd w:val="clear" w:color="auto" w:fill="auto"/>
            <w:noWrap/>
            <w:vAlign w:val="bottom"/>
            <w:hideMark/>
          </w:tcPr>
          <w:p w14:paraId="12C4C016"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785 942 </w:t>
            </w:r>
          </w:p>
        </w:tc>
        <w:tc>
          <w:tcPr>
            <w:tcW w:w="1134" w:type="dxa"/>
            <w:tcBorders>
              <w:top w:val="nil"/>
              <w:left w:val="nil"/>
              <w:bottom w:val="nil"/>
              <w:right w:val="nil"/>
            </w:tcBorders>
            <w:shd w:val="clear" w:color="auto" w:fill="auto"/>
            <w:noWrap/>
            <w:vAlign w:val="bottom"/>
            <w:hideMark/>
          </w:tcPr>
          <w:p w14:paraId="5D1DE2D0"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1 738 599 </w:t>
            </w:r>
          </w:p>
        </w:tc>
      </w:tr>
      <w:tr w:rsidR="00C058D7" w:rsidRPr="008F5D99" w14:paraId="55ADDF8F" w14:textId="77777777" w:rsidTr="00C058D7">
        <w:trPr>
          <w:trHeight w:val="75"/>
          <w:jc w:val="center"/>
        </w:trPr>
        <w:tc>
          <w:tcPr>
            <w:tcW w:w="1576" w:type="dxa"/>
            <w:tcBorders>
              <w:top w:val="nil"/>
              <w:left w:val="nil"/>
              <w:bottom w:val="nil"/>
              <w:right w:val="nil"/>
            </w:tcBorders>
            <w:shd w:val="clear" w:color="auto" w:fill="auto"/>
            <w:noWrap/>
            <w:vAlign w:val="bottom"/>
            <w:hideMark/>
          </w:tcPr>
          <w:p w14:paraId="3870A390"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RTRMN</w:t>
            </w:r>
          </w:p>
        </w:tc>
        <w:tc>
          <w:tcPr>
            <w:tcW w:w="1181" w:type="dxa"/>
            <w:tcBorders>
              <w:top w:val="nil"/>
              <w:left w:val="nil"/>
              <w:bottom w:val="nil"/>
              <w:right w:val="nil"/>
            </w:tcBorders>
            <w:shd w:val="clear" w:color="auto" w:fill="auto"/>
            <w:noWrap/>
            <w:vAlign w:val="bottom"/>
            <w:hideMark/>
          </w:tcPr>
          <w:p w14:paraId="1D94B786"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5 057 </w:t>
            </w:r>
          </w:p>
        </w:tc>
        <w:tc>
          <w:tcPr>
            <w:tcW w:w="1638" w:type="dxa"/>
            <w:tcBorders>
              <w:top w:val="nil"/>
              <w:left w:val="nil"/>
              <w:bottom w:val="nil"/>
              <w:right w:val="nil"/>
            </w:tcBorders>
            <w:shd w:val="clear" w:color="auto" w:fill="auto"/>
            <w:noWrap/>
            <w:vAlign w:val="bottom"/>
            <w:hideMark/>
          </w:tcPr>
          <w:p w14:paraId="67290075"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4 899 </w:t>
            </w:r>
          </w:p>
        </w:tc>
        <w:tc>
          <w:tcPr>
            <w:tcW w:w="1134" w:type="dxa"/>
            <w:tcBorders>
              <w:top w:val="nil"/>
              <w:left w:val="nil"/>
              <w:bottom w:val="nil"/>
              <w:right w:val="nil"/>
            </w:tcBorders>
            <w:shd w:val="clear" w:color="auto" w:fill="auto"/>
            <w:noWrap/>
            <w:vAlign w:val="bottom"/>
            <w:hideMark/>
          </w:tcPr>
          <w:p w14:paraId="7F017C70"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33 011 </w:t>
            </w:r>
          </w:p>
        </w:tc>
        <w:tc>
          <w:tcPr>
            <w:tcW w:w="1134" w:type="dxa"/>
            <w:tcBorders>
              <w:top w:val="nil"/>
              <w:left w:val="nil"/>
              <w:bottom w:val="nil"/>
              <w:right w:val="nil"/>
            </w:tcBorders>
            <w:shd w:val="clear" w:color="auto" w:fill="auto"/>
            <w:noWrap/>
            <w:vAlign w:val="bottom"/>
            <w:hideMark/>
          </w:tcPr>
          <w:p w14:paraId="7A81BF98"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604 959 </w:t>
            </w:r>
          </w:p>
        </w:tc>
        <w:tc>
          <w:tcPr>
            <w:tcW w:w="1701" w:type="dxa"/>
            <w:tcBorders>
              <w:top w:val="nil"/>
              <w:left w:val="nil"/>
              <w:bottom w:val="nil"/>
              <w:right w:val="nil"/>
            </w:tcBorders>
            <w:shd w:val="clear" w:color="auto" w:fill="auto"/>
            <w:noWrap/>
            <w:vAlign w:val="bottom"/>
            <w:hideMark/>
          </w:tcPr>
          <w:p w14:paraId="67F2C783"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772 850 </w:t>
            </w:r>
          </w:p>
        </w:tc>
        <w:tc>
          <w:tcPr>
            <w:tcW w:w="1134" w:type="dxa"/>
            <w:tcBorders>
              <w:top w:val="nil"/>
              <w:left w:val="nil"/>
              <w:bottom w:val="nil"/>
              <w:right w:val="nil"/>
            </w:tcBorders>
            <w:shd w:val="clear" w:color="auto" w:fill="auto"/>
            <w:noWrap/>
            <w:vAlign w:val="bottom"/>
            <w:hideMark/>
          </w:tcPr>
          <w:p w14:paraId="7856B725"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1 191 005 </w:t>
            </w:r>
          </w:p>
        </w:tc>
      </w:tr>
      <w:tr w:rsidR="00C058D7" w:rsidRPr="008F5D99" w14:paraId="21E7F6CE" w14:textId="77777777" w:rsidTr="00C058D7">
        <w:trPr>
          <w:trHeight w:val="75"/>
          <w:jc w:val="center"/>
        </w:trPr>
        <w:tc>
          <w:tcPr>
            <w:tcW w:w="1576" w:type="dxa"/>
            <w:tcBorders>
              <w:top w:val="nil"/>
              <w:left w:val="nil"/>
              <w:bottom w:val="nil"/>
              <w:right w:val="nil"/>
            </w:tcBorders>
            <w:shd w:val="clear" w:color="auto" w:fill="auto"/>
            <w:noWrap/>
            <w:vAlign w:val="bottom"/>
            <w:hideMark/>
          </w:tcPr>
          <w:p w14:paraId="7F8B8312"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DNP</w:t>
            </w:r>
          </w:p>
        </w:tc>
        <w:tc>
          <w:tcPr>
            <w:tcW w:w="1181" w:type="dxa"/>
            <w:tcBorders>
              <w:top w:val="nil"/>
              <w:left w:val="nil"/>
              <w:bottom w:val="nil"/>
              <w:right w:val="nil"/>
            </w:tcBorders>
            <w:shd w:val="clear" w:color="auto" w:fill="auto"/>
            <w:noWrap/>
            <w:vAlign w:val="bottom"/>
            <w:hideMark/>
          </w:tcPr>
          <w:p w14:paraId="4B8FF8BA"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12 </w:t>
            </w:r>
          </w:p>
        </w:tc>
        <w:tc>
          <w:tcPr>
            <w:tcW w:w="1638" w:type="dxa"/>
            <w:tcBorders>
              <w:top w:val="nil"/>
              <w:left w:val="nil"/>
              <w:bottom w:val="nil"/>
              <w:right w:val="nil"/>
            </w:tcBorders>
            <w:shd w:val="clear" w:color="auto" w:fill="auto"/>
            <w:noWrap/>
            <w:vAlign w:val="bottom"/>
            <w:hideMark/>
          </w:tcPr>
          <w:p w14:paraId="72431150"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5 281 </w:t>
            </w:r>
          </w:p>
        </w:tc>
        <w:tc>
          <w:tcPr>
            <w:tcW w:w="1134" w:type="dxa"/>
            <w:tcBorders>
              <w:top w:val="nil"/>
              <w:left w:val="nil"/>
              <w:bottom w:val="nil"/>
              <w:right w:val="nil"/>
            </w:tcBorders>
            <w:shd w:val="clear" w:color="auto" w:fill="auto"/>
            <w:noWrap/>
            <w:vAlign w:val="bottom"/>
            <w:hideMark/>
          </w:tcPr>
          <w:p w14:paraId="2C44B3D6"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12 798 </w:t>
            </w:r>
          </w:p>
        </w:tc>
        <w:tc>
          <w:tcPr>
            <w:tcW w:w="1134" w:type="dxa"/>
            <w:tcBorders>
              <w:top w:val="nil"/>
              <w:left w:val="nil"/>
              <w:bottom w:val="nil"/>
              <w:right w:val="nil"/>
            </w:tcBorders>
            <w:shd w:val="clear" w:color="auto" w:fill="auto"/>
            <w:noWrap/>
            <w:vAlign w:val="bottom"/>
            <w:hideMark/>
          </w:tcPr>
          <w:p w14:paraId="4B617A58"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997 797 </w:t>
            </w:r>
          </w:p>
        </w:tc>
        <w:tc>
          <w:tcPr>
            <w:tcW w:w="1701" w:type="dxa"/>
            <w:tcBorders>
              <w:top w:val="nil"/>
              <w:left w:val="nil"/>
              <w:bottom w:val="nil"/>
              <w:right w:val="nil"/>
            </w:tcBorders>
            <w:shd w:val="clear" w:color="auto" w:fill="auto"/>
            <w:noWrap/>
            <w:vAlign w:val="bottom"/>
            <w:hideMark/>
          </w:tcPr>
          <w:p w14:paraId="239FB9AE"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394 113 </w:t>
            </w:r>
          </w:p>
        </w:tc>
        <w:tc>
          <w:tcPr>
            <w:tcW w:w="1134" w:type="dxa"/>
            <w:tcBorders>
              <w:top w:val="nil"/>
              <w:left w:val="nil"/>
              <w:bottom w:val="nil"/>
              <w:right w:val="nil"/>
            </w:tcBorders>
            <w:shd w:val="clear" w:color="auto" w:fill="auto"/>
            <w:noWrap/>
            <w:vAlign w:val="bottom"/>
            <w:hideMark/>
          </w:tcPr>
          <w:p w14:paraId="18C75300"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708 550 </w:t>
            </w:r>
          </w:p>
        </w:tc>
      </w:tr>
      <w:tr w:rsidR="00C058D7" w:rsidRPr="008F5D99" w14:paraId="5B95CD12" w14:textId="77777777" w:rsidTr="00C058D7">
        <w:trPr>
          <w:trHeight w:val="75"/>
          <w:jc w:val="center"/>
        </w:trPr>
        <w:tc>
          <w:tcPr>
            <w:tcW w:w="1576" w:type="dxa"/>
            <w:tcBorders>
              <w:top w:val="nil"/>
              <w:left w:val="nil"/>
              <w:bottom w:val="nil"/>
              <w:right w:val="nil"/>
            </w:tcBorders>
            <w:shd w:val="clear" w:color="auto" w:fill="auto"/>
            <w:noWrap/>
            <w:vAlign w:val="bottom"/>
            <w:hideMark/>
          </w:tcPr>
          <w:p w14:paraId="5220BBB2"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p>
        </w:tc>
        <w:tc>
          <w:tcPr>
            <w:tcW w:w="1181" w:type="dxa"/>
            <w:tcBorders>
              <w:top w:val="nil"/>
              <w:left w:val="nil"/>
              <w:bottom w:val="nil"/>
              <w:right w:val="nil"/>
            </w:tcBorders>
            <w:shd w:val="clear" w:color="auto" w:fill="auto"/>
            <w:noWrap/>
            <w:vAlign w:val="bottom"/>
            <w:hideMark/>
          </w:tcPr>
          <w:p w14:paraId="13CB595B"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638" w:type="dxa"/>
            <w:tcBorders>
              <w:top w:val="nil"/>
              <w:left w:val="nil"/>
              <w:bottom w:val="nil"/>
              <w:right w:val="nil"/>
            </w:tcBorders>
            <w:shd w:val="clear" w:color="auto" w:fill="auto"/>
            <w:noWrap/>
            <w:vAlign w:val="bottom"/>
            <w:hideMark/>
          </w:tcPr>
          <w:p w14:paraId="6D9C8D39"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134" w:type="dxa"/>
            <w:tcBorders>
              <w:top w:val="nil"/>
              <w:left w:val="nil"/>
              <w:bottom w:val="nil"/>
              <w:right w:val="nil"/>
            </w:tcBorders>
            <w:shd w:val="clear" w:color="auto" w:fill="auto"/>
            <w:noWrap/>
            <w:vAlign w:val="bottom"/>
            <w:hideMark/>
          </w:tcPr>
          <w:p w14:paraId="675E05EE"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134" w:type="dxa"/>
            <w:tcBorders>
              <w:top w:val="nil"/>
              <w:left w:val="nil"/>
              <w:bottom w:val="nil"/>
              <w:right w:val="nil"/>
            </w:tcBorders>
            <w:shd w:val="clear" w:color="auto" w:fill="auto"/>
            <w:noWrap/>
            <w:vAlign w:val="bottom"/>
            <w:hideMark/>
          </w:tcPr>
          <w:p w14:paraId="2FC17F8B"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701" w:type="dxa"/>
            <w:tcBorders>
              <w:top w:val="nil"/>
              <w:left w:val="nil"/>
              <w:bottom w:val="nil"/>
              <w:right w:val="nil"/>
            </w:tcBorders>
            <w:shd w:val="clear" w:color="auto" w:fill="auto"/>
            <w:noWrap/>
            <w:vAlign w:val="bottom"/>
            <w:hideMark/>
          </w:tcPr>
          <w:p w14:paraId="0A4F7224"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134" w:type="dxa"/>
            <w:tcBorders>
              <w:top w:val="nil"/>
              <w:left w:val="nil"/>
              <w:bottom w:val="nil"/>
              <w:right w:val="nil"/>
            </w:tcBorders>
            <w:shd w:val="clear" w:color="auto" w:fill="auto"/>
            <w:noWrap/>
            <w:vAlign w:val="bottom"/>
            <w:hideMark/>
          </w:tcPr>
          <w:p w14:paraId="5AE48A43"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r>
      <w:tr w:rsidR="00C058D7" w:rsidRPr="008F5D99" w14:paraId="1046DDEB" w14:textId="77777777" w:rsidTr="00C058D7">
        <w:trPr>
          <w:trHeight w:val="75"/>
          <w:jc w:val="center"/>
        </w:trPr>
        <w:tc>
          <w:tcPr>
            <w:tcW w:w="9500" w:type="dxa"/>
            <w:gridSpan w:val="7"/>
            <w:tcBorders>
              <w:top w:val="nil"/>
              <w:left w:val="nil"/>
              <w:bottom w:val="nil"/>
              <w:right w:val="nil"/>
            </w:tcBorders>
            <w:shd w:val="clear" w:color="auto" w:fill="auto"/>
            <w:noWrap/>
            <w:vAlign w:val="bottom"/>
            <w:hideMark/>
          </w:tcPr>
          <w:p w14:paraId="65765B37" w14:textId="77777777" w:rsidR="00C058D7" w:rsidRPr="008F5D99" w:rsidRDefault="00C058D7" w:rsidP="00C058D7">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Regímenes Ocupacionales Complementarios</w:t>
            </w:r>
          </w:p>
        </w:tc>
      </w:tr>
      <w:tr w:rsidR="00C058D7" w:rsidRPr="008F5D99" w14:paraId="06D7EC45" w14:textId="77777777" w:rsidTr="00C058D7">
        <w:trPr>
          <w:trHeight w:val="75"/>
          <w:jc w:val="center"/>
        </w:trPr>
        <w:tc>
          <w:tcPr>
            <w:tcW w:w="1576" w:type="dxa"/>
            <w:tcBorders>
              <w:top w:val="nil"/>
              <w:left w:val="nil"/>
              <w:bottom w:val="nil"/>
              <w:right w:val="nil"/>
            </w:tcBorders>
            <w:shd w:val="clear" w:color="auto" w:fill="auto"/>
            <w:noWrap/>
            <w:vAlign w:val="bottom"/>
            <w:hideMark/>
          </w:tcPr>
          <w:p w14:paraId="1F7832A6"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FBNCR</w:t>
            </w:r>
          </w:p>
        </w:tc>
        <w:tc>
          <w:tcPr>
            <w:tcW w:w="1181" w:type="dxa"/>
            <w:tcBorders>
              <w:top w:val="nil"/>
              <w:left w:val="nil"/>
              <w:bottom w:val="nil"/>
              <w:right w:val="nil"/>
            </w:tcBorders>
            <w:shd w:val="clear" w:color="auto" w:fill="auto"/>
            <w:noWrap/>
            <w:vAlign w:val="bottom"/>
            <w:hideMark/>
          </w:tcPr>
          <w:p w14:paraId="7FC959EA"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138 </w:t>
            </w:r>
          </w:p>
        </w:tc>
        <w:tc>
          <w:tcPr>
            <w:tcW w:w="1638" w:type="dxa"/>
            <w:tcBorders>
              <w:top w:val="nil"/>
              <w:left w:val="nil"/>
              <w:bottom w:val="nil"/>
              <w:right w:val="nil"/>
            </w:tcBorders>
            <w:shd w:val="clear" w:color="auto" w:fill="auto"/>
            <w:noWrap/>
            <w:vAlign w:val="bottom"/>
            <w:hideMark/>
          </w:tcPr>
          <w:p w14:paraId="4996A7AC"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312 </w:t>
            </w:r>
          </w:p>
        </w:tc>
        <w:tc>
          <w:tcPr>
            <w:tcW w:w="1134" w:type="dxa"/>
            <w:tcBorders>
              <w:top w:val="nil"/>
              <w:left w:val="nil"/>
              <w:bottom w:val="nil"/>
              <w:right w:val="nil"/>
            </w:tcBorders>
            <w:shd w:val="clear" w:color="auto" w:fill="auto"/>
            <w:noWrap/>
            <w:vAlign w:val="bottom"/>
            <w:hideMark/>
          </w:tcPr>
          <w:p w14:paraId="0D3709A1"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1 060 </w:t>
            </w:r>
          </w:p>
        </w:tc>
        <w:tc>
          <w:tcPr>
            <w:tcW w:w="1134" w:type="dxa"/>
            <w:tcBorders>
              <w:top w:val="nil"/>
              <w:left w:val="nil"/>
              <w:bottom w:val="nil"/>
              <w:right w:val="nil"/>
            </w:tcBorders>
            <w:shd w:val="clear" w:color="auto" w:fill="auto"/>
            <w:noWrap/>
            <w:vAlign w:val="bottom"/>
            <w:hideMark/>
          </w:tcPr>
          <w:p w14:paraId="0804D992"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320 151 </w:t>
            </w:r>
          </w:p>
        </w:tc>
        <w:tc>
          <w:tcPr>
            <w:tcW w:w="1701" w:type="dxa"/>
            <w:tcBorders>
              <w:top w:val="nil"/>
              <w:left w:val="nil"/>
              <w:bottom w:val="nil"/>
              <w:right w:val="nil"/>
            </w:tcBorders>
            <w:shd w:val="clear" w:color="auto" w:fill="auto"/>
            <w:noWrap/>
            <w:vAlign w:val="bottom"/>
            <w:hideMark/>
          </w:tcPr>
          <w:p w14:paraId="2032C6E1"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284 358 </w:t>
            </w:r>
          </w:p>
        </w:tc>
        <w:tc>
          <w:tcPr>
            <w:tcW w:w="1134" w:type="dxa"/>
            <w:tcBorders>
              <w:top w:val="nil"/>
              <w:left w:val="nil"/>
              <w:bottom w:val="nil"/>
              <w:right w:val="nil"/>
            </w:tcBorders>
            <w:shd w:val="clear" w:color="auto" w:fill="auto"/>
            <w:noWrap/>
            <w:vAlign w:val="bottom"/>
            <w:hideMark/>
          </w:tcPr>
          <w:p w14:paraId="55BA6BF8"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915 093 </w:t>
            </w:r>
          </w:p>
        </w:tc>
      </w:tr>
      <w:tr w:rsidR="00C058D7" w:rsidRPr="008F5D99" w14:paraId="4FAAC167" w14:textId="77777777" w:rsidTr="00C058D7">
        <w:trPr>
          <w:trHeight w:val="75"/>
          <w:jc w:val="center"/>
        </w:trPr>
        <w:tc>
          <w:tcPr>
            <w:tcW w:w="1576" w:type="dxa"/>
            <w:tcBorders>
              <w:top w:val="nil"/>
              <w:left w:val="nil"/>
              <w:bottom w:val="nil"/>
              <w:right w:val="nil"/>
            </w:tcBorders>
            <w:shd w:val="clear" w:color="auto" w:fill="auto"/>
            <w:noWrap/>
            <w:vAlign w:val="bottom"/>
            <w:hideMark/>
          </w:tcPr>
          <w:p w14:paraId="5EEA76A4"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FICE</w:t>
            </w:r>
          </w:p>
        </w:tc>
        <w:tc>
          <w:tcPr>
            <w:tcW w:w="1181" w:type="dxa"/>
            <w:tcBorders>
              <w:top w:val="nil"/>
              <w:left w:val="nil"/>
              <w:bottom w:val="nil"/>
              <w:right w:val="nil"/>
            </w:tcBorders>
            <w:shd w:val="clear" w:color="auto" w:fill="auto"/>
            <w:noWrap/>
            <w:vAlign w:val="bottom"/>
            <w:hideMark/>
          </w:tcPr>
          <w:p w14:paraId="57E08766"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444 </w:t>
            </w:r>
          </w:p>
        </w:tc>
        <w:tc>
          <w:tcPr>
            <w:tcW w:w="1638" w:type="dxa"/>
            <w:tcBorders>
              <w:top w:val="nil"/>
              <w:left w:val="nil"/>
              <w:bottom w:val="nil"/>
              <w:right w:val="nil"/>
            </w:tcBorders>
            <w:shd w:val="clear" w:color="auto" w:fill="auto"/>
            <w:noWrap/>
            <w:vAlign w:val="bottom"/>
            <w:hideMark/>
          </w:tcPr>
          <w:p w14:paraId="607BF148"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490 </w:t>
            </w:r>
          </w:p>
        </w:tc>
        <w:tc>
          <w:tcPr>
            <w:tcW w:w="1134" w:type="dxa"/>
            <w:tcBorders>
              <w:top w:val="nil"/>
              <w:left w:val="nil"/>
              <w:bottom w:val="nil"/>
              <w:right w:val="nil"/>
            </w:tcBorders>
            <w:shd w:val="clear" w:color="auto" w:fill="auto"/>
            <w:noWrap/>
            <w:vAlign w:val="bottom"/>
            <w:hideMark/>
          </w:tcPr>
          <w:p w14:paraId="04E65889"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2 923 </w:t>
            </w:r>
          </w:p>
        </w:tc>
        <w:tc>
          <w:tcPr>
            <w:tcW w:w="1134" w:type="dxa"/>
            <w:tcBorders>
              <w:top w:val="nil"/>
              <w:left w:val="nil"/>
              <w:bottom w:val="nil"/>
              <w:right w:val="nil"/>
            </w:tcBorders>
            <w:shd w:val="clear" w:color="auto" w:fill="auto"/>
            <w:noWrap/>
            <w:vAlign w:val="bottom"/>
            <w:hideMark/>
          </w:tcPr>
          <w:p w14:paraId="09D8F944"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140 806 </w:t>
            </w:r>
          </w:p>
        </w:tc>
        <w:tc>
          <w:tcPr>
            <w:tcW w:w="1701" w:type="dxa"/>
            <w:tcBorders>
              <w:top w:val="nil"/>
              <w:left w:val="nil"/>
              <w:bottom w:val="nil"/>
              <w:right w:val="nil"/>
            </w:tcBorders>
            <w:shd w:val="clear" w:color="auto" w:fill="auto"/>
            <w:noWrap/>
            <w:vAlign w:val="bottom"/>
            <w:hideMark/>
          </w:tcPr>
          <w:p w14:paraId="20D61B5C"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46 740 </w:t>
            </w:r>
          </w:p>
        </w:tc>
        <w:tc>
          <w:tcPr>
            <w:tcW w:w="1134" w:type="dxa"/>
            <w:tcBorders>
              <w:top w:val="nil"/>
              <w:left w:val="nil"/>
              <w:bottom w:val="nil"/>
              <w:right w:val="nil"/>
            </w:tcBorders>
            <w:shd w:val="clear" w:color="auto" w:fill="auto"/>
            <w:noWrap/>
            <w:vAlign w:val="bottom"/>
            <w:hideMark/>
          </w:tcPr>
          <w:p w14:paraId="64B335B8"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345 288 </w:t>
            </w:r>
          </w:p>
        </w:tc>
      </w:tr>
      <w:tr w:rsidR="00C058D7" w:rsidRPr="008F5D99" w14:paraId="053E7445" w14:textId="77777777" w:rsidTr="00C058D7">
        <w:trPr>
          <w:trHeight w:val="75"/>
          <w:jc w:val="center"/>
        </w:trPr>
        <w:tc>
          <w:tcPr>
            <w:tcW w:w="1576" w:type="dxa"/>
            <w:tcBorders>
              <w:top w:val="nil"/>
              <w:left w:val="nil"/>
              <w:bottom w:val="nil"/>
              <w:right w:val="nil"/>
            </w:tcBorders>
            <w:shd w:val="clear" w:color="auto" w:fill="auto"/>
            <w:noWrap/>
            <w:vAlign w:val="bottom"/>
            <w:hideMark/>
          </w:tcPr>
          <w:p w14:paraId="32E89023"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FRE</w:t>
            </w:r>
          </w:p>
        </w:tc>
        <w:tc>
          <w:tcPr>
            <w:tcW w:w="1181" w:type="dxa"/>
            <w:tcBorders>
              <w:top w:val="nil"/>
              <w:left w:val="nil"/>
              <w:bottom w:val="nil"/>
              <w:right w:val="nil"/>
            </w:tcBorders>
            <w:shd w:val="clear" w:color="auto" w:fill="auto"/>
            <w:noWrap/>
            <w:vAlign w:val="bottom"/>
            <w:hideMark/>
          </w:tcPr>
          <w:p w14:paraId="4EB3006C"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3 873 </w:t>
            </w:r>
          </w:p>
        </w:tc>
        <w:tc>
          <w:tcPr>
            <w:tcW w:w="1638" w:type="dxa"/>
            <w:tcBorders>
              <w:top w:val="nil"/>
              <w:left w:val="nil"/>
              <w:bottom w:val="nil"/>
              <w:right w:val="nil"/>
            </w:tcBorders>
            <w:shd w:val="clear" w:color="auto" w:fill="auto"/>
            <w:noWrap/>
            <w:vAlign w:val="bottom"/>
            <w:hideMark/>
          </w:tcPr>
          <w:p w14:paraId="7A0EAC3A"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1 385 </w:t>
            </w:r>
          </w:p>
        </w:tc>
        <w:tc>
          <w:tcPr>
            <w:tcW w:w="1134" w:type="dxa"/>
            <w:tcBorders>
              <w:top w:val="nil"/>
              <w:left w:val="nil"/>
              <w:bottom w:val="nil"/>
              <w:right w:val="nil"/>
            </w:tcBorders>
            <w:shd w:val="clear" w:color="auto" w:fill="auto"/>
            <w:noWrap/>
            <w:vAlign w:val="bottom"/>
            <w:hideMark/>
          </w:tcPr>
          <w:p w14:paraId="01CD9CD0"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11 186 </w:t>
            </w:r>
          </w:p>
        </w:tc>
        <w:tc>
          <w:tcPr>
            <w:tcW w:w="1134" w:type="dxa"/>
            <w:tcBorders>
              <w:top w:val="nil"/>
              <w:left w:val="nil"/>
              <w:bottom w:val="nil"/>
              <w:right w:val="nil"/>
            </w:tcBorders>
            <w:shd w:val="clear" w:color="auto" w:fill="auto"/>
            <w:noWrap/>
            <w:vAlign w:val="bottom"/>
            <w:hideMark/>
          </w:tcPr>
          <w:p w14:paraId="445B4628"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47 734 </w:t>
            </w:r>
          </w:p>
        </w:tc>
        <w:tc>
          <w:tcPr>
            <w:tcW w:w="1701" w:type="dxa"/>
            <w:tcBorders>
              <w:top w:val="nil"/>
              <w:left w:val="nil"/>
              <w:bottom w:val="nil"/>
              <w:right w:val="nil"/>
            </w:tcBorders>
            <w:shd w:val="clear" w:color="auto" w:fill="auto"/>
            <w:noWrap/>
            <w:vAlign w:val="bottom"/>
            <w:hideMark/>
          </w:tcPr>
          <w:p w14:paraId="22909666"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43 179 </w:t>
            </w:r>
          </w:p>
        </w:tc>
        <w:tc>
          <w:tcPr>
            <w:tcW w:w="1134" w:type="dxa"/>
            <w:tcBorders>
              <w:top w:val="nil"/>
              <w:left w:val="nil"/>
              <w:bottom w:val="nil"/>
              <w:right w:val="nil"/>
            </w:tcBorders>
            <w:shd w:val="clear" w:color="auto" w:fill="auto"/>
            <w:noWrap/>
            <w:vAlign w:val="bottom"/>
            <w:hideMark/>
          </w:tcPr>
          <w:p w14:paraId="40C2E959"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153 593 </w:t>
            </w:r>
          </w:p>
        </w:tc>
      </w:tr>
      <w:tr w:rsidR="00C058D7" w:rsidRPr="008F5D99" w14:paraId="50F40DEB" w14:textId="77777777" w:rsidTr="00C058D7">
        <w:trPr>
          <w:trHeight w:val="75"/>
          <w:jc w:val="center"/>
        </w:trPr>
        <w:tc>
          <w:tcPr>
            <w:tcW w:w="1576" w:type="dxa"/>
            <w:tcBorders>
              <w:top w:val="nil"/>
              <w:left w:val="nil"/>
              <w:bottom w:val="nil"/>
              <w:right w:val="nil"/>
            </w:tcBorders>
            <w:shd w:val="clear" w:color="auto" w:fill="auto"/>
            <w:noWrap/>
            <w:vAlign w:val="bottom"/>
            <w:hideMark/>
          </w:tcPr>
          <w:p w14:paraId="77A52294"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p>
        </w:tc>
        <w:tc>
          <w:tcPr>
            <w:tcW w:w="1181" w:type="dxa"/>
            <w:tcBorders>
              <w:top w:val="nil"/>
              <w:left w:val="nil"/>
              <w:bottom w:val="nil"/>
              <w:right w:val="nil"/>
            </w:tcBorders>
            <w:shd w:val="clear" w:color="auto" w:fill="auto"/>
            <w:noWrap/>
            <w:vAlign w:val="bottom"/>
            <w:hideMark/>
          </w:tcPr>
          <w:p w14:paraId="007DCDA8"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638" w:type="dxa"/>
            <w:tcBorders>
              <w:top w:val="nil"/>
              <w:left w:val="nil"/>
              <w:bottom w:val="nil"/>
              <w:right w:val="nil"/>
            </w:tcBorders>
            <w:shd w:val="clear" w:color="auto" w:fill="auto"/>
            <w:noWrap/>
            <w:vAlign w:val="bottom"/>
            <w:hideMark/>
          </w:tcPr>
          <w:p w14:paraId="450EA2D7"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134" w:type="dxa"/>
            <w:tcBorders>
              <w:top w:val="nil"/>
              <w:left w:val="nil"/>
              <w:bottom w:val="nil"/>
              <w:right w:val="nil"/>
            </w:tcBorders>
            <w:shd w:val="clear" w:color="auto" w:fill="auto"/>
            <w:noWrap/>
            <w:vAlign w:val="bottom"/>
            <w:hideMark/>
          </w:tcPr>
          <w:p w14:paraId="3DD355C9"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134" w:type="dxa"/>
            <w:tcBorders>
              <w:top w:val="nil"/>
              <w:left w:val="nil"/>
              <w:bottom w:val="nil"/>
              <w:right w:val="nil"/>
            </w:tcBorders>
            <w:shd w:val="clear" w:color="auto" w:fill="auto"/>
            <w:noWrap/>
            <w:vAlign w:val="bottom"/>
            <w:hideMark/>
          </w:tcPr>
          <w:p w14:paraId="1A81F0B1"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701" w:type="dxa"/>
            <w:tcBorders>
              <w:top w:val="nil"/>
              <w:left w:val="nil"/>
              <w:bottom w:val="nil"/>
              <w:right w:val="nil"/>
            </w:tcBorders>
            <w:shd w:val="clear" w:color="auto" w:fill="auto"/>
            <w:noWrap/>
            <w:vAlign w:val="bottom"/>
            <w:hideMark/>
          </w:tcPr>
          <w:p w14:paraId="717AAFBA"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c>
          <w:tcPr>
            <w:tcW w:w="1134" w:type="dxa"/>
            <w:tcBorders>
              <w:top w:val="nil"/>
              <w:left w:val="nil"/>
              <w:bottom w:val="nil"/>
              <w:right w:val="nil"/>
            </w:tcBorders>
            <w:shd w:val="clear" w:color="auto" w:fill="auto"/>
            <w:noWrap/>
            <w:vAlign w:val="bottom"/>
            <w:hideMark/>
          </w:tcPr>
          <w:p w14:paraId="56EE48EE" w14:textId="77777777" w:rsidR="00C058D7" w:rsidRPr="008F5D99" w:rsidRDefault="00C058D7" w:rsidP="00C058D7">
            <w:pPr>
              <w:spacing w:after="0" w:line="240" w:lineRule="auto"/>
              <w:rPr>
                <w:rFonts w:asciiTheme="majorHAnsi" w:eastAsia="Times New Roman" w:hAnsiTheme="majorHAnsi" w:cstheme="minorHAnsi"/>
                <w:sz w:val="20"/>
                <w:szCs w:val="20"/>
                <w:lang w:val="es-CR" w:eastAsia="es-CR"/>
              </w:rPr>
            </w:pPr>
          </w:p>
        </w:tc>
      </w:tr>
      <w:tr w:rsidR="00C058D7" w:rsidRPr="008F5D99" w14:paraId="105E799A" w14:textId="77777777" w:rsidTr="00C058D7">
        <w:trPr>
          <w:trHeight w:val="75"/>
          <w:jc w:val="center"/>
        </w:trPr>
        <w:tc>
          <w:tcPr>
            <w:tcW w:w="9500" w:type="dxa"/>
            <w:gridSpan w:val="7"/>
            <w:tcBorders>
              <w:top w:val="nil"/>
              <w:left w:val="nil"/>
              <w:bottom w:val="nil"/>
              <w:right w:val="nil"/>
            </w:tcBorders>
            <w:shd w:val="clear" w:color="auto" w:fill="auto"/>
            <w:noWrap/>
            <w:vAlign w:val="bottom"/>
            <w:hideMark/>
          </w:tcPr>
          <w:p w14:paraId="06E54F6D" w14:textId="77777777" w:rsidR="00C058D7" w:rsidRPr="008F5D99" w:rsidRDefault="00C058D7" w:rsidP="00C058D7">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Régimen No Contributivo</w:t>
            </w:r>
          </w:p>
        </w:tc>
      </w:tr>
      <w:tr w:rsidR="00C058D7" w:rsidRPr="008F5D99" w14:paraId="6ABD5189" w14:textId="77777777" w:rsidTr="00C058D7">
        <w:trPr>
          <w:trHeight w:val="75"/>
          <w:jc w:val="center"/>
        </w:trPr>
        <w:tc>
          <w:tcPr>
            <w:tcW w:w="1576" w:type="dxa"/>
            <w:tcBorders>
              <w:top w:val="nil"/>
              <w:left w:val="nil"/>
              <w:bottom w:val="single" w:sz="4" w:space="0" w:color="auto"/>
              <w:right w:val="nil"/>
            </w:tcBorders>
            <w:shd w:val="clear" w:color="auto" w:fill="auto"/>
            <w:noWrap/>
            <w:vAlign w:val="bottom"/>
            <w:hideMark/>
          </w:tcPr>
          <w:p w14:paraId="072A9E85" w14:textId="77777777" w:rsidR="00C058D7" w:rsidRPr="008F5D99" w:rsidRDefault="00C058D7" w:rsidP="00C058D7">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RNC</w:t>
            </w:r>
          </w:p>
        </w:tc>
        <w:tc>
          <w:tcPr>
            <w:tcW w:w="1181" w:type="dxa"/>
            <w:tcBorders>
              <w:top w:val="nil"/>
              <w:left w:val="nil"/>
              <w:bottom w:val="single" w:sz="4" w:space="0" w:color="auto"/>
              <w:right w:val="nil"/>
            </w:tcBorders>
            <w:shd w:val="clear" w:color="auto" w:fill="auto"/>
            <w:noWrap/>
            <w:vAlign w:val="bottom"/>
            <w:hideMark/>
          </w:tcPr>
          <w:p w14:paraId="597533AE"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40 378 </w:t>
            </w:r>
          </w:p>
        </w:tc>
        <w:tc>
          <w:tcPr>
            <w:tcW w:w="1638" w:type="dxa"/>
            <w:tcBorders>
              <w:top w:val="nil"/>
              <w:left w:val="nil"/>
              <w:bottom w:val="single" w:sz="4" w:space="0" w:color="auto"/>
              <w:right w:val="nil"/>
            </w:tcBorders>
            <w:shd w:val="clear" w:color="auto" w:fill="auto"/>
            <w:noWrap/>
            <w:vAlign w:val="bottom"/>
            <w:hideMark/>
          </w:tcPr>
          <w:p w14:paraId="138130D2"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2 620 </w:t>
            </w:r>
          </w:p>
        </w:tc>
        <w:tc>
          <w:tcPr>
            <w:tcW w:w="1134" w:type="dxa"/>
            <w:tcBorders>
              <w:top w:val="nil"/>
              <w:left w:val="nil"/>
              <w:bottom w:val="single" w:sz="4" w:space="0" w:color="auto"/>
              <w:right w:val="nil"/>
            </w:tcBorders>
            <w:shd w:val="clear" w:color="auto" w:fill="auto"/>
            <w:noWrap/>
            <w:vAlign w:val="bottom"/>
            <w:hideMark/>
          </w:tcPr>
          <w:p w14:paraId="5E06928D"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68 238 </w:t>
            </w:r>
          </w:p>
        </w:tc>
        <w:tc>
          <w:tcPr>
            <w:tcW w:w="1134" w:type="dxa"/>
            <w:tcBorders>
              <w:top w:val="nil"/>
              <w:left w:val="nil"/>
              <w:bottom w:val="single" w:sz="4" w:space="0" w:color="auto"/>
              <w:right w:val="nil"/>
            </w:tcBorders>
            <w:shd w:val="clear" w:color="auto" w:fill="auto"/>
            <w:noWrap/>
            <w:vAlign w:val="bottom"/>
            <w:hideMark/>
          </w:tcPr>
          <w:p w14:paraId="3A4A91E1"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88 292 </w:t>
            </w:r>
          </w:p>
        </w:tc>
        <w:tc>
          <w:tcPr>
            <w:tcW w:w="1701" w:type="dxa"/>
            <w:tcBorders>
              <w:top w:val="nil"/>
              <w:left w:val="nil"/>
              <w:bottom w:val="single" w:sz="4" w:space="0" w:color="auto"/>
              <w:right w:val="nil"/>
            </w:tcBorders>
            <w:shd w:val="clear" w:color="auto" w:fill="auto"/>
            <w:noWrap/>
            <w:vAlign w:val="bottom"/>
            <w:hideMark/>
          </w:tcPr>
          <w:p w14:paraId="5E50F0E5"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78 000 </w:t>
            </w:r>
          </w:p>
        </w:tc>
        <w:tc>
          <w:tcPr>
            <w:tcW w:w="1134" w:type="dxa"/>
            <w:tcBorders>
              <w:top w:val="nil"/>
              <w:left w:val="nil"/>
              <w:bottom w:val="single" w:sz="4" w:space="0" w:color="auto"/>
              <w:right w:val="nil"/>
            </w:tcBorders>
            <w:shd w:val="clear" w:color="auto" w:fill="auto"/>
            <w:noWrap/>
            <w:vAlign w:val="bottom"/>
            <w:hideMark/>
          </w:tcPr>
          <w:p w14:paraId="01647983" w14:textId="77777777" w:rsidR="00C058D7" w:rsidRPr="008F5D99" w:rsidRDefault="00C058D7" w:rsidP="00C058D7">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 78 001 </w:t>
            </w:r>
          </w:p>
        </w:tc>
      </w:tr>
    </w:tbl>
    <w:p w14:paraId="65F08FAE" w14:textId="23F11E50" w:rsidR="00D33B26" w:rsidRPr="009B7058" w:rsidRDefault="00D33B26" w:rsidP="00D33B26">
      <w:pPr>
        <w:spacing w:after="20" w:line="240" w:lineRule="auto"/>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3B98D354" w14:textId="1521F0EB" w:rsidR="00851AEC" w:rsidRPr="009B7058" w:rsidRDefault="00851AEC" w:rsidP="00851AEC">
      <w:pPr>
        <w:spacing w:after="20" w:line="240" w:lineRule="auto"/>
        <w:rPr>
          <w:rFonts w:asciiTheme="majorHAnsi" w:hAnsiTheme="majorHAnsi" w:cstheme="minorHAnsi"/>
          <w:sz w:val="20"/>
        </w:rPr>
      </w:pPr>
      <w:r w:rsidRPr="009B7058">
        <w:rPr>
          <w:rFonts w:asciiTheme="majorHAnsi" w:hAnsiTheme="majorHAnsi" w:cstheme="minorHAnsi"/>
          <w:sz w:val="20"/>
        </w:rPr>
        <w:t>Se calcula con datos a setiembre, porque es la fecha más reciente para que la que se tienen datos de todos los regímenes.</w:t>
      </w:r>
    </w:p>
    <w:p w14:paraId="383227C4" w14:textId="77777777" w:rsidR="006C074C" w:rsidRDefault="006C074C" w:rsidP="00AB1521">
      <w:pPr>
        <w:spacing w:line="240" w:lineRule="auto"/>
        <w:jc w:val="both"/>
        <w:rPr>
          <w:rFonts w:asciiTheme="majorHAnsi" w:hAnsiTheme="majorHAnsi" w:cstheme="minorHAnsi"/>
        </w:rPr>
      </w:pPr>
    </w:p>
    <w:p w14:paraId="4822F913" w14:textId="257FF04B" w:rsidR="007D0BC7" w:rsidRPr="008F5D99" w:rsidRDefault="007E758F" w:rsidP="00AB1521">
      <w:pPr>
        <w:spacing w:line="240" w:lineRule="auto"/>
        <w:jc w:val="both"/>
        <w:rPr>
          <w:rFonts w:asciiTheme="majorHAnsi" w:hAnsiTheme="majorHAnsi" w:cstheme="minorHAnsi"/>
        </w:rPr>
      </w:pPr>
      <w:r w:rsidRPr="008F5D99">
        <w:rPr>
          <w:rFonts w:asciiTheme="majorHAnsi" w:hAnsiTheme="majorHAnsi" w:cstheme="minorHAnsi"/>
        </w:rPr>
        <w:t>En concordancia con nuestro diseño, e</w:t>
      </w:r>
      <w:r w:rsidR="007D0BC7" w:rsidRPr="008F5D99">
        <w:rPr>
          <w:rFonts w:asciiTheme="majorHAnsi" w:hAnsiTheme="majorHAnsi" w:cstheme="minorHAnsi"/>
        </w:rPr>
        <w:t>l régimen que tiene una mayor cobertura es el de Invalidez Vejez y Muerte. Actualmente otorga más de 2</w:t>
      </w:r>
      <w:r w:rsidR="00AC523D" w:rsidRPr="008F5D99">
        <w:rPr>
          <w:rFonts w:asciiTheme="majorHAnsi" w:hAnsiTheme="majorHAnsi" w:cstheme="minorHAnsi"/>
        </w:rPr>
        <w:t>58</w:t>
      </w:r>
      <w:r w:rsidR="007D0BC7" w:rsidRPr="008F5D99">
        <w:rPr>
          <w:rFonts w:asciiTheme="majorHAnsi" w:hAnsiTheme="majorHAnsi" w:cstheme="minorHAnsi"/>
        </w:rPr>
        <w:t xml:space="preserve"> mil prestaciones cada mes, donde 1</w:t>
      </w:r>
      <w:r w:rsidR="00AC523D" w:rsidRPr="008F5D99">
        <w:rPr>
          <w:rFonts w:asciiTheme="majorHAnsi" w:hAnsiTheme="majorHAnsi" w:cstheme="minorHAnsi"/>
        </w:rPr>
        <w:t>34</w:t>
      </w:r>
      <w:r w:rsidR="007D0BC7" w:rsidRPr="008F5D99">
        <w:rPr>
          <w:rFonts w:asciiTheme="majorHAnsi" w:hAnsiTheme="majorHAnsi" w:cstheme="minorHAnsi"/>
        </w:rPr>
        <w:t xml:space="preserve"> mil corresponden a la condición de Vejez, </w:t>
      </w:r>
      <w:r w:rsidR="00AC523D" w:rsidRPr="008F5D99">
        <w:rPr>
          <w:rFonts w:asciiTheme="majorHAnsi" w:hAnsiTheme="majorHAnsi" w:cstheme="minorHAnsi"/>
        </w:rPr>
        <w:t>73</w:t>
      </w:r>
      <w:r w:rsidR="007D0BC7" w:rsidRPr="008F5D99">
        <w:rPr>
          <w:rFonts w:asciiTheme="majorHAnsi" w:hAnsiTheme="majorHAnsi" w:cstheme="minorHAnsi"/>
        </w:rPr>
        <w:t xml:space="preserve"> mil a sobrevivencia, es decir a beneficiarios</w:t>
      </w:r>
      <w:r w:rsidRPr="008F5D99">
        <w:rPr>
          <w:rFonts w:asciiTheme="majorHAnsi" w:hAnsiTheme="majorHAnsi" w:cstheme="minorHAnsi"/>
        </w:rPr>
        <w:t>,</w:t>
      </w:r>
      <w:r w:rsidR="007D0BC7" w:rsidRPr="008F5D99">
        <w:rPr>
          <w:rFonts w:asciiTheme="majorHAnsi" w:hAnsiTheme="majorHAnsi" w:cstheme="minorHAnsi"/>
        </w:rPr>
        <w:t xml:space="preserve"> y 5</w:t>
      </w:r>
      <w:r w:rsidR="00AC523D" w:rsidRPr="008F5D99">
        <w:rPr>
          <w:rFonts w:asciiTheme="majorHAnsi" w:hAnsiTheme="majorHAnsi" w:cstheme="minorHAnsi"/>
        </w:rPr>
        <w:t>1</w:t>
      </w:r>
      <w:r w:rsidR="007D0BC7" w:rsidRPr="008F5D99">
        <w:rPr>
          <w:rFonts w:asciiTheme="majorHAnsi" w:hAnsiTheme="majorHAnsi" w:cstheme="minorHAnsi"/>
        </w:rPr>
        <w:t xml:space="preserve"> mil a pensionados por invalidez. De los c</w:t>
      </w:r>
      <w:r w:rsidRPr="008F5D99">
        <w:rPr>
          <w:rFonts w:asciiTheme="majorHAnsi" w:hAnsiTheme="majorHAnsi" w:cstheme="minorHAnsi"/>
        </w:rPr>
        <w:t>uatro gestores en análisis es la CCSS</w:t>
      </w:r>
      <w:r w:rsidR="007D0BC7" w:rsidRPr="008F5D99">
        <w:rPr>
          <w:rFonts w:asciiTheme="majorHAnsi" w:hAnsiTheme="majorHAnsi" w:cstheme="minorHAnsi"/>
        </w:rPr>
        <w:t xml:space="preserve"> </w:t>
      </w:r>
      <w:r w:rsidRPr="008F5D99">
        <w:rPr>
          <w:rFonts w:asciiTheme="majorHAnsi" w:hAnsiTheme="majorHAnsi" w:cstheme="minorHAnsi"/>
        </w:rPr>
        <w:t>(</w:t>
      </w:r>
      <w:r w:rsidR="007D0BC7" w:rsidRPr="008F5D99">
        <w:rPr>
          <w:rFonts w:asciiTheme="majorHAnsi" w:hAnsiTheme="majorHAnsi" w:cstheme="minorHAnsi"/>
        </w:rPr>
        <w:t>IVM</w:t>
      </w:r>
      <w:r w:rsidRPr="008F5D99">
        <w:rPr>
          <w:rFonts w:asciiTheme="majorHAnsi" w:hAnsiTheme="majorHAnsi" w:cstheme="minorHAnsi"/>
        </w:rPr>
        <w:t>) la</w:t>
      </w:r>
      <w:r w:rsidR="007D0BC7" w:rsidRPr="008F5D99">
        <w:rPr>
          <w:rFonts w:asciiTheme="majorHAnsi" w:hAnsiTheme="majorHAnsi" w:cstheme="minorHAnsi"/>
        </w:rPr>
        <w:t xml:space="preserve"> que reporta un mayor porcentaje de prestaciones por invalidez (un 20%</w:t>
      </w:r>
      <w:r w:rsidR="00353E05">
        <w:rPr>
          <w:rFonts w:asciiTheme="majorHAnsi" w:hAnsiTheme="majorHAnsi" w:cstheme="minorHAnsi"/>
        </w:rPr>
        <w:t xml:space="preserve"> del total de pensionados</w:t>
      </w:r>
      <w:r w:rsidR="007D0BC7" w:rsidRPr="008F5D99">
        <w:rPr>
          <w:rFonts w:asciiTheme="majorHAnsi" w:hAnsiTheme="majorHAnsi" w:cstheme="minorHAnsi"/>
        </w:rPr>
        <w:t>), seguido del Régimen Transitorio del Magisterio (un 1</w:t>
      </w:r>
      <w:r w:rsidR="00AC523D" w:rsidRPr="008F5D99">
        <w:rPr>
          <w:rFonts w:asciiTheme="majorHAnsi" w:hAnsiTheme="majorHAnsi" w:cstheme="minorHAnsi"/>
        </w:rPr>
        <w:t>2</w:t>
      </w:r>
      <w:r w:rsidR="007D0BC7" w:rsidRPr="008F5D99">
        <w:rPr>
          <w:rFonts w:asciiTheme="majorHAnsi" w:hAnsiTheme="majorHAnsi" w:cstheme="minorHAnsi"/>
        </w:rPr>
        <w:t>%). Sin embargo, a nivel total de</w:t>
      </w:r>
      <w:r w:rsidRPr="008F5D99">
        <w:rPr>
          <w:rFonts w:asciiTheme="majorHAnsi" w:hAnsiTheme="majorHAnsi" w:cstheme="minorHAnsi"/>
        </w:rPr>
        <w:t>l</w:t>
      </w:r>
      <w:r w:rsidR="007D0BC7" w:rsidRPr="008F5D99">
        <w:rPr>
          <w:rFonts w:asciiTheme="majorHAnsi" w:hAnsiTheme="majorHAnsi" w:cstheme="minorHAnsi"/>
        </w:rPr>
        <w:t xml:space="preserve"> sistema de pensiones, es el fondo ocupacional complementario de empleados de la CCSS, el FRE, el que tiene </w:t>
      </w:r>
      <w:r w:rsidR="007D0BC7" w:rsidRPr="008F5D99">
        <w:rPr>
          <w:rFonts w:asciiTheme="majorHAnsi" w:hAnsiTheme="majorHAnsi" w:cstheme="minorHAnsi"/>
        </w:rPr>
        <w:lastRenderedPageBreak/>
        <w:t>el mayor porcentaje relativo de pensiones por invalidez alcanzando un 2</w:t>
      </w:r>
      <w:r w:rsidR="00AC523D" w:rsidRPr="008F5D99">
        <w:rPr>
          <w:rFonts w:asciiTheme="majorHAnsi" w:hAnsiTheme="majorHAnsi" w:cstheme="minorHAnsi"/>
        </w:rPr>
        <w:t>4</w:t>
      </w:r>
      <w:r w:rsidR="007D0BC7" w:rsidRPr="008F5D99">
        <w:rPr>
          <w:rFonts w:asciiTheme="majorHAnsi" w:hAnsiTheme="majorHAnsi" w:cstheme="minorHAnsi"/>
        </w:rPr>
        <w:t>% del total de sus prestaciones.</w:t>
      </w:r>
    </w:p>
    <w:p w14:paraId="00E37783" w14:textId="65C739B4" w:rsidR="007D0BC7" w:rsidRDefault="007D0BC7" w:rsidP="00AB1521">
      <w:pPr>
        <w:spacing w:line="240" w:lineRule="auto"/>
        <w:jc w:val="both"/>
        <w:rPr>
          <w:rFonts w:asciiTheme="majorHAnsi" w:hAnsiTheme="majorHAnsi" w:cstheme="minorHAnsi"/>
        </w:rPr>
      </w:pPr>
      <w:r w:rsidRPr="008F5D99">
        <w:rPr>
          <w:rFonts w:asciiTheme="majorHAnsi" w:hAnsiTheme="majorHAnsi" w:cstheme="minorHAnsi"/>
        </w:rPr>
        <w:t xml:space="preserve">El segundo régimen en importancia, tomando como criterio la cantidad de pensiones </w:t>
      </w:r>
      <w:r w:rsidR="00F132C2" w:rsidRPr="008F5D99">
        <w:rPr>
          <w:rFonts w:asciiTheme="majorHAnsi" w:hAnsiTheme="majorHAnsi" w:cstheme="minorHAnsi"/>
        </w:rPr>
        <w:t>otorgadas</w:t>
      </w:r>
      <w:r w:rsidRPr="008F5D99">
        <w:rPr>
          <w:rFonts w:asciiTheme="majorHAnsi" w:hAnsiTheme="majorHAnsi" w:cstheme="minorHAnsi"/>
        </w:rPr>
        <w:t xml:space="preserve"> es el Régimen No Contributivo también administrado por la CCSS, </w:t>
      </w:r>
      <w:r w:rsidR="00F132C2" w:rsidRPr="008F5D99">
        <w:rPr>
          <w:rFonts w:asciiTheme="majorHAnsi" w:hAnsiTheme="majorHAnsi" w:cstheme="minorHAnsi"/>
        </w:rPr>
        <w:t xml:space="preserve">el cual concede un beneficio mínimo </w:t>
      </w:r>
      <w:r w:rsidRPr="008F5D99">
        <w:rPr>
          <w:rFonts w:asciiTheme="majorHAnsi" w:hAnsiTheme="majorHAnsi" w:cstheme="minorHAnsi"/>
        </w:rPr>
        <w:t>de 78 mil colones en condición de vejez. Actualmente 11</w:t>
      </w:r>
      <w:r w:rsidR="00AC523D" w:rsidRPr="008F5D99">
        <w:rPr>
          <w:rFonts w:asciiTheme="majorHAnsi" w:hAnsiTheme="majorHAnsi" w:cstheme="minorHAnsi"/>
        </w:rPr>
        <w:t>1</w:t>
      </w:r>
      <w:r w:rsidRPr="008F5D99">
        <w:rPr>
          <w:rFonts w:asciiTheme="majorHAnsi" w:hAnsiTheme="majorHAnsi" w:cstheme="minorHAnsi"/>
        </w:rPr>
        <w:t xml:space="preserve"> mil personas están cubiertas por este régimen, 61% en condición de vejez, 36% en condición de invalidez, y </w:t>
      </w:r>
      <w:r w:rsidR="00AC523D" w:rsidRPr="008F5D99">
        <w:rPr>
          <w:rFonts w:asciiTheme="majorHAnsi" w:hAnsiTheme="majorHAnsi" w:cstheme="minorHAnsi"/>
        </w:rPr>
        <w:t>2</w:t>
      </w:r>
      <w:r w:rsidRPr="008F5D99">
        <w:rPr>
          <w:rFonts w:asciiTheme="majorHAnsi" w:hAnsiTheme="majorHAnsi" w:cstheme="minorHAnsi"/>
        </w:rPr>
        <w:t>% en condición de sobrevivencia. Los montos superiores al monto mínimo corresponden a prestaciones que se otorgan por parálisis cerebral profunda, indigencia, entre otros. Este régimen en su mayoría asiste a mujeres (58%) de las cuales 21 mil obtienen el beneficio por condición de invalidez y 41 mil por vejez.</w:t>
      </w:r>
    </w:p>
    <w:p w14:paraId="647519FB" w14:textId="7A527BBF" w:rsidR="0069118B" w:rsidRPr="008F5D99" w:rsidRDefault="001345C6" w:rsidP="001345C6">
      <w:pPr>
        <w:spacing w:after="0" w:line="240" w:lineRule="auto"/>
        <w:jc w:val="center"/>
        <w:rPr>
          <w:rFonts w:asciiTheme="majorHAnsi" w:hAnsiTheme="majorHAnsi" w:cstheme="minorHAnsi"/>
        </w:rPr>
      </w:pPr>
      <w:r w:rsidRPr="001345C6">
        <w:rPr>
          <w:rFonts w:asciiTheme="majorHAnsi" w:hAnsiTheme="majorHAnsi" w:cstheme="minorHAnsi"/>
        </w:rPr>
        <w:t xml:space="preserve">Cuadro </w:t>
      </w:r>
      <w:r w:rsidRPr="001345C6">
        <w:rPr>
          <w:rFonts w:asciiTheme="majorHAnsi" w:hAnsiTheme="majorHAnsi" w:cstheme="minorHAnsi"/>
        </w:rPr>
        <w:fldChar w:fldCharType="begin"/>
      </w:r>
      <w:r w:rsidRPr="001345C6">
        <w:rPr>
          <w:rFonts w:asciiTheme="majorHAnsi" w:hAnsiTheme="majorHAnsi" w:cstheme="minorHAnsi"/>
        </w:rPr>
        <w:instrText xml:space="preserve"> SEQ Cuadro \* ARABIC </w:instrText>
      </w:r>
      <w:r w:rsidRPr="001345C6">
        <w:rPr>
          <w:rFonts w:asciiTheme="majorHAnsi" w:hAnsiTheme="majorHAnsi" w:cstheme="minorHAnsi"/>
        </w:rPr>
        <w:fldChar w:fldCharType="separate"/>
      </w:r>
      <w:r w:rsidR="00F7428D">
        <w:rPr>
          <w:rFonts w:asciiTheme="majorHAnsi" w:hAnsiTheme="majorHAnsi" w:cstheme="minorHAnsi"/>
          <w:noProof/>
        </w:rPr>
        <w:t>13</w:t>
      </w:r>
      <w:r w:rsidRPr="001345C6">
        <w:rPr>
          <w:rFonts w:asciiTheme="majorHAnsi" w:hAnsiTheme="majorHAnsi" w:cstheme="minorHAnsi"/>
        </w:rPr>
        <w:fldChar w:fldCharType="end"/>
      </w:r>
    </w:p>
    <w:p w14:paraId="624795EE" w14:textId="77777777" w:rsidR="0069118B" w:rsidRPr="008F5D99" w:rsidRDefault="0069118B" w:rsidP="0069118B">
      <w:pPr>
        <w:spacing w:after="0" w:line="240" w:lineRule="auto"/>
        <w:jc w:val="center"/>
        <w:rPr>
          <w:rFonts w:asciiTheme="majorHAnsi" w:hAnsiTheme="majorHAnsi" w:cstheme="minorHAnsi"/>
        </w:rPr>
      </w:pPr>
      <w:r w:rsidRPr="008F5D99">
        <w:rPr>
          <w:rFonts w:asciiTheme="majorHAnsi" w:hAnsiTheme="majorHAnsi" w:cstheme="minorHAnsi"/>
        </w:rPr>
        <w:t>Pensiones del Régimen no Contributivo</w:t>
      </w:r>
    </w:p>
    <w:p w14:paraId="76127B17" w14:textId="583BE661" w:rsidR="007D0BC7" w:rsidRPr="008F5D99" w:rsidRDefault="003B0161" w:rsidP="0069118B">
      <w:pPr>
        <w:spacing w:after="0" w:line="240" w:lineRule="auto"/>
        <w:jc w:val="center"/>
        <w:rPr>
          <w:rFonts w:asciiTheme="majorHAnsi" w:hAnsiTheme="majorHAnsi" w:cstheme="minorHAnsi"/>
        </w:rPr>
      </w:pPr>
      <w:r w:rsidRPr="008F5D99">
        <w:rPr>
          <w:rFonts w:asciiTheme="majorHAnsi" w:hAnsiTheme="majorHAnsi" w:cstheme="minorHAnsi"/>
        </w:rPr>
        <w:t>Setiembre</w:t>
      </w:r>
      <w:r w:rsidR="0069118B" w:rsidRPr="008F5D99">
        <w:rPr>
          <w:rFonts w:asciiTheme="majorHAnsi" w:hAnsiTheme="majorHAnsi" w:cstheme="minorHAnsi"/>
        </w:rPr>
        <w:t xml:space="preserve"> 2018</w:t>
      </w:r>
    </w:p>
    <w:p w14:paraId="121FD38A" w14:textId="20F4C185" w:rsidR="003B0161" w:rsidRDefault="003B0161" w:rsidP="0069118B">
      <w:pPr>
        <w:spacing w:after="0" w:line="240" w:lineRule="auto"/>
        <w:jc w:val="center"/>
        <w:rPr>
          <w:rFonts w:asciiTheme="majorHAnsi" w:hAnsiTheme="majorHAnsi" w:cstheme="minorHAnsi"/>
        </w:rPr>
      </w:pPr>
      <w:r w:rsidRPr="008F5D99">
        <w:rPr>
          <w:rFonts w:asciiTheme="majorHAnsi" w:hAnsiTheme="majorHAnsi" w:cstheme="minorHAnsi"/>
          <w:noProof/>
        </w:rPr>
        <w:drawing>
          <wp:inline distT="0" distB="0" distL="0" distR="0" wp14:anchorId="7A0F7D73" wp14:editId="07777777">
            <wp:extent cx="3771900" cy="198372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1024" cy="2004303"/>
                    </a:xfrm>
                    <a:prstGeom prst="rect">
                      <a:avLst/>
                    </a:prstGeom>
                    <a:noFill/>
                    <a:ln>
                      <a:noFill/>
                    </a:ln>
                  </pic:spPr>
                </pic:pic>
              </a:graphicData>
            </a:graphic>
          </wp:inline>
        </w:drawing>
      </w:r>
    </w:p>
    <w:p w14:paraId="68B0C456" w14:textId="6068F9D9" w:rsidR="00F7428D" w:rsidRDefault="00F7428D" w:rsidP="0069118B">
      <w:pPr>
        <w:spacing w:after="0" w:line="240" w:lineRule="auto"/>
        <w:jc w:val="center"/>
        <w:rPr>
          <w:rFonts w:asciiTheme="majorHAnsi" w:hAnsiTheme="majorHAnsi" w:cstheme="minorHAnsi"/>
        </w:rPr>
      </w:pPr>
    </w:p>
    <w:p w14:paraId="5A9B7748" w14:textId="193BE0B9" w:rsidR="00F7428D" w:rsidRDefault="00F7428D" w:rsidP="0069118B">
      <w:pPr>
        <w:spacing w:after="0" w:line="240" w:lineRule="auto"/>
        <w:jc w:val="center"/>
        <w:rPr>
          <w:rFonts w:asciiTheme="majorHAnsi" w:hAnsiTheme="majorHAnsi" w:cstheme="minorHAnsi"/>
        </w:rPr>
      </w:pPr>
    </w:p>
    <w:p w14:paraId="2928CB56" w14:textId="77777777" w:rsidR="00F7428D" w:rsidRPr="008F5D99" w:rsidRDefault="00F7428D" w:rsidP="0069118B">
      <w:pPr>
        <w:spacing w:after="0" w:line="240" w:lineRule="auto"/>
        <w:jc w:val="center"/>
        <w:rPr>
          <w:rFonts w:asciiTheme="majorHAnsi" w:hAnsiTheme="majorHAnsi" w:cstheme="minorHAnsi"/>
        </w:rPr>
      </w:pPr>
    </w:p>
    <w:tbl>
      <w:tblPr>
        <w:tblW w:w="6237" w:type="dxa"/>
        <w:jc w:val="center"/>
        <w:tblCellMar>
          <w:left w:w="70" w:type="dxa"/>
          <w:right w:w="70" w:type="dxa"/>
        </w:tblCellMar>
        <w:tblLook w:val="04A0" w:firstRow="1" w:lastRow="0" w:firstColumn="1" w:lastColumn="0" w:noHBand="0" w:noVBand="1"/>
      </w:tblPr>
      <w:tblGrid>
        <w:gridCol w:w="1985"/>
        <w:gridCol w:w="993"/>
        <w:gridCol w:w="1133"/>
        <w:gridCol w:w="989"/>
        <w:gridCol w:w="1137"/>
      </w:tblGrid>
      <w:tr w:rsidR="00C058D7" w:rsidRPr="00E15415" w14:paraId="795FE5D2" w14:textId="77777777" w:rsidTr="00E15415">
        <w:trPr>
          <w:trHeight w:val="255"/>
          <w:jc w:val="center"/>
        </w:trPr>
        <w:tc>
          <w:tcPr>
            <w:tcW w:w="1985" w:type="dxa"/>
            <w:vMerge w:val="restart"/>
            <w:tcBorders>
              <w:top w:val="single" w:sz="4" w:space="0" w:color="auto"/>
              <w:left w:val="nil"/>
              <w:bottom w:val="double" w:sz="6" w:space="0" w:color="000000"/>
              <w:right w:val="nil"/>
            </w:tcBorders>
            <w:shd w:val="clear" w:color="auto" w:fill="auto"/>
            <w:vAlign w:val="center"/>
            <w:hideMark/>
          </w:tcPr>
          <w:p w14:paraId="52E60201" w14:textId="77777777" w:rsidR="00C058D7" w:rsidRPr="00E15415" w:rsidRDefault="00C058D7" w:rsidP="00C058D7">
            <w:pPr>
              <w:spacing w:after="0" w:line="240" w:lineRule="auto"/>
              <w:jc w:val="center"/>
              <w:rPr>
                <w:rFonts w:asciiTheme="majorHAnsi" w:eastAsia="Times New Roman" w:hAnsiTheme="majorHAnsi" w:cstheme="minorHAnsi"/>
                <w:b/>
                <w:bCs/>
                <w:color w:val="000000"/>
                <w:szCs w:val="20"/>
                <w:lang w:val="es-CR" w:eastAsia="es-CR"/>
              </w:rPr>
            </w:pPr>
            <w:r w:rsidRPr="00E15415">
              <w:rPr>
                <w:rFonts w:asciiTheme="majorHAnsi" w:eastAsia="Times New Roman" w:hAnsiTheme="majorHAnsi" w:cstheme="minorHAnsi"/>
                <w:b/>
                <w:bCs/>
                <w:color w:val="000000"/>
                <w:szCs w:val="20"/>
                <w:lang w:val="es-CR" w:eastAsia="es-CR"/>
              </w:rPr>
              <w:t>Tipo de Pensión</w:t>
            </w:r>
          </w:p>
        </w:tc>
        <w:tc>
          <w:tcPr>
            <w:tcW w:w="2126" w:type="dxa"/>
            <w:gridSpan w:val="2"/>
            <w:tcBorders>
              <w:top w:val="single" w:sz="4" w:space="0" w:color="auto"/>
              <w:left w:val="nil"/>
              <w:bottom w:val="nil"/>
              <w:right w:val="nil"/>
            </w:tcBorders>
            <w:shd w:val="clear" w:color="auto" w:fill="auto"/>
            <w:noWrap/>
            <w:vAlign w:val="center"/>
            <w:hideMark/>
          </w:tcPr>
          <w:p w14:paraId="64575996" w14:textId="77777777" w:rsidR="00C058D7" w:rsidRPr="00E15415" w:rsidRDefault="00C058D7" w:rsidP="00C058D7">
            <w:pPr>
              <w:spacing w:after="0" w:line="240" w:lineRule="auto"/>
              <w:jc w:val="center"/>
              <w:rPr>
                <w:rFonts w:asciiTheme="majorHAnsi" w:eastAsia="Times New Roman" w:hAnsiTheme="majorHAnsi" w:cstheme="minorHAnsi"/>
                <w:b/>
                <w:bCs/>
                <w:color w:val="000000"/>
                <w:szCs w:val="20"/>
                <w:lang w:val="es-CR" w:eastAsia="es-CR"/>
              </w:rPr>
            </w:pPr>
            <w:r w:rsidRPr="00E15415">
              <w:rPr>
                <w:rFonts w:asciiTheme="majorHAnsi" w:eastAsia="Times New Roman" w:hAnsiTheme="majorHAnsi" w:cstheme="minorHAnsi"/>
                <w:b/>
                <w:bCs/>
                <w:color w:val="000000"/>
                <w:szCs w:val="20"/>
                <w:lang w:val="es-CR" w:eastAsia="es-CR"/>
              </w:rPr>
              <w:t>Cantidad</w:t>
            </w:r>
          </w:p>
        </w:tc>
        <w:tc>
          <w:tcPr>
            <w:tcW w:w="2126" w:type="dxa"/>
            <w:gridSpan w:val="2"/>
            <w:tcBorders>
              <w:top w:val="single" w:sz="4" w:space="0" w:color="auto"/>
              <w:left w:val="nil"/>
              <w:bottom w:val="nil"/>
              <w:right w:val="nil"/>
            </w:tcBorders>
            <w:shd w:val="clear" w:color="auto" w:fill="auto"/>
            <w:noWrap/>
            <w:vAlign w:val="center"/>
            <w:hideMark/>
          </w:tcPr>
          <w:p w14:paraId="6C327038" w14:textId="77777777" w:rsidR="00C058D7" w:rsidRPr="00E15415" w:rsidRDefault="00C058D7" w:rsidP="00C058D7">
            <w:pPr>
              <w:spacing w:after="0" w:line="240" w:lineRule="auto"/>
              <w:jc w:val="center"/>
              <w:rPr>
                <w:rFonts w:asciiTheme="majorHAnsi" w:eastAsia="Times New Roman" w:hAnsiTheme="majorHAnsi" w:cstheme="minorHAnsi"/>
                <w:b/>
                <w:bCs/>
                <w:color w:val="000000"/>
                <w:szCs w:val="20"/>
                <w:lang w:val="es-CR" w:eastAsia="es-CR"/>
              </w:rPr>
            </w:pPr>
            <w:r w:rsidRPr="00E15415">
              <w:rPr>
                <w:rFonts w:asciiTheme="majorHAnsi" w:eastAsia="Times New Roman" w:hAnsiTheme="majorHAnsi" w:cstheme="minorHAnsi"/>
                <w:b/>
                <w:bCs/>
                <w:color w:val="000000"/>
                <w:szCs w:val="20"/>
                <w:lang w:val="es-CR" w:eastAsia="es-CR"/>
              </w:rPr>
              <w:t>Porcentaje</w:t>
            </w:r>
          </w:p>
        </w:tc>
      </w:tr>
      <w:tr w:rsidR="00C058D7" w:rsidRPr="00E15415" w14:paraId="29C58358" w14:textId="77777777" w:rsidTr="00E15415">
        <w:trPr>
          <w:trHeight w:val="35"/>
          <w:jc w:val="center"/>
        </w:trPr>
        <w:tc>
          <w:tcPr>
            <w:tcW w:w="1985" w:type="dxa"/>
            <w:vMerge/>
            <w:tcBorders>
              <w:top w:val="single" w:sz="4" w:space="0" w:color="auto"/>
              <w:left w:val="nil"/>
              <w:bottom w:val="double" w:sz="6" w:space="0" w:color="000000"/>
              <w:right w:val="nil"/>
            </w:tcBorders>
            <w:vAlign w:val="center"/>
            <w:hideMark/>
          </w:tcPr>
          <w:p w14:paraId="1FE2DD96" w14:textId="77777777" w:rsidR="00C058D7" w:rsidRPr="00E15415" w:rsidRDefault="00C058D7" w:rsidP="00C058D7">
            <w:pPr>
              <w:spacing w:after="0" w:line="240" w:lineRule="auto"/>
              <w:rPr>
                <w:rFonts w:asciiTheme="majorHAnsi" w:eastAsia="Times New Roman" w:hAnsiTheme="majorHAnsi" w:cstheme="minorHAnsi"/>
                <w:b/>
                <w:bCs/>
                <w:color w:val="000000"/>
                <w:szCs w:val="20"/>
                <w:lang w:val="es-CR" w:eastAsia="es-CR"/>
              </w:rPr>
            </w:pPr>
          </w:p>
        </w:tc>
        <w:tc>
          <w:tcPr>
            <w:tcW w:w="993" w:type="dxa"/>
            <w:tcBorders>
              <w:top w:val="nil"/>
              <w:left w:val="nil"/>
              <w:bottom w:val="double" w:sz="6" w:space="0" w:color="auto"/>
              <w:right w:val="nil"/>
            </w:tcBorders>
            <w:shd w:val="clear" w:color="auto" w:fill="auto"/>
            <w:noWrap/>
            <w:vAlign w:val="center"/>
            <w:hideMark/>
          </w:tcPr>
          <w:p w14:paraId="2FBFB737" w14:textId="77777777" w:rsidR="00C058D7" w:rsidRPr="00E15415" w:rsidRDefault="00C058D7" w:rsidP="00C058D7">
            <w:pPr>
              <w:spacing w:after="0" w:line="240" w:lineRule="auto"/>
              <w:rPr>
                <w:rFonts w:asciiTheme="majorHAnsi" w:eastAsia="Times New Roman" w:hAnsiTheme="majorHAnsi" w:cstheme="minorHAnsi"/>
                <w:b/>
                <w:bCs/>
                <w:color w:val="000000"/>
                <w:szCs w:val="20"/>
                <w:lang w:val="es-CR" w:eastAsia="es-CR"/>
              </w:rPr>
            </w:pPr>
            <w:r w:rsidRPr="00E15415">
              <w:rPr>
                <w:rFonts w:asciiTheme="majorHAnsi" w:eastAsia="Times New Roman" w:hAnsiTheme="majorHAnsi" w:cstheme="minorHAnsi"/>
                <w:b/>
                <w:bCs/>
                <w:color w:val="000000"/>
                <w:szCs w:val="20"/>
                <w:lang w:val="es-CR" w:eastAsia="es-CR"/>
              </w:rPr>
              <w:t>Mujeres</w:t>
            </w:r>
          </w:p>
        </w:tc>
        <w:tc>
          <w:tcPr>
            <w:tcW w:w="1133" w:type="dxa"/>
            <w:tcBorders>
              <w:top w:val="nil"/>
              <w:left w:val="nil"/>
              <w:bottom w:val="double" w:sz="6" w:space="0" w:color="auto"/>
              <w:right w:val="nil"/>
            </w:tcBorders>
            <w:shd w:val="clear" w:color="auto" w:fill="auto"/>
            <w:noWrap/>
            <w:vAlign w:val="center"/>
            <w:hideMark/>
          </w:tcPr>
          <w:p w14:paraId="0A323E36" w14:textId="77777777" w:rsidR="00C058D7" w:rsidRPr="00E15415" w:rsidRDefault="00C058D7" w:rsidP="00C058D7">
            <w:pPr>
              <w:spacing w:after="0" w:line="240" w:lineRule="auto"/>
              <w:rPr>
                <w:rFonts w:asciiTheme="majorHAnsi" w:eastAsia="Times New Roman" w:hAnsiTheme="majorHAnsi" w:cstheme="minorHAnsi"/>
                <w:b/>
                <w:bCs/>
                <w:color w:val="000000"/>
                <w:szCs w:val="20"/>
                <w:lang w:val="es-CR" w:eastAsia="es-CR"/>
              </w:rPr>
            </w:pPr>
            <w:r w:rsidRPr="00E15415">
              <w:rPr>
                <w:rFonts w:asciiTheme="majorHAnsi" w:eastAsia="Times New Roman" w:hAnsiTheme="majorHAnsi" w:cstheme="minorHAnsi"/>
                <w:b/>
                <w:bCs/>
                <w:color w:val="000000"/>
                <w:szCs w:val="20"/>
                <w:lang w:val="es-CR" w:eastAsia="es-CR"/>
              </w:rPr>
              <w:t>Hombres</w:t>
            </w:r>
          </w:p>
        </w:tc>
        <w:tc>
          <w:tcPr>
            <w:tcW w:w="989" w:type="dxa"/>
            <w:tcBorders>
              <w:top w:val="nil"/>
              <w:left w:val="nil"/>
              <w:bottom w:val="double" w:sz="6" w:space="0" w:color="auto"/>
              <w:right w:val="nil"/>
            </w:tcBorders>
            <w:shd w:val="clear" w:color="auto" w:fill="auto"/>
            <w:noWrap/>
            <w:vAlign w:val="center"/>
            <w:hideMark/>
          </w:tcPr>
          <w:p w14:paraId="2AE415F2" w14:textId="77777777" w:rsidR="00C058D7" w:rsidRPr="00E15415" w:rsidRDefault="00C058D7" w:rsidP="00C058D7">
            <w:pPr>
              <w:spacing w:after="0" w:line="240" w:lineRule="auto"/>
              <w:rPr>
                <w:rFonts w:asciiTheme="majorHAnsi" w:eastAsia="Times New Roman" w:hAnsiTheme="majorHAnsi" w:cstheme="minorHAnsi"/>
                <w:b/>
                <w:bCs/>
                <w:color w:val="000000"/>
                <w:szCs w:val="20"/>
                <w:lang w:val="es-CR" w:eastAsia="es-CR"/>
              </w:rPr>
            </w:pPr>
            <w:r w:rsidRPr="00E15415">
              <w:rPr>
                <w:rFonts w:asciiTheme="majorHAnsi" w:eastAsia="Times New Roman" w:hAnsiTheme="majorHAnsi" w:cstheme="minorHAnsi"/>
                <w:b/>
                <w:bCs/>
                <w:color w:val="000000"/>
                <w:szCs w:val="20"/>
                <w:lang w:val="es-CR" w:eastAsia="es-CR"/>
              </w:rPr>
              <w:t>Mujeres</w:t>
            </w:r>
          </w:p>
        </w:tc>
        <w:tc>
          <w:tcPr>
            <w:tcW w:w="1137" w:type="dxa"/>
            <w:tcBorders>
              <w:top w:val="nil"/>
              <w:left w:val="nil"/>
              <w:bottom w:val="double" w:sz="6" w:space="0" w:color="auto"/>
              <w:right w:val="nil"/>
            </w:tcBorders>
            <w:shd w:val="clear" w:color="auto" w:fill="auto"/>
            <w:noWrap/>
            <w:vAlign w:val="center"/>
            <w:hideMark/>
          </w:tcPr>
          <w:p w14:paraId="346F0338" w14:textId="77777777" w:rsidR="00C058D7" w:rsidRPr="00E15415" w:rsidRDefault="00C058D7" w:rsidP="00C058D7">
            <w:pPr>
              <w:spacing w:after="0" w:line="240" w:lineRule="auto"/>
              <w:rPr>
                <w:rFonts w:asciiTheme="majorHAnsi" w:eastAsia="Times New Roman" w:hAnsiTheme="majorHAnsi" w:cstheme="minorHAnsi"/>
                <w:b/>
                <w:bCs/>
                <w:color w:val="000000"/>
                <w:szCs w:val="20"/>
                <w:lang w:val="es-CR" w:eastAsia="es-CR"/>
              </w:rPr>
            </w:pPr>
            <w:r w:rsidRPr="00E15415">
              <w:rPr>
                <w:rFonts w:asciiTheme="majorHAnsi" w:eastAsia="Times New Roman" w:hAnsiTheme="majorHAnsi" w:cstheme="minorHAnsi"/>
                <w:b/>
                <w:bCs/>
                <w:color w:val="000000"/>
                <w:szCs w:val="20"/>
                <w:lang w:val="es-CR" w:eastAsia="es-CR"/>
              </w:rPr>
              <w:t>Hombres</w:t>
            </w:r>
          </w:p>
        </w:tc>
      </w:tr>
      <w:tr w:rsidR="00C058D7" w:rsidRPr="00E15415" w14:paraId="7FC96417" w14:textId="77777777" w:rsidTr="00E15415">
        <w:trPr>
          <w:trHeight w:val="270"/>
          <w:jc w:val="center"/>
        </w:trPr>
        <w:tc>
          <w:tcPr>
            <w:tcW w:w="1985" w:type="dxa"/>
            <w:tcBorders>
              <w:top w:val="nil"/>
              <w:left w:val="nil"/>
              <w:bottom w:val="nil"/>
              <w:right w:val="nil"/>
            </w:tcBorders>
            <w:shd w:val="clear" w:color="auto" w:fill="auto"/>
            <w:noWrap/>
            <w:vAlign w:val="bottom"/>
            <w:hideMark/>
          </w:tcPr>
          <w:p w14:paraId="2BDC9E69" w14:textId="77777777" w:rsidR="00C058D7" w:rsidRPr="00E15415" w:rsidRDefault="00C058D7" w:rsidP="00C058D7">
            <w:pPr>
              <w:spacing w:after="0" w:line="240" w:lineRule="auto"/>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Indigentes</w:t>
            </w:r>
          </w:p>
        </w:tc>
        <w:tc>
          <w:tcPr>
            <w:tcW w:w="993" w:type="dxa"/>
            <w:tcBorders>
              <w:top w:val="nil"/>
              <w:left w:val="nil"/>
              <w:bottom w:val="nil"/>
              <w:right w:val="nil"/>
            </w:tcBorders>
            <w:shd w:val="clear" w:color="auto" w:fill="auto"/>
            <w:noWrap/>
            <w:vAlign w:val="bottom"/>
            <w:hideMark/>
          </w:tcPr>
          <w:p w14:paraId="04431907"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 1 553 </w:t>
            </w:r>
          </w:p>
        </w:tc>
        <w:tc>
          <w:tcPr>
            <w:tcW w:w="1133" w:type="dxa"/>
            <w:tcBorders>
              <w:top w:val="nil"/>
              <w:left w:val="nil"/>
              <w:bottom w:val="nil"/>
              <w:right w:val="nil"/>
            </w:tcBorders>
            <w:shd w:val="clear" w:color="auto" w:fill="auto"/>
            <w:noWrap/>
            <w:vAlign w:val="bottom"/>
            <w:hideMark/>
          </w:tcPr>
          <w:p w14:paraId="19C0D66D"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 1 148 </w:t>
            </w:r>
          </w:p>
        </w:tc>
        <w:tc>
          <w:tcPr>
            <w:tcW w:w="989" w:type="dxa"/>
            <w:tcBorders>
              <w:top w:val="nil"/>
              <w:left w:val="single" w:sz="4" w:space="0" w:color="auto"/>
              <w:bottom w:val="nil"/>
              <w:right w:val="nil"/>
            </w:tcBorders>
            <w:shd w:val="clear" w:color="auto" w:fill="auto"/>
            <w:noWrap/>
            <w:vAlign w:val="bottom"/>
            <w:hideMark/>
          </w:tcPr>
          <w:p w14:paraId="0B9F0615"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2,3%</w:t>
            </w:r>
          </w:p>
        </w:tc>
        <w:tc>
          <w:tcPr>
            <w:tcW w:w="1137" w:type="dxa"/>
            <w:tcBorders>
              <w:top w:val="nil"/>
              <w:left w:val="nil"/>
              <w:bottom w:val="nil"/>
              <w:right w:val="nil"/>
            </w:tcBorders>
            <w:shd w:val="clear" w:color="auto" w:fill="auto"/>
            <w:noWrap/>
            <w:vAlign w:val="bottom"/>
            <w:hideMark/>
          </w:tcPr>
          <w:p w14:paraId="79401F61"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2,4%</w:t>
            </w:r>
          </w:p>
        </w:tc>
      </w:tr>
      <w:tr w:rsidR="00C058D7" w:rsidRPr="00E15415" w14:paraId="2DFA6DBE" w14:textId="77777777" w:rsidTr="00E15415">
        <w:trPr>
          <w:trHeight w:val="255"/>
          <w:jc w:val="center"/>
        </w:trPr>
        <w:tc>
          <w:tcPr>
            <w:tcW w:w="1985" w:type="dxa"/>
            <w:tcBorders>
              <w:top w:val="nil"/>
              <w:left w:val="nil"/>
              <w:bottom w:val="nil"/>
              <w:right w:val="nil"/>
            </w:tcBorders>
            <w:shd w:val="clear" w:color="auto" w:fill="auto"/>
            <w:noWrap/>
            <w:vAlign w:val="bottom"/>
            <w:hideMark/>
          </w:tcPr>
          <w:p w14:paraId="4B653AEA" w14:textId="77777777" w:rsidR="00C058D7" w:rsidRPr="00E15415" w:rsidRDefault="00C058D7" w:rsidP="00C058D7">
            <w:pPr>
              <w:spacing w:after="0" w:line="240" w:lineRule="auto"/>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Invalidez</w:t>
            </w:r>
          </w:p>
        </w:tc>
        <w:tc>
          <w:tcPr>
            <w:tcW w:w="993" w:type="dxa"/>
            <w:tcBorders>
              <w:top w:val="nil"/>
              <w:left w:val="nil"/>
              <w:bottom w:val="nil"/>
              <w:right w:val="nil"/>
            </w:tcBorders>
            <w:shd w:val="clear" w:color="auto" w:fill="auto"/>
            <w:noWrap/>
            <w:vAlign w:val="bottom"/>
            <w:hideMark/>
          </w:tcPr>
          <w:p w14:paraId="1BFB51A1"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 21 363 </w:t>
            </w:r>
          </w:p>
        </w:tc>
        <w:tc>
          <w:tcPr>
            <w:tcW w:w="1133" w:type="dxa"/>
            <w:tcBorders>
              <w:top w:val="nil"/>
              <w:left w:val="nil"/>
              <w:bottom w:val="nil"/>
              <w:right w:val="nil"/>
            </w:tcBorders>
            <w:shd w:val="clear" w:color="auto" w:fill="auto"/>
            <w:noWrap/>
            <w:vAlign w:val="bottom"/>
            <w:hideMark/>
          </w:tcPr>
          <w:p w14:paraId="1BD8E1C8"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19 063 </w:t>
            </w:r>
          </w:p>
        </w:tc>
        <w:tc>
          <w:tcPr>
            <w:tcW w:w="989" w:type="dxa"/>
            <w:tcBorders>
              <w:top w:val="nil"/>
              <w:left w:val="single" w:sz="4" w:space="0" w:color="auto"/>
              <w:bottom w:val="nil"/>
              <w:right w:val="nil"/>
            </w:tcBorders>
            <w:shd w:val="clear" w:color="auto" w:fill="auto"/>
            <w:noWrap/>
            <w:vAlign w:val="bottom"/>
            <w:hideMark/>
          </w:tcPr>
          <w:p w14:paraId="15F47E0A"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31,8%</w:t>
            </w:r>
          </w:p>
        </w:tc>
        <w:tc>
          <w:tcPr>
            <w:tcW w:w="1137" w:type="dxa"/>
            <w:tcBorders>
              <w:top w:val="nil"/>
              <w:left w:val="nil"/>
              <w:bottom w:val="nil"/>
              <w:right w:val="nil"/>
            </w:tcBorders>
            <w:shd w:val="clear" w:color="auto" w:fill="auto"/>
            <w:noWrap/>
            <w:vAlign w:val="bottom"/>
            <w:hideMark/>
          </w:tcPr>
          <w:p w14:paraId="7F6384FF"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39,2%</w:t>
            </w:r>
          </w:p>
        </w:tc>
      </w:tr>
      <w:tr w:rsidR="00C058D7" w:rsidRPr="00E15415" w14:paraId="3469033C" w14:textId="77777777" w:rsidTr="00E15415">
        <w:trPr>
          <w:trHeight w:val="255"/>
          <w:jc w:val="center"/>
        </w:trPr>
        <w:tc>
          <w:tcPr>
            <w:tcW w:w="1985" w:type="dxa"/>
            <w:tcBorders>
              <w:top w:val="nil"/>
              <w:left w:val="nil"/>
              <w:bottom w:val="nil"/>
              <w:right w:val="nil"/>
            </w:tcBorders>
            <w:shd w:val="clear" w:color="auto" w:fill="auto"/>
            <w:noWrap/>
            <w:vAlign w:val="bottom"/>
            <w:hideMark/>
          </w:tcPr>
          <w:p w14:paraId="16104345" w14:textId="77777777" w:rsidR="00C058D7" w:rsidRPr="00E15415" w:rsidRDefault="00C058D7" w:rsidP="00C058D7">
            <w:pPr>
              <w:spacing w:after="0" w:line="240" w:lineRule="auto"/>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Parálisis Cerebral</w:t>
            </w:r>
          </w:p>
        </w:tc>
        <w:tc>
          <w:tcPr>
            <w:tcW w:w="993" w:type="dxa"/>
            <w:tcBorders>
              <w:top w:val="nil"/>
              <w:left w:val="nil"/>
              <w:bottom w:val="nil"/>
              <w:right w:val="nil"/>
            </w:tcBorders>
            <w:shd w:val="clear" w:color="auto" w:fill="auto"/>
            <w:noWrap/>
            <w:vAlign w:val="bottom"/>
            <w:hideMark/>
          </w:tcPr>
          <w:p w14:paraId="20DE939C"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607 </w:t>
            </w:r>
          </w:p>
        </w:tc>
        <w:tc>
          <w:tcPr>
            <w:tcW w:w="1133" w:type="dxa"/>
            <w:tcBorders>
              <w:top w:val="nil"/>
              <w:left w:val="nil"/>
              <w:bottom w:val="nil"/>
              <w:right w:val="nil"/>
            </w:tcBorders>
            <w:shd w:val="clear" w:color="auto" w:fill="auto"/>
            <w:noWrap/>
            <w:vAlign w:val="bottom"/>
            <w:hideMark/>
          </w:tcPr>
          <w:p w14:paraId="6684DD91"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 1 115 </w:t>
            </w:r>
          </w:p>
        </w:tc>
        <w:tc>
          <w:tcPr>
            <w:tcW w:w="989" w:type="dxa"/>
            <w:tcBorders>
              <w:top w:val="nil"/>
              <w:left w:val="single" w:sz="4" w:space="0" w:color="auto"/>
              <w:bottom w:val="nil"/>
              <w:right w:val="nil"/>
            </w:tcBorders>
            <w:shd w:val="clear" w:color="auto" w:fill="auto"/>
            <w:noWrap/>
            <w:vAlign w:val="bottom"/>
            <w:hideMark/>
          </w:tcPr>
          <w:p w14:paraId="4942C360"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0,9%</w:t>
            </w:r>
          </w:p>
        </w:tc>
        <w:tc>
          <w:tcPr>
            <w:tcW w:w="1137" w:type="dxa"/>
            <w:tcBorders>
              <w:top w:val="nil"/>
              <w:left w:val="nil"/>
              <w:bottom w:val="nil"/>
              <w:right w:val="nil"/>
            </w:tcBorders>
            <w:shd w:val="clear" w:color="auto" w:fill="auto"/>
            <w:noWrap/>
            <w:vAlign w:val="bottom"/>
            <w:hideMark/>
          </w:tcPr>
          <w:p w14:paraId="6CC17118"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2,3%</w:t>
            </w:r>
          </w:p>
        </w:tc>
      </w:tr>
      <w:tr w:rsidR="00C058D7" w:rsidRPr="00E15415" w14:paraId="6D98D53F" w14:textId="77777777" w:rsidTr="00E15415">
        <w:trPr>
          <w:trHeight w:val="255"/>
          <w:jc w:val="center"/>
        </w:trPr>
        <w:tc>
          <w:tcPr>
            <w:tcW w:w="1985" w:type="dxa"/>
            <w:tcBorders>
              <w:top w:val="nil"/>
              <w:left w:val="nil"/>
              <w:bottom w:val="nil"/>
              <w:right w:val="nil"/>
            </w:tcBorders>
            <w:shd w:val="clear" w:color="auto" w:fill="auto"/>
            <w:noWrap/>
            <w:vAlign w:val="bottom"/>
            <w:hideMark/>
          </w:tcPr>
          <w:p w14:paraId="3A016283" w14:textId="77777777" w:rsidR="00C058D7" w:rsidRPr="00E15415" w:rsidRDefault="00C058D7" w:rsidP="00C058D7">
            <w:pPr>
              <w:spacing w:after="0" w:line="240" w:lineRule="auto"/>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Sobrevivencia</w:t>
            </w:r>
          </w:p>
        </w:tc>
        <w:tc>
          <w:tcPr>
            <w:tcW w:w="993" w:type="dxa"/>
            <w:tcBorders>
              <w:top w:val="nil"/>
              <w:left w:val="nil"/>
              <w:bottom w:val="nil"/>
              <w:right w:val="nil"/>
            </w:tcBorders>
            <w:shd w:val="clear" w:color="auto" w:fill="auto"/>
            <w:noWrap/>
            <w:vAlign w:val="bottom"/>
            <w:hideMark/>
          </w:tcPr>
          <w:p w14:paraId="0A74DB61"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 2 550 </w:t>
            </w:r>
          </w:p>
        </w:tc>
        <w:tc>
          <w:tcPr>
            <w:tcW w:w="1133" w:type="dxa"/>
            <w:tcBorders>
              <w:top w:val="nil"/>
              <w:left w:val="nil"/>
              <w:bottom w:val="nil"/>
              <w:right w:val="nil"/>
            </w:tcBorders>
            <w:shd w:val="clear" w:color="auto" w:fill="auto"/>
            <w:noWrap/>
            <w:vAlign w:val="bottom"/>
            <w:hideMark/>
          </w:tcPr>
          <w:p w14:paraId="1BDA4EDA"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79 </w:t>
            </w:r>
          </w:p>
        </w:tc>
        <w:tc>
          <w:tcPr>
            <w:tcW w:w="989" w:type="dxa"/>
            <w:tcBorders>
              <w:top w:val="nil"/>
              <w:left w:val="single" w:sz="4" w:space="0" w:color="auto"/>
              <w:bottom w:val="nil"/>
              <w:right w:val="nil"/>
            </w:tcBorders>
            <w:shd w:val="clear" w:color="auto" w:fill="auto"/>
            <w:noWrap/>
            <w:vAlign w:val="bottom"/>
            <w:hideMark/>
          </w:tcPr>
          <w:p w14:paraId="7BDC2ECD"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3,8%</w:t>
            </w:r>
          </w:p>
        </w:tc>
        <w:tc>
          <w:tcPr>
            <w:tcW w:w="1137" w:type="dxa"/>
            <w:tcBorders>
              <w:top w:val="nil"/>
              <w:left w:val="nil"/>
              <w:bottom w:val="nil"/>
              <w:right w:val="nil"/>
            </w:tcBorders>
            <w:shd w:val="clear" w:color="auto" w:fill="auto"/>
            <w:noWrap/>
            <w:vAlign w:val="bottom"/>
            <w:hideMark/>
          </w:tcPr>
          <w:p w14:paraId="23E5DE10"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0,2%</w:t>
            </w:r>
          </w:p>
        </w:tc>
      </w:tr>
      <w:tr w:rsidR="00C058D7" w:rsidRPr="00E15415" w14:paraId="21FC0B8F" w14:textId="77777777" w:rsidTr="00E15415">
        <w:trPr>
          <w:trHeight w:val="255"/>
          <w:jc w:val="center"/>
        </w:trPr>
        <w:tc>
          <w:tcPr>
            <w:tcW w:w="1985" w:type="dxa"/>
            <w:tcBorders>
              <w:top w:val="nil"/>
              <w:left w:val="nil"/>
              <w:bottom w:val="single" w:sz="4" w:space="0" w:color="auto"/>
              <w:right w:val="nil"/>
            </w:tcBorders>
            <w:shd w:val="clear" w:color="auto" w:fill="auto"/>
            <w:noWrap/>
            <w:vAlign w:val="bottom"/>
            <w:hideMark/>
          </w:tcPr>
          <w:p w14:paraId="2EECCAFD" w14:textId="77777777" w:rsidR="00C058D7" w:rsidRPr="00E15415" w:rsidRDefault="00C058D7" w:rsidP="00C058D7">
            <w:pPr>
              <w:spacing w:after="0" w:line="240" w:lineRule="auto"/>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Vejez</w:t>
            </w:r>
          </w:p>
        </w:tc>
        <w:tc>
          <w:tcPr>
            <w:tcW w:w="993" w:type="dxa"/>
            <w:tcBorders>
              <w:top w:val="nil"/>
              <w:left w:val="nil"/>
              <w:bottom w:val="single" w:sz="4" w:space="0" w:color="auto"/>
              <w:right w:val="nil"/>
            </w:tcBorders>
            <w:shd w:val="clear" w:color="auto" w:fill="auto"/>
            <w:noWrap/>
            <w:vAlign w:val="bottom"/>
            <w:hideMark/>
          </w:tcPr>
          <w:p w14:paraId="2840654D"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 41 036 </w:t>
            </w:r>
          </w:p>
        </w:tc>
        <w:tc>
          <w:tcPr>
            <w:tcW w:w="1133" w:type="dxa"/>
            <w:tcBorders>
              <w:top w:val="nil"/>
              <w:left w:val="nil"/>
              <w:bottom w:val="single" w:sz="4" w:space="0" w:color="auto"/>
              <w:right w:val="nil"/>
            </w:tcBorders>
            <w:shd w:val="clear" w:color="auto" w:fill="auto"/>
            <w:noWrap/>
            <w:vAlign w:val="bottom"/>
            <w:hideMark/>
          </w:tcPr>
          <w:p w14:paraId="6BE546C9"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 xml:space="preserve">27 286 </w:t>
            </w:r>
          </w:p>
        </w:tc>
        <w:tc>
          <w:tcPr>
            <w:tcW w:w="989" w:type="dxa"/>
            <w:tcBorders>
              <w:top w:val="nil"/>
              <w:left w:val="single" w:sz="4" w:space="0" w:color="auto"/>
              <w:bottom w:val="single" w:sz="4" w:space="0" w:color="auto"/>
              <w:right w:val="nil"/>
            </w:tcBorders>
            <w:shd w:val="clear" w:color="auto" w:fill="auto"/>
            <w:noWrap/>
            <w:vAlign w:val="bottom"/>
            <w:hideMark/>
          </w:tcPr>
          <w:p w14:paraId="18D1FEFC"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61,1%</w:t>
            </w:r>
          </w:p>
        </w:tc>
        <w:tc>
          <w:tcPr>
            <w:tcW w:w="1137" w:type="dxa"/>
            <w:tcBorders>
              <w:top w:val="nil"/>
              <w:left w:val="nil"/>
              <w:bottom w:val="single" w:sz="4" w:space="0" w:color="auto"/>
              <w:right w:val="nil"/>
            </w:tcBorders>
            <w:shd w:val="clear" w:color="auto" w:fill="auto"/>
            <w:noWrap/>
            <w:vAlign w:val="bottom"/>
            <w:hideMark/>
          </w:tcPr>
          <w:p w14:paraId="173204E7" w14:textId="77777777" w:rsidR="00C058D7" w:rsidRPr="00E15415" w:rsidRDefault="00C058D7" w:rsidP="00C058D7">
            <w:pPr>
              <w:spacing w:after="0" w:line="240" w:lineRule="auto"/>
              <w:jc w:val="right"/>
              <w:rPr>
                <w:rFonts w:asciiTheme="majorHAnsi" w:eastAsia="Times New Roman" w:hAnsiTheme="majorHAnsi" w:cstheme="minorHAnsi"/>
                <w:color w:val="000000"/>
                <w:szCs w:val="20"/>
                <w:lang w:val="es-CR" w:eastAsia="es-CR"/>
              </w:rPr>
            </w:pPr>
            <w:r w:rsidRPr="00E15415">
              <w:rPr>
                <w:rFonts w:asciiTheme="majorHAnsi" w:eastAsia="Times New Roman" w:hAnsiTheme="majorHAnsi" w:cstheme="minorHAnsi"/>
                <w:color w:val="000000"/>
                <w:szCs w:val="20"/>
                <w:lang w:val="es-CR" w:eastAsia="es-CR"/>
              </w:rPr>
              <w:t>56,0%</w:t>
            </w:r>
          </w:p>
        </w:tc>
      </w:tr>
    </w:tbl>
    <w:p w14:paraId="0680A99E" w14:textId="35D48DE2" w:rsidR="00D33B26" w:rsidRPr="00F7428D" w:rsidRDefault="00D33B26" w:rsidP="00E15415">
      <w:pPr>
        <w:spacing w:before="40" w:after="20" w:line="240" w:lineRule="auto"/>
        <w:ind w:left="1418" w:right="1325"/>
        <w:rPr>
          <w:rFonts w:asciiTheme="majorHAnsi" w:hAnsiTheme="majorHAnsi" w:cstheme="minorHAnsi"/>
          <w:sz w:val="18"/>
          <w:lang w:val="es-CR"/>
        </w:rPr>
      </w:pPr>
      <w:r w:rsidRPr="00F7428D">
        <w:rPr>
          <w:rFonts w:asciiTheme="majorHAnsi" w:hAnsiTheme="majorHAnsi" w:cstheme="minorHAnsi"/>
          <w:b/>
          <w:sz w:val="18"/>
        </w:rPr>
        <w:t>Fuente:</w:t>
      </w:r>
      <w:r w:rsidRPr="00F7428D">
        <w:rPr>
          <w:rFonts w:asciiTheme="majorHAnsi" w:hAnsiTheme="majorHAnsi" w:cstheme="minorHAnsi"/>
          <w:sz w:val="18"/>
        </w:rPr>
        <w:t xml:space="preserve"> Elaboración </w:t>
      </w:r>
      <w:r w:rsidRPr="00F7428D">
        <w:rPr>
          <w:rFonts w:asciiTheme="majorHAnsi" w:hAnsiTheme="majorHAnsi" w:cstheme="minorHAnsi"/>
          <w:sz w:val="18"/>
          <w:lang w:val="es-CR"/>
        </w:rPr>
        <w:t>propia con datos suministrados por las entidades</w:t>
      </w:r>
      <w:r w:rsidR="009B7058" w:rsidRPr="00F7428D">
        <w:rPr>
          <w:rFonts w:asciiTheme="majorHAnsi" w:hAnsiTheme="majorHAnsi" w:cstheme="minorHAnsi"/>
          <w:sz w:val="18"/>
          <w:lang w:val="es-CR"/>
        </w:rPr>
        <w:t>.</w:t>
      </w:r>
    </w:p>
    <w:p w14:paraId="3653EEEB" w14:textId="1D0D6994" w:rsidR="009B7058" w:rsidRPr="00F7428D" w:rsidRDefault="009B7058" w:rsidP="00F7428D">
      <w:pPr>
        <w:spacing w:before="40" w:after="20" w:line="240" w:lineRule="auto"/>
        <w:ind w:left="1418" w:right="1325"/>
        <w:rPr>
          <w:rFonts w:asciiTheme="majorHAnsi" w:hAnsiTheme="majorHAnsi" w:cstheme="minorHAnsi"/>
          <w:sz w:val="18"/>
        </w:rPr>
      </w:pPr>
      <w:r w:rsidRPr="00F7428D">
        <w:rPr>
          <w:rFonts w:asciiTheme="majorHAnsi" w:hAnsiTheme="majorHAnsi" w:cstheme="minorHAnsi"/>
          <w:sz w:val="18"/>
        </w:rPr>
        <w:t>Se calcula con datos a setiembre, porque es la fecha más reciente para que la que se tienen datos de todos los regímenes.</w:t>
      </w:r>
    </w:p>
    <w:p w14:paraId="27357532" w14:textId="77777777" w:rsidR="00AB72C3" w:rsidRPr="008F5D99" w:rsidRDefault="00AB72C3" w:rsidP="00AB1521">
      <w:pPr>
        <w:spacing w:line="240" w:lineRule="auto"/>
        <w:rPr>
          <w:rFonts w:asciiTheme="majorHAnsi" w:hAnsiTheme="majorHAnsi" w:cstheme="minorHAnsi"/>
          <w:noProof/>
          <w:lang w:val="es-CR"/>
        </w:rPr>
      </w:pPr>
    </w:p>
    <w:p w14:paraId="3306F435" w14:textId="77777777" w:rsidR="007D0BC7" w:rsidRPr="008F5D99" w:rsidRDefault="007D0BC7" w:rsidP="00AB1521">
      <w:pPr>
        <w:spacing w:line="240" w:lineRule="auto"/>
        <w:jc w:val="both"/>
        <w:rPr>
          <w:rFonts w:asciiTheme="majorHAnsi" w:hAnsiTheme="majorHAnsi" w:cstheme="minorHAnsi"/>
        </w:rPr>
      </w:pPr>
      <w:r w:rsidRPr="008F5D99">
        <w:rPr>
          <w:rFonts w:asciiTheme="majorHAnsi" w:hAnsiTheme="majorHAnsi" w:cstheme="minorHAnsi"/>
        </w:rPr>
        <w:t>En lo que respecta al resto de prestaciones de los regímenes de beneficio definido, las más elevadas en este momento se están gen</w:t>
      </w:r>
      <w:r w:rsidR="00A63282" w:rsidRPr="008F5D99">
        <w:rPr>
          <w:rFonts w:asciiTheme="majorHAnsi" w:hAnsiTheme="majorHAnsi" w:cstheme="minorHAnsi"/>
        </w:rPr>
        <w:t>erando en el Régimen del Poder Judicial con monto</w:t>
      </w:r>
      <w:r w:rsidRPr="008F5D99">
        <w:rPr>
          <w:rFonts w:asciiTheme="majorHAnsi" w:hAnsiTheme="majorHAnsi" w:cstheme="minorHAnsi"/>
        </w:rPr>
        <w:t xml:space="preserve"> promedio de 1,</w:t>
      </w:r>
      <w:r w:rsidR="0069118B" w:rsidRPr="008F5D99">
        <w:rPr>
          <w:rFonts w:asciiTheme="majorHAnsi" w:hAnsiTheme="majorHAnsi" w:cstheme="minorHAnsi"/>
        </w:rPr>
        <w:t>7</w:t>
      </w:r>
      <w:r w:rsidRPr="008F5D99">
        <w:rPr>
          <w:rFonts w:asciiTheme="majorHAnsi" w:hAnsiTheme="majorHAnsi" w:cstheme="minorHAnsi"/>
        </w:rPr>
        <w:t xml:space="preserve"> millones de colones y en el Régimen Transitorio del Magisterio 1,</w:t>
      </w:r>
      <w:r w:rsidR="002B1D77" w:rsidRPr="008F5D99">
        <w:rPr>
          <w:rFonts w:asciiTheme="majorHAnsi" w:hAnsiTheme="majorHAnsi" w:cstheme="minorHAnsi"/>
        </w:rPr>
        <w:t>2</w:t>
      </w:r>
      <w:r w:rsidRPr="008F5D99">
        <w:rPr>
          <w:rFonts w:asciiTheme="majorHAnsi" w:hAnsiTheme="majorHAnsi" w:cstheme="minorHAnsi"/>
        </w:rPr>
        <w:t xml:space="preserve"> millones al mes. </w:t>
      </w:r>
    </w:p>
    <w:p w14:paraId="40BF95E9" w14:textId="77777777" w:rsidR="007D0BC7" w:rsidRPr="008F5D99" w:rsidRDefault="007D0BC7" w:rsidP="00AB1521">
      <w:pPr>
        <w:spacing w:line="240" w:lineRule="auto"/>
        <w:jc w:val="both"/>
        <w:rPr>
          <w:rFonts w:asciiTheme="majorHAnsi" w:hAnsiTheme="majorHAnsi" w:cstheme="minorHAnsi"/>
        </w:rPr>
      </w:pPr>
      <w:r w:rsidRPr="008F5D99">
        <w:rPr>
          <w:rFonts w:asciiTheme="majorHAnsi" w:hAnsiTheme="majorHAnsi" w:cstheme="minorHAnsi"/>
        </w:rPr>
        <w:t xml:space="preserve">Para los fondos complementarios ocupacionales de beneficio definido, las prestaciones otorgadas más elevadas se están presentando en el Fondo de Empleados del Banco Nacional de Costa Rica con montos superiores a los </w:t>
      </w:r>
      <w:r w:rsidR="002B1D77" w:rsidRPr="008F5D99">
        <w:rPr>
          <w:rFonts w:asciiTheme="majorHAnsi" w:hAnsiTheme="majorHAnsi" w:cstheme="minorHAnsi"/>
        </w:rPr>
        <w:t>900</w:t>
      </w:r>
      <w:r w:rsidRPr="008F5D99">
        <w:rPr>
          <w:rFonts w:asciiTheme="majorHAnsi" w:hAnsiTheme="majorHAnsi" w:cstheme="minorHAnsi"/>
        </w:rPr>
        <w:t xml:space="preserve"> mil colones al mes, le sigue en importancia el fondo de </w:t>
      </w:r>
      <w:r w:rsidRPr="008F5D99">
        <w:rPr>
          <w:rFonts w:asciiTheme="majorHAnsi" w:hAnsiTheme="majorHAnsi" w:cstheme="minorHAnsi"/>
        </w:rPr>
        <w:lastRenderedPageBreak/>
        <w:t>Empleados del Instituto Costarricense de Electricidad, con montos cercanos a los 3</w:t>
      </w:r>
      <w:r w:rsidR="003B0161" w:rsidRPr="008F5D99">
        <w:rPr>
          <w:rFonts w:asciiTheme="majorHAnsi" w:hAnsiTheme="majorHAnsi" w:cstheme="minorHAnsi"/>
        </w:rPr>
        <w:t>45</w:t>
      </w:r>
      <w:r w:rsidRPr="008F5D99">
        <w:rPr>
          <w:rFonts w:asciiTheme="majorHAnsi" w:hAnsiTheme="majorHAnsi" w:cstheme="minorHAnsi"/>
        </w:rPr>
        <w:t xml:space="preserve"> mil colones y finalmente el Fondos de Empleados de la CCSS con prestaciones cercanas a los 1</w:t>
      </w:r>
      <w:r w:rsidR="003B0161" w:rsidRPr="008F5D99">
        <w:rPr>
          <w:rFonts w:asciiTheme="majorHAnsi" w:hAnsiTheme="majorHAnsi" w:cstheme="minorHAnsi"/>
        </w:rPr>
        <w:t>63</w:t>
      </w:r>
      <w:r w:rsidRPr="008F5D99">
        <w:rPr>
          <w:rFonts w:asciiTheme="majorHAnsi" w:hAnsiTheme="majorHAnsi" w:cstheme="minorHAnsi"/>
        </w:rPr>
        <w:t xml:space="preserve"> mil colones al mes.</w:t>
      </w:r>
    </w:p>
    <w:p w14:paraId="7B1DB9E8" w14:textId="77777777" w:rsidR="007D0BC7" w:rsidRPr="008F5D99" w:rsidRDefault="007D0BC7" w:rsidP="00AB1521">
      <w:pPr>
        <w:spacing w:line="240" w:lineRule="auto"/>
        <w:jc w:val="both"/>
        <w:rPr>
          <w:rFonts w:asciiTheme="majorHAnsi" w:hAnsiTheme="majorHAnsi" w:cstheme="minorHAnsi"/>
        </w:rPr>
      </w:pPr>
      <w:r w:rsidRPr="008F5D99">
        <w:rPr>
          <w:rFonts w:asciiTheme="majorHAnsi" w:hAnsiTheme="majorHAnsi" w:cstheme="minorHAnsi"/>
        </w:rPr>
        <w:t>Existen ot</w:t>
      </w:r>
      <w:r w:rsidR="00AD4F63" w:rsidRPr="008F5D99">
        <w:rPr>
          <w:rFonts w:asciiTheme="majorHAnsi" w:hAnsiTheme="majorHAnsi" w:cstheme="minorHAnsi"/>
        </w:rPr>
        <w:t>ros fondos ocupacionales en el sistema de p</w:t>
      </w:r>
      <w:r w:rsidRPr="008F5D99">
        <w:rPr>
          <w:rFonts w:asciiTheme="majorHAnsi" w:hAnsiTheme="majorHAnsi" w:cstheme="minorHAnsi"/>
        </w:rPr>
        <w:t>ensiones, por ejemplo, el fondo de empleados del Instituto Costarricense de Turism</w:t>
      </w:r>
      <w:r w:rsidR="00353E05">
        <w:rPr>
          <w:rFonts w:asciiTheme="majorHAnsi" w:hAnsiTheme="majorHAnsi" w:cstheme="minorHAnsi"/>
        </w:rPr>
        <w:t>o y</w:t>
      </w:r>
      <w:r w:rsidRPr="008F5D99">
        <w:rPr>
          <w:rFonts w:asciiTheme="majorHAnsi" w:hAnsiTheme="majorHAnsi" w:cstheme="minorHAnsi"/>
        </w:rPr>
        <w:t xml:space="preserve"> el fondo de empleados del Banco de Costa Rica</w:t>
      </w:r>
      <w:r w:rsidR="00353E05">
        <w:rPr>
          <w:rFonts w:asciiTheme="majorHAnsi" w:hAnsiTheme="majorHAnsi" w:cstheme="minorHAnsi"/>
        </w:rPr>
        <w:t xml:space="preserve">, </w:t>
      </w:r>
      <w:r w:rsidRPr="008F5D99">
        <w:rPr>
          <w:rFonts w:asciiTheme="majorHAnsi" w:hAnsiTheme="majorHAnsi" w:cstheme="minorHAnsi"/>
        </w:rPr>
        <w:t xml:space="preserve">sin embargo, estos no son de beneficio definido. Al pensionarse de estos regímenes los afiliados disponen de la posibilidad de utilizar sus recursos para adquirir un plan de beneficios o retirar los recursos en un solo tracto. Por lo general optan por el retiro total. Es importante además aclarar que estos regímenes también disponen de una cuenta en el </w:t>
      </w:r>
      <w:r w:rsidR="00A63282" w:rsidRPr="008F5D99">
        <w:rPr>
          <w:rFonts w:asciiTheme="majorHAnsi" w:hAnsiTheme="majorHAnsi" w:cstheme="minorHAnsi"/>
        </w:rPr>
        <w:t>ROP</w:t>
      </w:r>
      <w:r w:rsidRPr="008F5D99">
        <w:rPr>
          <w:rFonts w:asciiTheme="majorHAnsi" w:hAnsiTheme="majorHAnsi" w:cstheme="minorHAnsi"/>
        </w:rPr>
        <w:t>.</w:t>
      </w:r>
    </w:p>
    <w:p w14:paraId="7341B336" w14:textId="77777777" w:rsidR="007D0BC7" w:rsidRPr="00F7428D" w:rsidRDefault="007D0BC7" w:rsidP="00AB1521">
      <w:pPr>
        <w:spacing w:line="240" w:lineRule="auto"/>
        <w:jc w:val="both"/>
        <w:rPr>
          <w:rFonts w:asciiTheme="majorHAnsi" w:hAnsiTheme="majorHAnsi" w:cstheme="minorHAnsi"/>
        </w:rPr>
      </w:pPr>
      <w:r w:rsidRPr="00F7428D">
        <w:rPr>
          <w:rFonts w:asciiTheme="majorHAnsi" w:hAnsiTheme="majorHAnsi" w:cstheme="minorHAnsi"/>
        </w:rPr>
        <w:t xml:space="preserve">Luego de los regímenes de primer pilar, el segundo régimen en importancia, tomando como base la cobertura, es decir, afiliados que tienen acceso </w:t>
      </w:r>
      <w:r w:rsidR="00A63282" w:rsidRPr="00F7428D">
        <w:rPr>
          <w:rFonts w:asciiTheme="majorHAnsi" w:hAnsiTheme="majorHAnsi" w:cstheme="minorHAnsi"/>
        </w:rPr>
        <w:t>a su protección</w:t>
      </w:r>
      <w:r w:rsidRPr="00F7428D">
        <w:rPr>
          <w:rFonts w:asciiTheme="majorHAnsi" w:hAnsiTheme="majorHAnsi" w:cstheme="minorHAnsi"/>
        </w:rPr>
        <w:t xml:space="preserve"> es el ROP. </w:t>
      </w:r>
      <w:r w:rsidR="00D20633" w:rsidRPr="00F7428D">
        <w:rPr>
          <w:rFonts w:asciiTheme="majorHAnsi" w:hAnsiTheme="majorHAnsi" w:cstheme="minorHAnsi"/>
        </w:rPr>
        <w:t>Antes del año 2010 los trabajadores tenían derecho a retirar en un único monto los recursos ahorrados en el ROP</w:t>
      </w:r>
      <w:r w:rsidR="00E1635D" w:rsidRPr="00F7428D">
        <w:rPr>
          <w:rFonts w:asciiTheme="majorHAnsi" w:hAnsiTheme="majorHAnsi" w:cstheme="minorHAnsi"/>
        </w:rPr>
        <w:t>,</w:t>
      </w:r>
      <w:r w:rsidR="00D20633" w:rsidRPr="00F7428D">
        <w:rPr>
          <w:rFonts w:asciiTheme="majorHAnsi" w:hAnsiTheme="majorHAnsi" w:cstheme="minorHAnsi"/>
        </w:rPr>
        <w:t xml:space="preserve"> según lo establecido en el Transitorio XIII de la Ley de Protección de Trabajador. A partir del 2010</w:t>
      </w:r>
      <w:r w:rsidR="00B81265" w:rsidRPr="00F7428D">
        <w:rPr>
          <w:rFonts w:asciiTheme="majorHAnsi" w:hAnsiTheme="majorHAnsi" w:cstheme="minorHAnsi"/>
        </w:rPr>
        <w:t>,</w:t>
      </w:r>
      <w:r w:rsidR="00D20633" w:rsidRPr="00F7428D">
        <w:rPr>
          <w:rFonts w:asciiTheme="majorHAnsi" w:hAnsiTheme="majorHAnsi" w:cstheme="minorHAnsi"/>
        </w:rPr>
        <w:t xml:space="preserve"> conforme lo establecido en el Reglamento de Beneficios </w:t>
      </w:r>
      <w:r w:rsidR="00B81265" w:rsidRPr="00F7428D">
        <w:rPr>
          <w:rFonts w:asciiTheme="majorHAnsi" w:hAnsiTheme="majorHAnsi" w:cstheme="minorHAnsi"/>
        </w:rPr>
        <w:t>se</w:t>
      </w:r>
      <w:r w:rsidR="00D20633" w:rsidRPr="00F7428D">
        <w:rPr>
          <w:rFonts w:asciiTheme="majorHAnsi" w:hAnsiTheme="majorHAnsi" w:cstheme="minorHAnsi"/>
        </w:rPr>
        <w:t xml:space="preserve"> define como excepción que si el </w:t>
      </w:r>
      <w:r w:rsidR="00873BE0" w:rsidRPr="00F7428D">
        <w:rPr>
          <w:rFonts w:asciiTheme="majorHAnsi" w:hAnsiTheme="majorHAnsi" w:cstheme="minorHAnsi"/>
        </w:rPr>
        <w:t xml:space="preserve">retiro programado es inferior al 10% de la pensión del régimen básico el afiliado puede optar </w:t>
      </w:r>
      <w:r w:rsidR="00D44318" w:rsidRPr="00F7428D">
        <w:rPr>
          <w:rFonts w:asciiTheme="majorHAnsi" w:hAnsiTheme="majorHAnsi" w:cstheme="minorHAnsi"/>
        </w:rPr>
        <w:t>por el retiro total.</w:t>
      </w:r>
      <w:r w:rsidR="00D20633" w:rsidRPr="00F7428D">
        <w:rPr>
          <w:rFonts w:asciiTheme="majorHAnsi" w:hAnsiTheme="majorHAnsi" w:cstheme="minorHAnsi"/>
        </w:rPr>
        <w:t xml:space="preserve"> Dadas las condiciones antes descritas, el 2018 es cuando </w:t>
      </w:r>
      <w:r w:rsidR="008E7FE9" w:rsidRPr="00F7428D">
        <w:rPr>
          <w:rFonts w:asciiTheme="majorHAnsi" w:hAnsiTheme="majorHAnsi" w:cstheme="minorHAnsi"/>
        </w:rPr>
        <w:t xml:space="preserve">se empiezan a determinar </w:t>
      </w:r>
      <w:r w:rsidR="00D20633" w:rsidRPr="00F7428D">
        <w:rPr>
          <w:rFonts w:asciiTheme="majorHAnsi" w:hAnsiTheme="majorHAnsi" w:cstheme="minorHAnsi"/>
        </w:rPr>
        <w:t xml:space="preserve">trabajadores </w:t>
      </w:r>
      <w:r w:rsidR="008E7FE9" w:rsidRPr="00F7428D">
        <w:rPr>
          <w:rFonts w:asciiTheme="majorHAnsi" w:hAnsiTheme="majorHAnsi" w:cstheme="minorHAnsi"/>
        </w:rPr>
        <w:t xml:space="preserve">que </w:t>
      </w:r>
      <w:r w:rsidR="00CB24EF" w:rsidRPr="00F7428D">
        <w:rPr>
          <w:rFonts w:asciiTheme="majorHAnsi" w:hAnsiTheme="majorHAnsi" w:cstheme="minorHAnsi"/>
        </w:rPr>
        <w:t xml:space="preserve">obtendrían </w:t>
      </w:r>
      <w:r w:rsidR="00D84FD9" w:rsidRPr="00F7428D">
        <w:rPr>
          <w:rFonts w:asciiTheme="majorHAnsi" w:hAnsiTheme="majorHAnsi" w:cstheme="minorHAnsi"/>
        </w:rPr>
        <w:t>prestaciones periódicas que superan el umbral antes indicado</w:t>
      </w:r>
      <w:r w:rsidR="000A2D47" w:rsidRPr="00F7428D">
        <w:rPr>
          <w:rFonts w:asciiTheme="majorHAnsi" w:hAnsiTheme="majorHAnsi" w:cstheme="minorHAnsi"/>
        </w:rPr>
        <w:t xml:space="preserve"> de ahí</w:t>
      </w:r>
      <w:r w:rsidR="00D20633" w:rsidRPr="00F7428D">
        <w:rPr>
          <w:rFonts w:asciiTheme="majorHAnsi" w:hAnsiTheme="majorHAnsi" w:cstheme="minorHAnsi"/>
        </w:rPr>
        <w:t xml:space="preserve"> que </w:t>
      </w:r>
      <w:r w:rsidR="000A2D47" w:rsidRPr="00F7428D">
        <w:rPr>
          <w:rFonts w:asciiTheme="majorHAnsi" w:hAnsiTheme="majorHAnsi" w:cstheme="minorHAnsi"/>
        </w:rPr>
        <w:t xml:space="preserve">se observa una importante cantidad de nuevos </w:t>
      </w:r>
      <w:r w:rsidR="00B76FEC" w:rsidRPr="00F7428D">
        <w:rPr>
          <w:rFonts w:asciiTheme="majorHAnsi" w:hAnsiTheme="majorHAnsi" w:cstheme="minorHAnsi"/>
        </w:rPr>
        <w:t>pensionados</w:t>
      </w:r>
      <w:r w:rsidR="00D20633" w:rsidRPr="00F7428D">
        <w:rPr>
          <w:rFonts w:asciiTheme="majorHAnsi" w:hAnsiTheme="majorHAnsi" w:cstheme="minorHAnsi"/>
        </w:rPr>
        <w:t xml:space="preserve"> en el </w:t>
      </w:r>
      <w:r w:rsidR="00B76FEC" w:rsidRPr="00F7428D">
        <w:rPr>
          <w:rFonts w:asciiTheme="majorHAnsi" w:hAnsiTheme="majorHAnsi" w:cstheme="minorHAnsi"/>
        </w:rPr>
        <w:t>ROP.</w:t>
      </w:r>
    </w:p>
    <w:p w14:paraId="2FAD39D1" w14:textId="77777777" w:rsidR="007D0BC7" w:rsidRPr="00F7428D" w:rsidRDefault="00AD4F63" w:rsidP="00AB1521">
      <w:pPr>
        <w:spacing w:line="240" w:lineRule="auto"/>
        <w:jc w:val="both"/>
        <w:rPr>
          <w:rFonts w:asciiTheme="majorHAnsi" w:hAnsiTheme="majorHAnsi" w:cstheme="minorHAnsi"/>
        </w:rPr>
      </w:pPr>
      <w:r w:rsidRPr="00F7428D">
        <w:rPr>
          <w:rFonts w:asciiTheme="majorHAnsi" w:hAnsiTheme="majorHAnsi" w:cstheme="minorHAnsi"/>
        </w:rPr>
        <w:t>S</w:t>
      </w:r>
      <w:r w:rsidR="007D0BC7" w:rsidRPr="00F7428D">
        <w:rPr>
          <w:rFonts w:asciiTheme="majorHAnsi" w:hAnsiTheme="majorHAnsi" w:cstheme="minorHAnsi"/>
        </w:rPr>
        <w:t xml:space="preserve">in embargo, </w:t>
      </w:r>
      <w:r w:rsidRPr="00F7428D">
        <w:rPr>
          <w:rFonts w:asciiTheme="majorHAnsi" w:hAnsiTheme="majorHAnsi" w:cstheme="minorHAnsi"/>
        </w:rPr>
        <w:t>principalmente por el plazo de acumulación los retiros totales llegarán a ser mínimos</w:t>
      </w:r>
      <w:r w:rsidR="007D0BC7" w:rsidRPr="00F7428D">
        <w:rPr>
          <w:rFonts w:asciiTheme="majorHAnsi" w:hAnsiTheme="majorHAnsi" w:cstheme="minorHAnsi"/>
        </w:rPr>
        <w:t xml:space="preserve">, porque los recursos acumulados empezarán a sobrepasar fácilmente pensiones del 10% de la pensión del régimen básico. A nivel de diseño el aporte en el ROP, con 40 años de cotización y suponiendo rendimientos cercanos al 3% real, sin períodos prolongados de desempleo podrían fácilmente financiar pensiones que superen el 20% de la pensión del Régimen Básico. </w:t>
      </w:r>
    </w:p>
    <w:p w14:paraId="15A30C14" w14:textId="77777777" w:rsidR="007D0BC7" w:rsidRPr="008F5D99" w:rsidRDefault="007D0BC7" w:rsidP="000369BA">
      <w:pPr>
        <w:spacing w:line="240" w:lineRule="auto"/>
        <w:rPr>
          <w:rFonts w:asciiTheme="majorHAnsi" w:hAnsiTheme="majorHAnsi" w:cstheme="minorHAnsi"/>
          <w:b/>
        </w:rPr>
      </w:pPr>
      <w:bookmarkStart w:id="16" w:name="_Toc530733764"/>
      <w:r w:rsidRPr="008F5D99">
        <w:rPr>
          <w:rFonts w:asciiTheme="majorHAnsi" w:hAnsiTheme="majorHAnsi" w:cstheme="minorHAnsi"/>
          <w:b/>
        </w:rPr>
        <w:t>Retiro Total</w:t>
      </w:r>
      <w:bookmarkEnd w:id="16"/>
    </w:p>
    <w:p w14:paraId="385DF999" w14:textId="77777777" w:rsidR="00C215C6" w:rsidRPr="0033676D" w:rsidRDefault="00AD4F63" w:rsidP="000369BA">
      <w:pPr>
        <w:spacing w:line="240" w:lineRule="auto"/>
        <w:jc w:val="both"/>
        <w:rPr>
          <w:rFonts w:asciiTheme="majorHAnsi" w:hAnsiTheme="majorHAnsi" w:cstheme="minorHAnsi"/>
        </w:rPr>
      </w:pPr>
      <w:r w:rsidRPr="008F5D99">
        <w:rPr>
          <w:rFonts w:asciiTheme="majorHAnsi" w:hAnsiTheme="majorHAnsi" w:cstheme="minorHAnsi"/>
        </w:rPr>
        <w:t xml:space="preserve">Durante el </w:t>
      </w:r>
      <w:r w:rsidR="007D0BC7" w:rsidRPr="008F5D99">
        <w:rPr>
          <w:rFonts w:asciiTheme="majorHAnsi" w:hAnsiTheme="majorHAnsi" w:cstheme="minorHAnsi"/>
        </w:rPr>
        <w:t>2010</w:t>
      </w:r>
      <w:r w:rsidRPr="008F5D99">
        <w:rPr>
          <w:rFonts w:asciiTheme="majorHAnsi" w:hAnsiTheme="majorHAnsi" w:cstheme="minorHAnsi"/>
        </w:rPr>
        <w:t xml:space="preserve"> cerca de</w:t>
      </w:r>
      <w:r w:rsidR="007D0BC7" w:rsidRPr="008F5D99">
        <w:rPr>
          <w:rFonts w:asciiTheme="majorHAnsi" w:hAnsiTheme="majorHAnsi" w:cstheme="minorHAnsi"/>
        </w:rPr>
        <w:t xml:space="preserve"> 8 mil personas </w:t>
      </w:r>
      <w:r w:rsidRPr="008F5D99">
        <w:rPr>
          <w:rFonts w:asciiTheme="majorHAnsi" w:hAnsiTheme="majorHAnsi" w:cstheme="minorHAnsi"/>
        </w:rPr>
        <w:t>optaron por</w:t>
      </w:r>
      <w:r w:rsidR="007D0BC7" w:rsidRPr="008F5D99">
        <w:rPr>
          <w:rFonts w:asciiTheme="majorHAnsi" w:hAnsiTheme="majorHAnsi" w:cstheme="minorHAnsi"/>
        </w:rPr>
        <w:t xml:space="preserve"> un retiro total, por inercia del envejecimiento de la población, se llegó en el año 201</w:t>
      </w:r>
      <w:r w:rsidR="002B1D77" w:rsidRPr="008F5D99">
        <w:rPr>
          <w:rFonts w:asciiTheme="majorHAnsi" w:hAnsiTheme="majorHAnsi" w:cstheme="minorHAnsi"/>
        </w:rPr>
        <w:t>8</w:t>
      </w:r>
      <w:r w:rsidR="007D0BC7" w:rsidRPr="008F5D99">
        <w:rPr>
          <w:rFonts w:asciiTheme="majorHAnsi" w:hAnsiTheme="majorHAnsi" w:cstheme="minorHAnsi"/>
        </w:rPr>
        <w:t xml:space="preserve"> </w:t>
      </w:r>
      <w:r w:rsidR="008B005D" w:rsidRPr="008F5D99">
        <w:rPr>
          <w:rFonts w:asciiTheme="majorHAnsi" w:hAnsiTheme="majorHAnsi" w:cstheme="minorHAnsi"/>
        </w:rPr>
        <w:t xml:space="preserve">a </w:t>
      </w:r>
      <w:r w:rsidR="007D0BC7" w:rsidRPr="008F5D99">
        <w:rPr>
          <w:rFonts w:asciiTheme="majorHAnsi" w:hAnsiTheme="majorHAnsi" w:cstheme="minorHAnsi"/>
        </w:rPr>
        <w:t xml:space="preserve">un total </w:t>
      </w:r>
      <w:r w:rsidR="00B46B1B" w:rsidRPr="008F5D99">
        <w:rPr>
          <w:rFonts w:asciiTheme="majorHAnsi" w:hAnsiTheme="majorHAnsi" w:cstheme="minorHAnsi"/>
        </w:rPr>
        <w:t>de retiros de este tipo de 13 </w:t>
      </w:r>
      <w:r w:rsidR="002B1D77" w:rsidRPr="008F5D99">
        <w:rPr>
          <w:rFonts w:asciiTheme="majorHAnsi" w:hAnsiTheme="majorHAnsi" w:cstheme="minorHAnsi"/>
        </w:rPr>
        <w:t>831</w:t>
      </w:r>
      <w:r w:rsidR="007D0BC7" w:rsidRPr="008F5D99">
        <w:rPr>
          <w:rFonts w:asciiTheme="majorHAnsi" w:hAnsiTheme="majorHAnsi" w:cstheme="minorHAnsi"/>
        </w:rPr>
        <w:t xml:space="preserve"> personas. Los montos que en promedio retiran van en aumento como producto de la capitalización</w:t>
      </w:r>
      <w:r w:rsidRPr="008F5D99">
        <w:rPr>
          <w:rFonts w:asciiTheme="majorHAnsi" w:hAnsiTheme="majorHAnsi" w:cstheme="minorHAnsi"/>
        </w:rPr>
        <w:t xml:space="preserve"> e incrementos en las aportaciones por mayores salarios</w:t>
      </w:r>
      <w:r w:rsidR="008B005D" w:rsidRPr="008F5D99">
        <w:rPr>
          <w:rFonts w:asciiTheme="majorHAnsi" w:hAnsiTheme="majorHAnsi" w:cstheme="minorHAnsi"/>
        </w:rPr>
        <w:t xml:space="preserve">. A </w:t>
      </w:r>
      <w:r w:rsidR="002B1D77" w:rsidRPr="008F5D99">
        <w:rPr>
          <w:rFonts w:asciiTheme="majorHAnsi" w:hAnsiTheme="majorHAnsi" w:cstheme="minorHAnsi"/>
        </w:rPr>
        <w:t>diciembre</w:t>
      </w:r>
      <w:r w:rsidR="007D0BC7" w:rsidRPr="008F5D99">
        <w:rPr>
          <w:rFonts w:asciiTheme="majorHAnsi" w:hAnsiTheme="majorHAnsi" w:cstheme="minorHAnsi"/>
        </w:rPr>
        <w:t xml:space="preserve"> de 2018 </w:t>
      </w:r>
      <w:r w:rsidR="000B0223" w:rsidRPr="008F5D99">
        <w:rPr>
          <w:rFonts w:asciiTheme="majorHAnsi" w:hAnsiTheme="majorHAnsi" w:cstheme="minorHAnsi"/>
        </w:rPr>
        <w:t>el monto</w:t>
      </w:r>
      <w:r w:rsidR="007D0BC7" w:rsidRPr="008F5D99">
        <w:rPr>
          <w:rFonts w:asciiTheme="majorHAnsi" w:hAnsiTheme="majorHAnsi" w:cstheme="minorHAnsi"/>
        </w:rPr>
        <w:t xml:space="preserve"> promedio </w:t>
      </w:r>
      <w:r w:rsidR="000B0223" w:rsidRPr="008F5D99">
        <w:rPr>
          <w:rFonts w:asciiTheme="majorHAnsi" w:hAnsiTheme="majorHAnsi" w:cstheme="minorHAnsi"/>
        </w:rPr>
        <w:t>por re</w:t>
      </w:r>
      <w:r w:rsidR="0087056A" w:rsidRPr="008F5D99">
        <w:rPr>
          <w:rFonts w:asciiTheme="majorHAnsi" w:hAnsiTheme="majorHAnsi" w:cstheme="minorHAnsi"/>
        </w:rPr>
        <w:t>tiro total</w:t>
      </w:r>
      <w:r w:rsidR="007D0BC7" w:rsidRPr="008F5D99">
        <w:rPr>
          <w:rFonts w:asciiTheme="majorHAnsi" w:hAnsiTheme="majorHAnsi" w:cstheme="minorHAnsi"/>
        </w:rPr>
        <w:t xml:space="preserve"> del ROP</w:t>
      </w:r>
      <w:r w:rsidR="00B46B1B" w:rsidRPr="008F5D99">
        <w:rPr>
          <w:rFonts w:asciiTheme="majorHAnsi" w:hAnsiTheme="majorHAnsi" w:cstheme="minorHAnsi"/>
          <w:vertAlign w:val="superscript"/>
        </w:rPr>
        <w:footnoteReference w:id="5"/>
      </w:r>
      <w:r w:rsidR="00672719" w:rsidRPr="008F5D99">
        <w:rPr>
          <w:rFonts w:asciiTheme="majorHAnsi" w:hAnsiTheme="majorHAnsi" w:cstheme="minorHAnsi"/>
        </w:rPr>
        <w:t xml:space="preserve"> </w:t>
      </w:r>
      <w:r w:rsidR="0087056A" w:rsidRPr="008F5D99">
        <w:rPr>
          <w:rFonts w:asciiTheme="majorHAnsi" w:hAnsiTheme="majorHAnsi" w:cstheme="minorHAnsi"/>
        </w:rPr>
        <w:t>supera</w:t>
      </w:r>
      <w:r w:rsidR="00B46B1B" w:rsidRPr="008F5D99">
        <w:rPr>
          <w:rFonts w:asciiTheme="majorHAnsi" w:hAnsiTheme="majorHAnsi" w:cstheme="minorHAnsi"/>
        </w:rPr>
        <w:t xml:space="preserve"> los</w:t>
      </w:r>
      <w:r w:rsidR="007D0BC7" w:rsidRPr="008F5D99">
        <w:rPr>
          <w:rFonts w:asciiTheme="majorHAnsi" w:hAnsiTheme="majorHAnsi" w:cstheme="minorHAnsi"/>
        </w:rPr>
        <w:t xml:space="preserve"> 6,</w:t>
      </w:r>
      <w:r w:rsidR="00353E05">
        <w:rPr>
          <w:rFonts w:asciiTheme="majorHAnsi" w:hAnsiTheme="majorHAnsi" w:cstheme="minorHAnsi"/>
        </w:rPr>
        <w:t>7</w:t>
      </w:r>
      <w:r w:rsidR="007D0BC7" w:rsidRPr="008F5D99">
        <w:rPr>
          <w:rFonts w:asciiTheme="majorHAnsi" w:hAnsiTheme="majorHAnsi" w:cstheme="minorHAnsi"/>
        </w:rPr>
        <w:t xml:space="preserve"> millones de</w:t>
      </w:r>
      <w:r w:rsidR="00D20633" w:rsidRPr="008F5D99">
        <w:rPr>
          <w:rFonts w:asciiTheme="majorHAnsi" w:hAnsiTheme="majorHAnsi" w:cstheme="minorHAnsi"/>
        </w:rPr>
        <w:t xml:space="preserve"> colones</w:t>
      </w:r>
      <w:r w:rsidR="000C3F95" w:rsidRPr="008F5D99">
        <w:rPr>
          <w:rFonts w:asciiTheme="majorHAnsi" w:hAnsiTheme="majorHAnsi" w:cstheme="minorHAnsi"/>
        </w:rPr>
        <w:t xml:space="preserve"> y se considera que dichos</w:t>
      </w:r>
      <w:r w:rsidR="00460E5B" w:rsidRPr="008F5D99">
        <w:rPr>
          <w:rFonts w:asciiTheme="majorHAnsi" w:hAnsiTheme="majorHAnsi" w:cstheme="minorHAnsi"/>
        </w:rPr>
        <w:t xml:space="preserve"> montos seguirán en aumento</w:t>
      </w:r>
      <w:r w:rsidR="00D20633" w:rsidRPr="008F5D99">
        <w:rPr>
          <w:rFonts w:asciiTheme="majorHAnsi" w:hAnsiTheme="majorHAnsi" w:cstheme="minorHAnsi"/>
        </w:rPr>
        <w:t>.</w:t>
      </w:r>
    </w:p>
    <w:p w14:paraId="62A167EF" w14:textId="27E53666" w:rsidR="001345C6" w:rsidRPr="000369BA" w:rsidRDefault="001345C6" w:rsidP="001345C6">
      <w:pPr>
        <w:spacing w:after="0" w:line="240" w:lineRule="auto"/>
        <w:jc w:val="center"/>
        <w:rPr>
          <w:rFonts w:asciiTheme="majorHAnsi" w:hAnsiTheme="majorHAnsi" w:cstheme="minorHAnsi"/>
          <w:sz w:val="18"/>
          <w:szCs w:val="18"/>
        </w:rPr>
      </w:pPr>
      <w:r w:rsidRPr="000369BA">
        <w:rPr>
          <w:rFonts w:asciiTheme="majorHAnsi" w:hAnsiTheme="majorHAnsi" w:cstheme="minorHAnsi"/>
          <w:sz w:val="18"/>
          <w:szCs w:val="18"/>
        </w:rPr>
        <w:t xml:space="preserve">Cuadro </w:t>
      </w:r>
      <w:r w:rsidRPr="000369BA">
        <w:rPr>
          <w:rFonts w:asciiTheme="majorHAnsi" w:hAnsiTheme="majorHAnsi" w:cstheme="minorHAnsi"/>
          <w:sz w:val="18"/>
          <w:szCs w:val="18"/>
        </w:rPr>
        <w:fldChar w:fldCharType="begin"/>
      </w:r>
      <w:r w:rsidRPr="000369BA">
        <w:rPr>
          <w:rFonts w:asciiTheme="majorHAnsi" w:hAnsiTheme="majorHAnsi" w:cstheme="minorHAnsi"/>
          <w:sz w:val="18"/>
          <w:szCs w:val="18"/>
        </w:rPr>
        <w:instrText xml:space="preserve"> SEQ Cuadro \* ARABIC </w:instrText>
      </w:r>
      <w:r w:rsidRPr="000369BA">
        <w:rPr>
          <w:rFonts w:asciiTheme="majorHAnsi" w:hAnsiTheme="majorHAnsi" w:cstheme="minorHAnsi"/>
          <w:sz w:val="18"/>
          <w:szCs w:val="18"/>
        </w:rPr>
        <w:fldChar w:fldCharType="separate"/>
      </w:r>
      <w:r w:rsidR="00F7428D" w:rsidRPr="000369BA">
        <w:rPr>
          <w:rFonts w:asciiTheme="majorHAnsi" w:hAnsiTheme="majorHAnsi" w:cstheme="minorHAnsi"/>
          <w:noProof/>
          <w:sz w:val="18"/>
          <w:szCs w:val="18"/>
        </w:rPr>
        <w:t>14</w:t>
      </w:r>
      <w:r w:rsidRPr="000369BA">
        <w:rPr>
          <w:rFonts w:asciiTheme="majorHAnsi" w:hAnsiTheme="majorHAnsi" w:cstheme="minorHAnsi"/>
          <w:sz w:val="18"/>
          <w:szCs w:val="18"/>
        </w:rPr>
        <w:fldChar w:fldCharType="end"/>
      </w:r>
    </w:p>
    <w:p w14:paraId="478C321C" w14:textId="77777777" w:rsidR="00412A77" w:rsidRPr="000369BA" w:rsidRDefault="00412A77" w:rsidP="00412A77">
      <w:pPr>
        <w:spacing w:after="0" w:line="240" w:lineRule="auto"/>
        <w:jc w:val="center"/>
        <w:rPr>
          <w:rFonts w:asciiTheme="majorHAnsi" w:hAnsiTheme="majorHAnsi" w:cstheme="minorHAnsi"/>
          <w:sz w:val="18"/>
          <w:szCs w:val="18"/>
        </w:rPr>
      </w:pPr>
      <w:r w:rsidRPr="000369BA">
        <w:rPr>
          <w:rFonts w:asciiTheme="majorHAnsi" w:hAnsiTheme="majorHAnsi" w:cstheme="minorHAnsi"/>
          <w:sz w:val="18"/>
          <w:szCs w:val="18"/>
        </w:rPr>
        <w:t>ROP: Pensiones por Retiro Total</w:t>
      </w:r>
    </w:p>
    <w:p w14:paraId="3B942262" w14:textId="77777777" w:rsidR="003B0161" w:rsidRPr="000369BA" w:rsidRDefault="003B0161" w:rsidP="00412A77">
      <w:pPr>
        <w:spacing w:after="0" w:line="240" w:lineRule="auto"/>
        <w:jc w:val="center"/>
        <w:rPr>
          <w:rFonts w:asciiTheme="majorHAnsi" w:hAnsiTheme="majorHAnsi" w:cstheme="minorHAnsi"/>
          <w:sz w:val="18"/>
          <w:szCs w:val="18"/>
        </w:rPr>
      </w:pPr>
      <w:r w:rsidRPr="000369BA">
        <w:rPr>
          <w:rFonts w:asciiTheme="majorHAnsi" w:hAnsiTheme="majorHAnsi" w:cstheme="minorHAnsi"/>
          <w:sz w:val="18"/>
          <w:szCs w:val="18"/>
        </w:rPr>
        <w:t>A diciembre de cada año</w:t>
      </w:r>
    </w:p>
    <w:tbl>
      <w:tblPr>
        <w:tblW w:w="4319" w:type="dxa"/>
        <w:jc w:val="center"/>
        <w:tblCellMar>
          <w:left w:w="70" w:type="dxa"/>
          <w:right w:w="70" w:type="dxa"/>
        </w:tblCellMar>
        <w:tblLook w:val="04A0" w:firstRow="1" w:lastRow="0" w:firstColumn="1" w:lastColumn="0" w:noHBand="0" w:noVBand="1"/>
      </w:tblPr>
      <w:tblGrid>
        <w:gridCol w:w="851"/>
        <w:gridCol w:w="1843"/>
        <w:gridCol w:w="1625"/>
      </w:tblGrid>
      <w:tr w:rsidR="00D33B26" w:rsidRPr="008F5D99" w14:paraId="4B45FFF9" w14:textId="77777777" w:rsidTr="00CA65EA">
        <w:trPr>
          <w:trHeight w:val="65"/>
          <w:jc w:val="center"/>
        </w:trPr>
        <w:tc>
          <w:tcPr>
            <w:tcW w:w="851" w:type="dxa"/>
            <w:tcBorders>
              <w:top w:val="single" w:sz="4" w:space="0" w:color="auto"/>
              <w:left w:val="nil"/>
              <w:bottom w:val="double" w:sz="6" w:space="0" w:color="auto"/>
              <w:right w:val="nil"/>
            </w:tcBorders>
            <w:shd w:val="clear" w:color="auto" w:fill="auto"/>
            <w:noWrap/>
            <w:vAlign w:val="bottom"/>
            <w:hideMark/>
          </w:tcPr>
          <w:p w14:paraId="091D9A7A" w14:textId="77777777" w:rsidR="00D33B26" w:rsidRPr="008F5D99" w:rsidRDefault="00D33B26" w:rsidP="00D33B26">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Año</w:t>
            </w:r>
          </w:p>
        </w:tc>
        <w:tc>
          <w:tcPr>
            <w:tcW w:w="1843" w:type="dxa"/>
            <w:tcBorders>
              <w:top w:val="single" w:sz="4" w:space="0" w:color="auto"/>
              <w:left w:val="nil"/>
              <w:bottom w:val="double" w:sz="6" w:space="0" w:color="auto"/>
              <w:right w:val="nil"/>
            </w:tcBorders>
            <w:shd w:val="clear" w:color="auto" w:fill="auto"/>
            <w:noWrap/>
            <w:vAlign w:val="bottom"/>
            <w:hideMark/>
          </w:tcPr>
          <w:p w14:paraId="60AECB83" w14:textId="77777777" w:rsidR="00D33B26" w:rsidRPr="008F5D99" w:rsidRDefault="00D33B26" w:rsidP="00526DE0">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Pensionados</w:t>
            </w:r>
          </w:p>
        </w:tc>
        <w:tc>
          <w:tcPr>
            <w:tcW w:w="1625" w:type="dxa"/>
            <w:tcBorders>
              <w:top w:val="single" w:sz="4" w:space="0" w:color="auto"/>
              <w:left w:val="nil"/>
              <w:bottom w:val="double" w:sz="6" w:space="0" w:color="auto"/>
              <w:right w:val="nil"/>
            </w:tcBorders>
            <w:shd w:val="clear" w:color="auto" w:fill="auto"/>
            <w:noWrap/>
            <w:vAlign w:val="bottom"/>
            <w:hideMark/>
          </w:tcPr>
          <w:p w14:paraId="7A68306D" w14:textId="77777777" w:rsidR="00D33B26" w:rsidRPr="008F5D99" w:rsidRDefault="00D33B26" w:rsidP="00526DE0">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Monto</w:t>
            </w:r>
          </w:p>
        </w:tc>
      </w:tr>
      <w:tr w:rsidR="00D33B26" w:rsidRPr="000369BA" w14:paraId="211478EC" w14:textId="77777777" w:rsidTr="00CA65EA">
        <w:trPr>
          <w:trHeight w:val="30"/>
          <w:jc w:val="center"/>
        </w:trPr>
        <w:tc>
          <w:tcPr>
            <w:tcW w:w="851" w:type="dxa"/>
            <w:tcBorders>
              <w:top w:val="nil"/>
              <w:left w:val="nil"/>
              <w:bottom w:val="nil"/>
              <w:right w:val="nil"/>
            </w:tcBorders>
            <w:shd w:val="clear" w:color="auto" w:fill="auto"/>
            <w:noWrap/>
            <w:vAlign w:val="bottom"/>
            <w:hideMark/>
          </w:tcPr>
          <w:p w14:paraId="1722D7B3"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2010</w:t>
            </w:r>
          </w:p>
        </w:tc>
        <w:tc>
          <w:tcPr>
            <w:tcW w:w="1843" w:type="dxa"/>
            <w:tcBorders>
              <w:top w:val="nil"/>
              <w:left w:val="nil"/>
              <w:bottom w:val="nil"/>
              <w:right w:val="nil"/>
            </w:tcBorders>
            <w:shd w:val="clear" w:color="auto" w:fill="auto"/>
            <w:noWrap/>
            <w:vAlign w:val="bottom"/>
            <w:hideMark/>
          </w:tcPr>
          <w:p w14:paraId="6C7D8AF0"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 8 214 </w:t>
            </w:r>
          </w:p>
        </w:tc>
        <w:tc>
          <w:tcPr>
            <w:tcW w:w="1625" w:type="dxa"/>
            <w:tcBorders>
              <w:top w:val="nil"/>
              <w:left w:val="nil"/>
              <w:bottom w:val="nil"/>
              <w:right w:val="nil"/>
            </w:tcBorders>
            <w:shd w:val="clear" w:color="auto" w:fill="auto"/>
            <w:noWrap/>
            <w:vAlign w:val="bottom"/>
            <w:hideMark/>
          </w:tcPr>
          <w:p w14:paraId="31564311"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2 075 930 </w:t>
            </w:r>
          </w:p>
        </w:tc>
      </w:tr>
      <w:tr w:rsidR="00D33B26" w:rsidRPr="000369BA" w14:paraId="0006D1FD" w14:textId="77777777" w:rsidTr="00CA65EA">
        <w:trPr>
          <w:trHeight w:val="75"/>
          <w:jc w:val="center"/>
        </w:trPr>
        <w:tc>
          <w:tcPr>
            <w:tcW w:w="851" w:type="dxa"/>
            <w:tcBorders>
              <w:top w:val="nil"/>
              <w:left w:val="nil"/>
              <w:bottom w:val="nil"/>
              <w:right w:val="nil"/>
            </w:tcBorders>
            <w:shd w:val="clear" w:color="auto" w:fill="auto"/>
            <w:noWrap/>
            <w:vAlign w:val="bottom"/>
            <w:hideMark/>
          </w:tcPr>
          <w:p w14:paraId="43A9C177"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2011</w:t>
            </w:r>
          </w:p>
        </w:tc>
        <w:tc>
          <w:tcPr>
            <w:tcW w:w="1843" w:type="dxa"/>
            <w:tcBorders>
              <w:top w:val="nil"/>
              <w:left w:val="nil"/>
              <w:bottom w:val="nil"/>
              <w:right w:val="nil"/>
            </w:tcBorders>
            <w:shd w:val="clear" w:color="auto" w:fill="auto"/>
            <w:noWrap/>
            <w:vAlign w:val="bottom"/>
            <w:hideMark/>
          </w:tcPr>
          <w:p w14:paraId="37657116"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 8 318 </w:t>
            </w:r>
          </w:p>
        </w:tc>
        <w:tc>
          <w:tcPr>
            <w:tcW w:w="1625" w:type="dxa"/>
            <w:tcBorders>
              <w:top w:val="nil"/>
              <w:left w:val="nil"/>
              <w:bottom w:val="nil"/>
              <w:right w:val="nil"/>
            </w:tcBorders>
            <w:shd w:val="clear" w:color="auto" w:fill="auto"/>
            <w:noWrap/>
            <w:vAlign w:val="bottom"/>
            <w:hideMark/>
          </w:tcPr>
          <w:p w14:paraId="598A8D3C"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2 315 556 </w:t>
            </w:r>
          </w:p>
        </w:tc>
      </w:tr>
      <w:tr w:rsidR="00D33B26" w:rsidRPr="000369BA" w14:paraId="366E2688" w14:textId="77777777" w:rsidTr="00CA65EA">
        <w:trPr>
          <w:trHeight w:val="75"/>
          <w:jc w:val="center"/>
        </w:trPr>
        <w:tc>
          <w:tcPr>
            <w:tcW w:w="851" w:type="dxa"/>
            <w:tcBorders>
              <w:top w:val="nil"/>
              <w:left w:val="nil"/>
              <w:bottom w:val="nil"/>
              <w:right w:val="nil"/>
            </w:tcBorders>
            <w:shd w:val="clear" w:color="auto" w:fill="auto"/>
            <w:noWrap/>
            <w:vAlign w:val="bottom"/>
            <w:hideMark/>
          </w:tcPr>
          <w:p w14:paraId="1F8139E9"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2012</w:t>
            </w:r>
          </w:p>
        </w:tc>
        <w:tc>
          <w:tcPr>
            <w:tcW w:w="1843" w:type="dxa"/>
            <w:tcBorders>
              <w:top w:val="nil"/>
              <w:left w:val="nil"/>
              <w:bottom w:val="nil"/>
              <w:right w:val="nil"/>
            </w:tcBorders>
            <w:shd w:val="clear" w:color="auto" w:fill="auto"/>
            <w:noWrap/>
            <w:vAlign w:val="bottom"/>
            <w:hideMark/>
          </w:tcPr>
          <w:p w14:paraId="1216ED01"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10 281 </w:t>
            </w:r>
          </w:p>
        </w:tc>
        <w:tc>
          <w:tcPr>
            <w:tcW w:w="1625" w:type="dxa"/>
            <w:tcBorders>
              <w:top w:val="nil"/>
              <w:left w:val="nil"/>
              <w:bottom w:val="nil"/>
              <w:right w:val="nil"/>
            </w:tcBorders>
            <w:shd w:val="clear" w:color="auto" w:fill="auto"/>
            <w:noWrap/>
            <w:vAlign w:val="bottom"/>
            <w:hideMark/>
          </w:tcPr>
          <w:p w14:paraId="4BDC6440"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2 915 061 </w:t>
            </w:r>
          </w:p>
        </w:tc>
      </w:tr>
      <w:tr w:rsidR="00D33B26" w:rsidRPr="000369BA" w14:paraId="3526A5C5" w14:textId="77777777" w:rsidTr="00CA65EA">
        <w:trPr>
          <w:trHeight w:val="75"/>
          <w:jc w:val="center"/>
        </w:trPr>
        <w:tc>
          <w:tcPr>
            <w:tcW w:w="851" w:type="dxa"/>
            <w:tcBorders>
              <w:top w:val="nil"/>
              <w:left w:val="nil"/>
              <w:bottom w:val="nil"/>
              <w:right w:val="nil"/>
            </w:tcBorders>
            <w:shd w:val="clear" w:color="auto" w:fill="auto"/>
            <w:noWrap/>
            <w:vAlign w:val="bottom"/>
            <w:hideMark/>
          </w:tcPr>
          <w:p w14:paraId="3AD90078"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2013</w:t>
            </w:r>
          </w:p>
        </w:tc>
        <w:tc>
          <w:tcPr>
            <w:tcW w:w="1843" w:type="dxa"/>
            <w:tcBorders>
              <w:top w:val="nil"/>
              <w:left w:val="nil"/>
              <w:bottom w:val="nil"/>
              <w:right w:val="nil"/>
            </w:tcBorders>
            <w:shd w:val="clear" w:color="auto" w:fill="auto"/>
            <w:noWrap/>
            <w:vAlign w:val="bottom"/>
            <w:hideMark/>
          </w:tcPr>
          <w:p w14:paraId="2B6DCA3B"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10 871 </w:t>
            </w:r>
          </w:p>
        </w:tc>
        <w:tc>
          <w:tcPr>
            <w:tcW w:w="1625" w:type="dxa"/>
            <w:tcBorders>
              <w:top w:val="nil"/>
              <w:left w:val="nil"/>
              <w:bottom w:val="nil"/>
              <w:right w:val="nil"/>
            </w:tcBorders>
            <w:shd w:val="clear" w:color="auto" w:fill="auto"/>
            <w:noWrap/>
            <w:vAlign w:val="bottom"/>
            <w:hideMark/>
          </w:tcPr>
          <w:p w14:paraId="76C3AFE3"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3 474 179 </w:t>
            </w:r>
          </w:p>
        </w:tc>
      </w:tr>
      <w:tr w:rsidR="00D33B26" w:rsidRPr="000369BA" w14:paraId="79539F51" w14:textId="77777777" w:rsidTr="00CA65EA">
        <w:trPr>
          <w:trHeight w:val="75"/>
          <w:jc w:val="center"/>
        </w:trPr>
        <w:tc>
          <w:tcPr>
            <w:tcW w:w="851" w:type="dxa"/>
            <w:tcBorders>
              <w:top w:val="nil"/>
              <w:left w:val="nil"/>
              <w:bottom w:val="nil"/>
              <w:right w:val="nil"/>
            </w:tcBorders>
            <w:shd w:val="clear" w:color="auto" w:fill="auto"/>
            <w:noWrap/>
            <w:vAlign w:val="bottom"/>
            <w:hideMark/>
          </w:tcPr>
          <w:p w14:paraId="52E8559A"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2014</w:t>
            </w:r>
          </w:p>
        </w:tc>
        <w:tc>
          <w:tcPr>
            <w:tcW w:w="1843" w:type="dxa"/>
            <w:tcBorders>
              <w:top w:val="nil"/>
              <w:left w:val="nil"/>
              <w:bottom w:val="nil"/>
              <w:right w:val="nil"/>
            </w:tcBorders>
            <w:shd w:val="clear" w:color="auto" w:fill="auto"/>
            <w:noWrap/>
            <w:vAlign w:val="bottom"/>
            <w:hideMark/>
          </w:tcPr>
          <w:p w14:paraId="30AD1639"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10 802 </w:t>
            </w:r>
          </w:p>
        </w:tc>
        <w:tc>
          <w:tcPr>
            <w:tcW w:w="1625" w:type="dxa"/>
            <w:tcBorders>
              <w:top w:val="nil"/>
              <w:left w:val="nil"/>
              <w:bottom w:val="nil"/>
              <w:right w:val="nil"/>
            </w:tcBorders>
            <w:shd w:val="clear" w:color="auto" w:fill="auto"/>
            <w:noWrap/>
            <w:vAlign w:val="bottom"/>
            <w:hideMark/>
          </w:tcPr>
          <w:p w14:paraId="46A44945"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4 162 116 </w:t>
            </w:r>
          </w:p>
        </w:tc>
      </w:tr>
      <w:tr w:rsidR="00D33B26" w:rsidRPr="000369BA" w14:paraId="77CB6FBD" w14:textId="77777777" w:rsidTr="00CA65EA">
        <w:trPr>
          <w:trHeight w:val="75"/>
          <w:jc w:val="center"/>
        </w:trPr>
        <w:tc>
          <w:tcPr>
            <w:tcW w:w="851" w:type="dxa"/>
            <w:tcBorders>
              <w:top w:val="nil"/>
              <w:left w:val="nil"/>
              <w:bottom w:val="nil"/>
              <w:right w:val="nil"/>
            </w:tcBorders>
            <w:shd w:val="clear" w:color="auto" w:fill="auto"/>
            <w:noWrap/>
            <w:vAlign w:val="bottom"/>
            <w:hideMark/>
          </w:tcPr>
          <w:p w14:paraId="1DA7EB36"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2015</w:t>
            </w:r>
          </w:p>
        </w:tc>
        <w:tc>
          <w:tcPr>
            <w:tcW w:w="1843" w:type="dxa"/>
            <w:tcBorders>
              <w:top w:val="nil"/>
              <w:left w:val="nil"/>
              <w:bottom w:val="nil"/>
              <w:right w:val="nil"/>
            </w:tcBorders>
            <w:shd w:val="clear" w:color="auto" w:fill="auto"/>
            <w:noWrap/>
            <w:vAlign w:val="bottom"/>
            <w:hideMark/>
          </w:tcPr>
          <w:p w14:paraId="31B6F585"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11 993 </w:t>
            </w:r>
          </w:p>
        </w:tc>
        <w:tc>
          <w:tcPr>
            <w:tcW w:w="1625" w:type="dxa"/>
            <w:tcBorders>
              <w:top w:val="nil"/>
              <w:left w:val="nil"/>
              <w:bottom w:val="nil"/>
              <w:right w:val="nil"/>
            </w:tcBorders>
            <w:shd w:val="clear" w:color="auto" w:fill="auto"/>
            <w:noWrap/>
            <w:vAlign w:val="bottom"/>
            <w:hideMark/>
          </w:tcPr>
          <w:p w14:paraId="3483A0BF"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4 625 723 </w:t>
            </w:r>
          </w:p>
        </w:tc>
      </w:tr>
      <w:tr w:rsidR="00D33B26" w:rsidRPr="000369BA" w14:paraId="6044A0A5" w14:textId="77777777" w:rsidTr="00CA65EA">
        <w:trPr>
          <w:trHeight w:val="75"/>
          <w:jc w:val="center"/>
        </w:trPr>
        <w:tc>
          <w:tcPr>
            <w:tcW w:w="851" w:type="dxa"/>
            <w:tcBorders>
              <w:top w:val="nil"/>
              <w:left w:val="nil"/>
              <w:bottom w:val="nil"/>
              <w:right w:val="nil"/>
            </w:tcBorders>
            <w:shd w:val="clear" w:color="auto" w:fill="auto"/>
            <w:noWrap/>
            <w:vAlign w:val="bottom"/>
            <w:hideMark/>
          </w:tcPr>
          <w:p w14:paraId="5C5D9587"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2016</w:t>
            </w:r>
          </w:p>
        </w:tc>
        <w:tc>
          <w:tcPr>
            <w:tcW w:w="1843" w:type="dxa"/>
            <w:tcBorders>
              <w:top w:val="nil"/>
              <w:left w:val="nil"/>
              <w:bottom w:val="nil"/>
              <w:right w:val="nil"/>
            </w:tcBorders>
            <w:shd w:val="clear" w:color="auto" w:fill="auto"/>
            <w:noWrap/>
            <w:vAlign w:val="bottom"/>
            <w:hideMark/>
          </w:tcPr>
          <w:p w14:paraId="5369CCE3"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12 755 </w:t>
            </w:r>
          </w:p>
        </w:tc>
        <w:tc>
          <w:tcPr>
            <w:tcW w:w="1625" w:type="dxa"/>
            <w:tcBorders>
              <w:top w:val="nil"/>
              <w:left w:val="nil"/>
              <w:bottom w:val="nil"/>
              <w:right w:val="nil"/>
            </w:tcBorders>
            <w:shd w:val="clear" w:color="auto" w:fill="auto"/>
            <w:noWrap/>
            <w:vAlign w:val="bottom"/>
            <w:hideMark/>
          </w:tcPr>
          <w:p w14:paraId="21369EBF"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5 403 247 </w:t>
            </w:r>
          </w:p>
        </w:tc>
      </w:tr>
      <w:tr w:rsidR="00D33B26" w:rsidRPr="000369BA" w14:paraId="48EA25CE" w14:textId="77777777" w:rsidTr="00CA65EA">
        <w:trPr>
          <w:trHeight w:val="75"/>
          <w:jc w:val="center"/>
        </w:trPr>
        <w:tc>
          <w:tcPr>
            <w:tcW w:w="851" w:type="dxa"/>
            <w:tcBorders>
              <w:top w:val="nil"/>
              <w:left w:val="nil"/>
              <w:bottom w:val="nil"/>
              <w:right w:val="nil"/>
            </w:tcBorders>
            <w:shd w:val="clear" w:color="auto" w:fill="auto"/>
            <w:noWrap/>
            <w:vAlign w:val="bottom"/>
            <w:hideMark/>
          </w:tcPr>
          <w:p w14:paraId="48256C82"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2017</w:t>
            </w:r>
          </w:p>
        </w:tc>
        <w:tc>
          <w:tcPr>
            <w:tcW w:w="1843" w:type="dxa"/>
            <w:tcBorders>
              <w:top w:val="nil"/>
              <w:left w:val="nil"/>
              <w:bottom w:val="nil"/>
              <w:right w:val="nil"/>
            </w:tcBorders>
            <w:shd w:val="clear" w:color="auto" w:fill="auto"/>
            <w:noWrap/>
            <w:vAlign w:val="bottom"/>
            <w:hideMark/>
          </w:tcPr>
          <w:p w14:paraId="002C3C9E"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13 440 </w:t>
            </w:r>
          </w:p>
        </w:tc>
        <w:tc>
          <w:tcPr>
            <w:tcW w:w="1625" w:type="dxa"/>
            <w:tcBorders>
              <w:top w:val="nil"/>
              <w:left w:val="nil"/>
              <w:bottom w:val="nil"/>
              <w:right w:val="nil"/>
            </w:tcBorders>
            <w:shd w:val="clear" w:color="auto" w:fill="auto"/>
            <w:noWrap/>
            <w:vAlign w:val="bottom"/>
            <w:hideMark/>
          </w:tcPr>
          <w:p w14:paraId="0428B4F6"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6 088 274 </w:t>
            </w:r>
          </w:p>
        </w:tc>
      </w:tr>
      <w:tr w:rsidR="00D33B26" w:rsidRPr="000369BA" w14:paraId="10616AFA" w14:textId="77777777" w:rsidTr="00CA65EA">
        <w:trPr>
          <w:trHeight w:val="75"/>
          <w:jc w:val="center"/>
        </w:trPr>
        <w:tc>
          <w:tcPr>
            <w:tcW w:w="851" w:type="dxa"/>
            <w:tcBorders>
              <w:top w:val="nil"/>
              <w:left w:val="nil"/>
              <w:bottom w:val="single" w:sz="4" w:space="0" w:color="auto"/>
              <w:right w:val="nil"/>
            </w:tcBorders>
            <w:shd w:val="clear" w:color="auto" w:fill="auto"/>
            <w:noWrap/>
            <w:vAlign w:val="bottom"/>
            <w:hideMark/>
          </w:tcPr>
          <w:p w14:paraId="16858733"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2018</w:t>
            </w:r>
          </w:p>
        </w:tc>
        <w:tc>
          <w:tcPr>
            <w:tcW w:w="1843" w:type="dxa"/>
            <w:tcBorders>
              <w:top w:val="nil"/>
              <w:left w:val="nil"/>
              <w:bottom w:val="single" w:sz="4" w:space="0" w:color="auto"/>
              <w:right w:val="nil"/>
            </w:tcBorders>
            <w:shd w:val="clear" w:color="auto" w:fill="auto"/>
            <w:noWrap/>
            <w:vAlign w:val="bottom"/>
            <w:hideMark/>
          </w:tcPr>
          <w:p w14:paraId="0D62C513"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13 831 </w:t>
            </w:r>
          </w:p>
        </w:tc>
        <w:tc>
          <w:tcPr>
            <w:tcW w:w="1625" w:type="dxa"/>
            <w:tcBorders>
              <w:top w:val="nil"/>
              <w:left w:val="nil"/>
              <w:bottom w:val="single" w:sz="4" w:space="0" w:color="auto"/>
              <w:right w:val="nil"/>
            </w:tcBorders>
            <w:shd w:val="clear" w:color="auto" w:fill="auto"/>
            <w:noWrap/>
            <w:vAlign w:val="bottom"/>
            <w:hideMark/>
          </w:tcPr>
          <w:p w14:paraId="5BE21DB5" w14:textId="77777777" w:rsidR="00D33B26" w:rsidRPr="000369BA" w:rsidRDefault="00D33B26" w:rsidP="00D33B26">
            <w:pPr>
              <w:spacing w:after="0" w:line="240" w:lineRule="auto"/>
              <w:jc w:val="right"/>
              <w:rPr>
                <w:rFonts w:asciiTheme="majorHAnsi" w:eastAsia="Times New Roman" w:hAnsiTheme="majorHAnsi" w:cstheme="minorHAnsi"/>
                <w:color w:val="000000"/>
                <w:sz w:val="18"/>
                <w:szCs w:val="18"/>
                <w:lang w:val="es-CR" w:eastAsia="es-CR"/>
              </w:rPr>
            </w:pPr>
            <w:r w:rsidRPr="000369BA">
              <w:rPr>
                <w:rFonts w:asciiTheme="majorHAnsi" w:eastAsia="Times New Roman" w:hAnsiTheme="majorHAnsi" w:cstheme="minorHAnsi"/>
                <w:color w:val="000000"/>
                <w:sz w:val="18"/>
                <w:szCs w:val="18"/>
                <w:lang w:val="es-CR" w:eastAsia="es-CR"/>
              </w:rPr>
              <w:t xml:space="preserve">6 688 335 </w:t>
            </w:r>
          </w:p>
        </w:tc>
      </w:tr>
    </w:tbl>
    <w:p w14:paraId="07FA0633" w14:textId="77777777" w:rsidR="00C56F2E" w:rsidRPr="000369BA" w:rsidRDefault="003B0161" w:rsidP="00C56F2E">
      <w:pPr>
        <w:spacing w:before="40" w:after="20" w:line="240" w:lineRule="auto"/>
        <w:ind w:left="2268" w:right="2175"/>
        <w:rPr>
          <w:rFonts w:asciiTheme="majorHAnsi" w:hAnsiTheme="majorHAnsi" w:cstheme="minorHAnsi"/>
          <w:sz w:val="16"/>
          <w:szCs w:val="16"/>
          <w:lang w:val="es-CR"/>
        </w:rPr>
      </w:pPr>
      <w:r w:rsidRPr="000369BA">
        <w:rPr>
          <w:rFonts w:asciiTheme="majorHAnsi" w:hAnsiTheme="majorHAnsi" w:cstheme="minorHAnsi"/>
          <w:sz w:val="16"/>
          <w:szCs w:val="16"/>
        </w:rPr>
        <w:t xml:space="preserve">Fuente: Elaboración </w:t>
      </w:r>
      <w:r w:rsidRPr="000369BA">
        <w:rPr>
          <w:rFonts w:asciiTheme="majorHAnsi" w:hAnsiTheme="majorHAnsi" w:cstheme="minorHAnsi"/>
          <w:sz w:val="16"/>
          <w:szCs w:val="16"/>
          <w:lang w:val="es-CR"/>
        </w:rPr>
        <w:t>propia con datos suministrados por las entidades</w:t>
      </w:r>
    </w:p>
    <w:p w14:paraId="07F023C8" w14:textId="77777777" w:rsidR="00C56F2E" w:rsidRPr="00C56F2E" w:rsidRDefault="00C56F2E" w:rsidP="00C56F2E">
      <w:pPr>
        <w:spacing w:before="40" w:after="20" w:line="240" w:lineRule="auto"/>
        <w:jc w:val="center"/>
        <w:rPr>
          <w:rFonts w:asciiTheme="majorHAnsi" w:hAnsiTheme="majorHAnsi" w:cstheme="minorHAnsi"/>
          <w:sz w:val="24"/>
          <w:lang w:val="es-CR"/>
        </w:rPr>
      </w:pPr>
    </w:p>
    <w:p w14:paraId="7BD6B24D" w14:textId="77777777" w:rsidR="007D0BC7" w:rsidRPr="008F5D99" w:rsidRDefault="007D0BC7" w:rsidP="00AB1521">
      <w:pPr>
        <w:spacing w:line="240" w:lineRule="auto"/>
        <w:jc w:val="both"/>
        <w:rPr>
          <w:rFonts w:asciiTheme="majorHAnsi" w:hAnsiTheme="majorHAnsi" w:cstheme="minorHAnsi"/>
        </w:rPr>
      </w:pPr>
      <w:r w:rsidRPr="008F5D99">
        <w:rPr>
          <w:rFonts w:asciiTheme="majorHAnsi" w:hAnsiTheme="majorHAnsi" w:cstheme="minorHAnsi"/>
        </w:rPr>
        <w:t>Es de esperarse por lo tanto que la cantidad de pensionados con derecho al retito total disminuya año a año, pero que los montos, de los que apliquen para esta regla de excepción sigan creciendo.</w:t>
      </w:r>
    </w:p>
    <w:p w14:paraId="67E06CD1" w14:textId="77777777" w:rsidR="00E15415" w:rsidRPr="008F5D99" w:rsidRDefault="007D0BC7" w:rsidP="00D03A51">
      <w:pPr>
        <w:spacing w:line="240" w:lineRule="auto"/>
        <w:jc w:val="both"/>
        <w:rPr>
          <w:rFonts w:asciiTheme="majorHAnsi" w:hAnsiTheme="majorHAnsi" w:cstheme="minorHAnsi"/>
        </w:rPr>
      </w:pPr>
      <w:r w:rsidRPr="008F5D99">
        <w:rPr>
          <w:rFonts w:asciiTheme="majorHAnsi" w:hAnsiTheme="majorHAnsi" w:cstheme="minorHAnsi"/>
        </w:rPr>
        <w:t>A nivel de consultas o quejas ante el supervisor, el no tener acceso a los recursos del ROP en un solo tracto, se está convirtiendo en uno de los hechos recurrentes.</w:t>
      </w:r>
      <w:bookmarkStart w:id="17" w:name="_Toc530733765"/>
    </w:p>
    <w:p w14:paraId="7286A4CD" w14:textId="77777777" w:rsidR="007D0BC7" w:rsidRPr="00353E05" w:rsidRDefault="007D0BC7" w:rsidP="00353E05">
      <w:pPr>
        <w:rPr>
          <w:rFonts w:asciiTheme="majorHAnsi" w:hAnsiTheme="majorHAnsi" w:cstheme="minorHAnsi"/>
          <w:b/>
        </w:rPr>
      </w:pPr>
      <w:r w:rsidRPr="00353E05">
        <w:rPr>
          <w:rFonts w:asciiTheme="majorHAnsi" w:hAnsiTheme="majorHAnsi" w:cstheme="minorHAnsi"/>
          <w:b/>
        </w:rPr>
        <w:t>Pensiones Complementarias</w:t>
      </w:r>
      <w:bookmarkEnd w:id="17"/>
    </w:p>
    <w:p w14:paraId="3DE05177" w14:textId="1679C5CA" w:rsidR="00F7428D" w:rsidRPr="00FF4B17" w:rsidRDefault="007D0BC7" w:rsidP="00AB1521">
      <w:pPr>
        <w:spacing w:line="240" w:lineRule="auto"/>
        <w:jc w:val="both"/>
        <w:rPr>
          <w:rFonts w:asciiTheme="majorHAnsi" w:hAnsiTheme="majorHAnsi" w:cstheme="minorHAnsi"/>
        </w:rPr>
      </w:pPr>
      <w:r w:rsidRPr="00FF4B17">
        <w:rPr>
          <w:rFonts w:asciiTheme="majorHAnsi" w:hAnsiTheme="majorHAnsi" w:cstheme="minorHAnsi"/>
        </w:rPr>
        <w:t xml:space="preserve">Año con año la cifra de nuevos pensionados </w:t>
      </w:r>
      <w:r w:rsidR="00A264F8" w:rsidRPr="00FF4B17">
        <w:rPr>
          <w:rFonts w:asciiTheme="majorHAnsi" w:hAnsiTheme="majorHAnsi" w:cstheme="minorHAnsi"/>
        </w:rPr>
        <w:t>del ROP va en aumento. En el</w:t>
      </w:r>
      <w:r w:rsidRPr="00FF4B17">
        <w:rPr>
          <w:rFonts w:asciiTheme="majorHAnsi" w:hAnsiTheme="majorHAnsi" w:cstheme="minorHAnsi"/>
        </w:rPr>
        <w:t xml:space="preserve"> 2010 el régimen </w:t>
      </w:r>
      <w:r w:rsidR="00A264F8" w:rsidRPr="00FF4B17">
        <w:rPr>
          <w:rFonts w:asciiTheme="majorHAnsi" w:hAnsiTheme="majorHAnsi" w:cstheme="minorHAnsi"/>
        </w:rPr>
        <w:t>se registraron</w:t>
      </w:r>
      <w:r w:rsidRPr="00FF4B17">
        <w:rPr>
          <w:rFonts w:asciiTheme="majorHAnsi" w:hAnsiTheme="majorHAnsi" w:cstheme="minorHAnsi"/>
        </w:rPr>
        <w:t xml:space="preserve"> 4 pensionados</w:t>
      </w:r>
      <w:r w:rsidR="00B46B1B" w:rsidRPr="00FF4B17">
        <w:rPr>
          <w:rFonts w:asciiTheme="majorHAnsi" w:hAnsiTheme="majorHAnsi" w:cstheme="minorHAnsi"/>
        </w:rPr>
        <w:t xml:space="preserve">. Tan solo 8 años después, a </w:t>
      </w:r>
      <w:r w:rsidR="00FF4B17" w:rsidRPr="00FF4B17">
        <w:rPr>
          <w:rFonts w:asciiTheme="majorHAnsi" w:hAnsiTheme="majorHAnsi" w:cstheme="minorHAnsi"/>
        </w:rPr>
        <w:t>diciembre</w:t>
      </w:r>
      <w:r w:rsidRPr="00FF4B17">
        <w:rPr>
          <w:rFonts w:asciiTheme="majorHAnsi" w:hAnsiTheme="majorHAnsi" w:cstheme="minorHAnsi"/>
        </w:rPr>
        <w:t xml:space="preserve"> tenemos </w:t>
      </w:r>
      <w:r w:rsidR="006B1E62" w:rsidRPr="00FF4B17">
        <w:rPr>
          <w:rFonts w:asciiTheme="majorHAnsi" w:hAnsiTheme="majorHAnsi" w:cstheme="minorHAnsi"/>
        </w:rPr>
        <w:t>5 291</w:t>
      </w:r>
      <w:r w:rsidRPr="00FF4B17">
        <w:rPr>
          <w:rFonts w:asciiTheme="majorHAnsi" w:hAnsiTheme="majorHAnsi" w:cstheme="minorHAnsi"/>
        </w:rPr>
        <w:t xml:space="preserve"> pensionados, esto es un crecimiento exponencial que seguirá por los próximo</w:t>
      </w:r>
      <w:r w:rsidR="00B46B1B" w:rsidRPr="00FF4B17">
        <w:rPr>
          <w:rFonts w:asciiTheme="majorHAnsi" w:hAnsiTheme="majorHAnsi" w:cstheme="minorHAnsi"/>
        </w:rPr>
        <w:t>s años.</w:t>
      </w:r>
      <w:r w:rsidR="00A264F8" w:rsidRPr="00FF4B17">
        <w:rPr>
          <w:rFonts w:asciiTheme="majorHAnsi" w:hAnsiTheme="majorHAnsi" w:cstheme="minorHAnsi"/>
        </w:rPr>
        <w:t xml:space="preserve"> Desde el 2010 las operadoras de p</w:t>
      </w:r>
      <w:r w:rsidRPr="00FF4B17">
        <w:rPr>
          <w:rFonts w:asciiTheme="majorHAnsi" w:hAnsiTheme="majorHAnsi" w:cstheme="minorHAnsi"/>
        </w:rPr>
        <w:t>ensiones han ofreci</w:t>
      </w:r>
      <w:r w:rsidR="00A264F8" w:rsidRPr="00FF4B17">
        <w:rPr>
          <w:rFonts w:asciiTheme="majorHAnsi" w:hAnsiTheme="majorHAnsi" w:cstheme="minorHAnsi"/>
        </w:rPr>
        <w:t>do dos posibles modalidades de p</w:t>
      </w:r>
      <w:r w:rsidRPr="00FF4B17">
        <w:rPr>
          <w:rFonts w:asciiTheme="majorHAnsi" w:hAnsiTheme="majorHAnsi" w:cstheme="minorHAnsi"/>
        </w:rPr>
        <w:t>ensión, los Retiros Programados y las Rentas Permanentes. Los Retiros Programados son calculados como anualidad prepagable ajustada por esperanza de vida cada año. Las Rentas Permanentes corresponden a la división de los intereses del año previo entre doce, resultando así un pago mensual que mantiene el capital original. La elección por parte de los afiliados, según diversas pruebas hechas por la S</w:t>
      </w:r>
      <w:r w:rsidR="00D20633" w:rsidRPr="00FF4B17">
        <w:rPr>
          <w:rFonts w:asciiTheme="majorHAnsi" w:hAnsiTheme="majorHAnsi" w:cstheme="minorHAnsi"/>
        </w:rPr>
        <w:t>UPEN</w:t>
      </w:r>
      <w:r w:rsidRPr="00FF4B17">
        <w:rPr>
          <w:rFonts w:asciiTheme="majorHAnsi" w:hAnsiTheme="majorHAnsi" w:cstheme="minorHAnsi"/>
        </w:rPr>
        <w:t xml:space="preserve">, ha estado influenciada </w:t>
      </w:r>
      <w:r w:rsidR="006643B9" w:rsidRPr="00FF4B17">
        <w:rPr>
          <w:rFonts w:asciiTheme="majorHAnsi" w:hAnsiTheme="majorHAnsi" w:cstheme="minorHAnsi"/>
        </w:rPr>
        <w:t xml:space="preserve">sobre todo </w:t>
      </w:r>
      <w:r w:rsidRPr="00FF4B17">
        <w:rPr>
          <w:rFonts w:asciiTheme="majorHAnsi" w:hAnsiTheme="majorHAnsi" w:cstheme="minorHAnsi"/>
        </w:rPr>
        <w:t xml:space="preserve">por la renta que </w:t>
      </w:r>
      <w:r w:rsidR="006643B9" w:rsidRPr="00FF4B17">
        <w:rPr>
          <w:rFonts w:asciiTheme="majorHAnsi" w:hAnsiTheme="majorHAnsi" w:cstheme="minorHAnsi"/>
        </w:rPr>
        <w:t>produzca</w:t>
      </w:r>
      <w:r w:rsidRPr="00FF4B17">
        <w:rPr>
          <w:rFonts w:asciiTheme="majorHAnsi" w:hAnsiTheme="majorHAnsi" w:cstheme="minorHAnsi"/>
        </w:rPr>
        <w:t xml:space="preserve"> una mayor prestación en el corto plazo</w:t>
      </w:r>
      <w:r w:rsidR="00D20633" w:rsidRPr="00FF4B17">
        <w:rPr>
          <w:rFonts w:asciiTheme="majorHAnsi" w:hAnsiTheme="majorHAnsi" w:cstheme="minorHAnsi"/>
        </w:rPr>
        <w:t>.</w:t>
      </w:r>
    </w:p>
    <w:p w14:paraId="7F5C4305" w14:textId="77777777" w:rsidR="00C215C6" w:rsidRPr="00FF4B17" w:rsidRDefault="001345C6" w:rsidP="001345C6">
      <w:pPr>
        <w:spacing w:after="0" w:line="240" w:lineRule="auto"/>
        <w:jc w:val="center"/>
        <w:rPr>
          <w:rFonts w:asciiTheme="majorHAnsi" w:hAnsiTheme="majorHAnsi" w:cstheme="minorHAnsi"/>
        </w:rPr>
      </w:pPr>
      <w:r w:rsidRPr="001345C6">
        <w:rPr>
          <w:rFonts w:asciiTheme="majorHAnsi" w:hAnsiTheme="majorHAnsi" w:cstheme="minorHAnsi"/>
        </w:rPr>
        <w:t xml:space="preserve">Cuadro </w:t>
      </w:r>
      <w:r w:rsidRPr="001345C6">
        <w:rPr>
          <w:rFonts w:asciiTheme="majorHAnsi" w:hAnsiTheme="majorHAnsi" w:cstheme="minorHAnsi"/>
        </w:rPr>
        <w:fldChar w:fldCharType="begin"/>
      </w:r>
      <w:r w:rsidRPr="001345C6">
        <w:rPr>
          <w:rFonts w:asciiTheme="majorHAnsi" w:hAnsiTheme="majorHAnsi" w:cstheme="minorHAnsi"/>
        </w:rPr>
        <w:instrText xml:space="preserve"> SEQ Cuadro \* ARABIC </w:instrText>
      </w:r>
      <w:r w:rsidRPr="001345C6">
        <w:rPr>
          <w:rFonts w:asciiTheme="majorHAnsi" w:hAnsiTheme="majorHAnsi" w:cstheme="minorHAnsi"/>
        </w:rPr>
        <w:fldChar w:fldCharType="separate"/>
      </w:r>
      <w:r w:rsidR="00CE6261">
        <w:rPr>
          <w:rFonts w:asciiTheme="majorHAnsi" w:hAnsiTheme="majorHAnsi" w:cstheme="minorHAnsi"/>
          <w:noProof/>
        </w:rPr>
        <w:t>15</w:t>
      </w:r>
      <w:r w:rsidRPr="001345C6">
        <w:rPr>
          <w:rFonts w:asciiTheme="majorHAnsi" w:hAnsiTheme="majorHAnsi" w:cstheme="minorHAnsi"/>
        </w:rPr>
        <w:fldChar w:fldCharType="end"/>
      </w:r>
    </w:p>
    <w:p w14:paraId="3A9E4ECF" w14:textId="77777777" w:rsidR="003C6E17" w:rsidRPr="00FF4B17" w:rsidRDefault="003C6E17" w:rsidP="003C6E17">
      <w:pPr>
        <w:spacing w:after="0" w:line="240" w:lineRule="auto"/>
        <w:jc w:val="center"/>
        <w:rPr>
          <w:rFonts w:asciiTheme="majorHAnsi" w:hAnsiTheme="majorHAnsi" w:cstheme="minorHAnsi"/>
        </w:rPr>
      </w:pPr>
      <w:r w:rsidRPr="00FF4B17">
        <w:rPr>
          <w:rFonts w:asciiTheme="majorHAnsi" w:hAnsiTheme="majorHAnsi" w:cstheme="minorHAnsi"/>
        </w:rPr>
        <w:t>Pensionados</w:t>
      </w:r>
      <w:r w:rsidR="00C54976" w:rsidRPr="00FF4B17">
        <w:rPr>
          <w:rFonts w:asciiTheme="majorHAnsi" w:hAnsiTheme="majorHAnsi" w:cstheme="minorHAnsi"/>
        </w:rPr>
        <w:t xml:space="preserve"> del ROP</w:t>
      </w:r>
    </w:p>
    <w:p w14:paraId="778705F7" w14:textId="77777777" w:rsidR="00FF4B17" w:rsidRDefault="00353E05" w:rsidP="003C6E17">
      <w:pPr>
        <w:spacing w:after="0" w:line="240" w:lineRule="auto"/>
        <w:jc w:val="center"/>
        <w:rPr>
          <w:rFonts w:asciiTheme="majorHAnsi" w:hAnsiTheme="majorHAnsi" w:cstheme="minorHAnsi"/>
        </w:rPr>
      </w:pPr>
      <w:r>
        <w:rPr>
          <w:rFonts w:asciiTheme="majorHAnsi" w:hAnsiTheme="majorHAnsi" w:cstheme="minorHAnsi"/>
        </w:rPr>
        <w:t>A d</w:t>
      </w:r>
      <w:r w:rsidR="00FF4B17" w:rsidRPr="00FF4B17">
        <w:rPr>
          <w:rFonts w:asciiTheme="majorHAnsi" w:hAnsiTheme="majorHAnsi" w:cstheme="minorHAnsi"/>
        </w:rPr>
        <w:t>iciembre de cada año</w:t>
      </w:r>
    </w:p>
    <w:tbl>
      <w:tblPr>
        <w:tblW w:w="6521" w:type="dxa"/>
        <w:jc w:val="center"/>
        <w:tblCellMar>
          <w:left w:w="70" w:type="dxa"/>
          <w:right w:w="70" w:type="dxa"/>
        </w:tblCellMar>
        <w:tblLook w:val="04A0" w:firstRow="1" w:lastRow="0" w:firstColumn="1" w:lastColumn="0" w:noHBand="0" w:noVBand="1"/>
      </w:tblPr>
      <w:tblGrid>
        <w:gridCol w:w="709"/>
        <w:gridCol w:w="1559"/>
        <w:gridCol w:w="1422"/>
        <w:gridCol w:w="1413"/>
        <w:gridCol w:w="1418"/>
      </w:tblGrid>
      <w:tr w:rsidR="00746B98" w:rsidRPr="00746B98" w14:paraId="6367740D" w14:textId="77777777" w:rsidTr="00746B98">
        <w:trPr>
          <w:trHeight w:val="300"/>
          <w:jc w:val="center"/>
        </w:trPr>
        <w:tc>
          <w:tcPr>
            <w:tcW w:w="709" w:type="dxa"/>
            <w:vMerge w:val="restart"/>
            <w:tcBorders>
              <w:top w:val="single" w:sz="4" w:space="0" w:color="auto"/>
              <w:left w:val="nil"/>
              <w:bottom w:val="double" w:sz="6" w:space="0" w:color="000000"/>
              <w:right w:val="nil"/>
            </w:tcBorders>
            <w:shd w:val="clear" w:color="auto" w:fill="auto"/>
            <w:noWrap/>
            <w:vAlign w:val="center"/>
            <w:hideMark/>
          </w:tcPr>
          <w:p w14:paraId="4FA8905D"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Año</w:t>
            </w:r>
          </w:p>
        </w:tc>
        <w:tc>
          <w:tcPr>
            <w:tcW w:w="2981" w:type="dxa"/>
            <w:gridSpan w:val="2"/>
            <w:tcBorders>
              <w:top w:val="single" w:sz="4" w:space="0" w:color="auto"/>
              <w:left w:val="nil"/>
              <w:bottom w:val="nil"/>
              <w:right w:val="single" w:sz="4" w:space="0" w:color="auto"/>
            </w:tcBorders>
            <w:shd w:val="clear" w:color="auto" w:fill="auto"/>
            <w:noWrap/>
            <w:vAlign w:val="bottom"/>
            <w:hideMark/>
          </w:tcPr>
          <w:p w14:paraId="17E631DD"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Cantidad</w:t>
            </w:r>
          </w:p>
        </w:tc>
        <w:tc>
          <w:tcPr>
            <w:tcW w:w="2826" w:type="dxa"/>
            <w:gridSpan w:val="2"/>
            <w:tcBorders>
              <w:top w:val="single" w:sz="4" w:space="0" w:color="auto"/>
              <w:left w:val="single" w:sz="4" w:space="0" w:color="auto"/>
              <w:bottom w:val="nil"/>
              <w:right w:val="nil"/>
            </w:tcBorders>
            <w:shd w:val="clear" w:color="auto" w:fill="auto"/>
            <w:noWrap/>
            <w:vAlign w:val="bottom"/>
            <w:hideMark/>
          </w:tcPr>
          <w:p w14:paraId="49BC3798"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Monto en colones</w:t>
            </w:r>
          </w:p>
        </w:tc>
      </w:tr>
      <w:tr w:rsidR="00746B98" w:rsidRPr="00746B98" w14:paraId="65B29128" w14:textId="77777777" w:rsidTr="00746B98">
        <w:trPr>
          <w:trHeight w:val="315"/>
          <w:jc w:val="center"/>
        </w:trPr>
        <w:tc>
          <w:tcPr>
            <w:tcW w:w="709" w:type="dxa"/>
            <w:vMerge/>
            <w:tcBorders>
              <w:top w:val="single" w:sz="4" w:space="0" w:color="auto"/>
              <w:left w:val="nil"/>
              <w:bottom w:val="double" w:sz="6" w:space="0" w:color="000000"/>
              <w:right w:val="nil"/>
            </w:tcBorders>
            <w:vAlign w:val="center"/>
            <w:hideMark/>
          </w:tcPr>
          <w:p w14:paraId="4BDB5498" w14:textId="77777777" w:rsidR="00746B98" w:rsidRPr="00746B98" w:rsidRDefault="00746B98" w:rsidP="00746B98">
            <w:pPr>
              <w:spacing w:after="0" w:line="240" w:lineRule="auto"/>
              <w:rPr>
                <w:rFonts w:ascii="Cambria" w:eastAsia="Times New Roman" w:hAnsi="Cambria" w:cs="Calibri"/>
                <w:b/>
                <w:color w:val="000000"/>
                <w:lang w:val="es-CR" w:eastAsia="es-CR"/>
              </w:rPr>
            </w:pPr>
          </w:p>
        </w:tc>
        <w:tc>
          <w:tcPr>
            <w:tcW w:w="1559" w:type="dxa"/>
            <w:tcBorders>
              <w:top w:val="nil"/>
              <w:left w:val="nil"/>
              <w:bottom w:val="double" w:sz="6" w:space="0" w:color="auto"/>
              <w:right w:val="nil"/>
            </w:tcBorders>
            <w:shd w:val="clear" w:color="auto" w:fill="auto"/>
            <w:noWrap/>
            <w:vAlign w:val="bottom"/>
            <w:hideMark/>
          </w:tcPr>
          <w:p w14:paraId="73221985"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Retiro</w:t>
            </w:r>
          </w:p>
          <w:p w14:paraId="37302F54"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Programado</w:t>
            </w:r>
          </w:p>
        </w:tc>
        <w:tc>
          <w:tcPr>
            <w:tcW w:w="1422" w:type="dxa"/>
            <w:tcBorders>
              <w:top w:val="nil"/>
              <w:left w:val="nil"/>
              <w:bottom w:val="double" w:sz="6" w:space="0" w:color="auto"/>
              <w:right w:val="single" w:sz="4" w:space="0" w:color="auto"/>
            </w:tcBorders>
            <w:shd w:val="clear" w:color="auto" w:fill="auto"/>
            <w:noWrap/>
            <w:vAlign w:val="bottom"/>
            <w:hideMark/>
          </w:tcPr>
          <w:p w14:paraId="65AD195D"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Renta</w:t>
            </w:r>
          </w:p>
          <w:p w14:paraId="694B9A9C"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Permanente</w:t>
            </w:r>
          </w:p>
        </w:tc>
        <w:tc>
          <w:tcPr>
            <w:tcW w:w="1413" w:type="dxa"/>
            <w:tcBorders>
              <w:top w:val="nil"/>
              <w:left w:val="single" w:sz="4" w:space="0" w:color="auto"/>
              <w:bottom w:val="double" w:sz="6" w:space="0" w:color="auto"/>
              <w:right w:val="nil"/>
            </w:tcBorders>
            <w:shd w:val="clear" w:color="auto" w:fill="auto"/>
            <w:noWrap/>
            <w:vAlign w:val="bottom"/>
            <w:hideMark/>
          </w:tcPr>
          <w:p w14:paraId="5726F456"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Retiro</w:t>
            </w:r>
          </w:p>
          <w:p w14:paraId="13AAAD27"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Programado</w:t>
            </w:r>
          </w:p>
        </w:tc>
        <w:tc>
          <w:tcPr>
            <w:tcW w:w="1418" w:type="dxa"/>
            <w:tcBorders>
              <w:top w:val="nil"/>
              <w:left w:val="nil"/>
              <w:bottom w:val="double" w:sz="6" w:space="0" w:color="auto"/>
              <w:right w:val="nil"/>
            </w:tcBorders>
            <w:shd w:val="clear" w:color="auto" w:fill="auto"/>
            <w:noWrap/>
            <w:vAlign w:val="bottom"/>
            <w:hideMark/>
          </w:tcPr>
          <w:p w14:paraId="2E164071"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Renta</w:t>
            </w:r>
          </w:p>
          <w:p w14:paraId="5FCA8ABF" w14:textId="77777777" w:rsidR="00746B98" w:rsidRPr="00746B98" w:rsidRDefault="00746B98" w:rsidP="00746B98">
            <w:pPr>
              <w:spacing w:after="0" w:line="240" w:lineRule="auto"/>
              <w:jc w:val="center"/>
              <w:rPr>
                <w:rFonts w:ascii="Cambria" w:eastAsia="Times New Roman" w:hAnsi="Cambria" w:cs="Calibri"/>
                <w:b/>
                <w:color w:val="000000"/>
                <w:lang w:val="es-CR" w:eastAsia="es-CR"/>
              </w:rPr>
            </w:pPr>
            <w:r w:rsidRPr="00746B98">
              <w:rPr>
                <w:rFonts w:ascii="Cambria" w:eastAsia="Times New Roman" w:hAnsi="Cambria" w:cs="Calibri"/>
                <w:b/>
                <w:color w:val="000000"/>
                <w:lang w:val="es-CR" w:eastAsia="es-CR"/>
              </w:rPr>
              <w:t>Permanente</w:t>
            </w:r>
          </w:p>
        </w:tc>
      </w:tr>
      <w:tr w:rsidR="00746B98" w:rsidRPr="00746B98" w14:paraId="6E8C2E31" w14:textId="77777777" w:rsidTr="00746B98">
        <w:trPr>
          <w:trHeight w:val="315"/>
          <w:jc w:val="center"/>
        </w:trPr>
        <w:tc>
          <w:tcPr>
            <w:tcW w:w="709" w:type="dxa"/>
            <w:tcBorders>
              <w:top w:val="nil"/>
              <w:left w:val="nil"/>
              <w:bottom w:val="nil"/>
              <w:right w:val="nil"/>
            </w:tcBorders>
            <w:shd w:val="clear" w:color="auto" w:fill="auto"/>
            <w:noWrap/>
            <w:vAlign w:val="bottom"/>
            <w:hideMark/>
          </w:tcPr>
          <w:p w14:paraId="0203A2DC"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2010</w:t>
            </w:r>
          </w:p>
        </w:tc>
        <w:tc>
          <w:tcPr>
            <w:tcW w:w="1559" w:type="dxa"/>
            <w:tcBorders>
              <w:top w:val="nil"/>
              <w:left w:val="nil"/>
              <w:bottom w:val="nil"/>
              <w:right w:val="nil"/>
            </w:tcBorders>
            <w:shd w:val="clear" w:color="auto" w:fill="auto"/>
            <w:noWrap/>
            <w:vAlign w:val="bottom"/>
            <w:hideMark/>
          </w:tcPr>
          <w:p w14:paraId="18F999B5"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w:t>
            </w:r>
          </w:p>
        </w:tc>
        <w:tc>
          <w:tcPr>
            <w:tcW w:w="1422" w:type="dxa"/>
            <w:tcBorders>
              <w:top w:val="nil"/>
              <w:left w:val="nil"/>
              <w:bottom w:val="nil"/>
              <w:right w:val="single" w:sz="4" w:space="0" w:color="auto"/>
            </w:tcBorders>
            <w:shd w:val="clear" w:color="auto" w:fill="auto"/>
            <w:noWrap/>
            <w:vAlign w:val="bottom"/>
            <w:hideMark/>
          </w:tcPr>
          <w:p w14:paraId="7144751B"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w:t>
            </w:r>
          </w:p>
        </w:tc>
        <w:tc>
          <w:tcPr>
            <w:tcW w:w="1413" w:type="dxa"/>
            <w:tcBorders>
              <w:top w:val="nil"/>
              <w:left w:val="single" w:sz="4" w:space="0" w:color="auto"/>
              <w:bottom w:val="nil"/>
              <w:right w:val="nil"/>
            </w:tcBorders>
            <w:shd w:val="clear" w:color="auto" w:fill="auto"/>
            <w:noWrap/>
            <w:vAlign w:val="bottom"/>
            <w:hideMark/>
          </w:tcPr>
          <w:p w14:paraId="0CA2FEF2" w14:textId="77777777" w:rsidR="00746B98" w:rsidRPr="00746B98" w:rsidRDefault="002079A7" w:rsidP="00746B98">
            <w:pPr>
              <w:spacing w:after="0" w:line="240" w:lineRule="auto"/>
              <w:jc w:val="right"/>
              <w:rPr>
                <w:rFonts w:ascii="Cambria" w:eastAsia="Times New Roman" w:hAnsi="Cambria" w:cs="Calibri"/>
                <w:color w:val="000000"/>
                <w:lang w:val="es-CR" w:eastAsia="es-CR"/>
              </w:rPr>
            </w:pPr>
            <w:r w:rsidRPr="002079A7">
              <w:rPr>
                <w:rFonts w:ascii="Cambria" w:eastAsia="Times New Roman" w:hAnsi="Cambria" w:cs="Calibri"/>
                <w:color w:val="000000"/>
                <w:lang w:val="es-CR" w:eastAsia="es-CR"/>
              </w:rPr>
              <w:t>13 838</w:t>
            </w:r>
          </w:p>
        </w:tc>
        <w:tc>
          <w:tcPr>
            <w:tcW w:w="1418" w:type="dxa"/>
            <w:tcBorders>
              <w:top w:val="nil"/>
              <w:left w:val="nil"/>
              <w:bottom w:val="nil"/>
              <w:right w:val="nil"/>
            </w:tcBorders>
            <w:shd w:val="clear" w:color="auto" w:fill="auto"/>
            <w:noWrap/>
            <w:vAlign w:val="bottom"/>
            <w:hideMark/>
          </w:tcPr>
          <w:p w14:paraId="22819AE0" w14:textId="77777777" w:rsidR="00746B98" w:rsidRPr="00746B98" w:rsidRDefault="002079A7" w:rsidP="00746B98">
            <w:pPr>
              <w:spacing w:after="0" w:line="240" w:lineRule="auto"/>
              <w:jc w:val="right"/>
              <w:rPr>
                <w:rFonts w:ascii="Times New Roman" w:eastAsia="Times New Roman" w:hAnsi="Times New Roman" w:cs="Times New Roman"/>
                <w:sz w:val="20"/>
                <w:szCs w:val="20"/>
                <w:lang w:val="es-CR" w:eastAsia="es-CR"/>
              </w:rPr>
            </w:pPr>
            <w:r w:rsidRPr="002079A7">
              <w:rPr>
                <w:rFonts w:ascii="Cambria" w:eastAsia="Times New Roman" w:hAnsi="Cambria" w:cs="Calibri"/>
                <w:color w:val="000000"/>
                <w:lang w:val="es-CR" w:eastAsia="es-CR"/>
              </w:rPr>
              <w:t>53 011</w:t>
            </w:r>
          </w:p>
        </w:tc>
      </w:tr>
      <w:tr w:rsidR="00746B98" w:rsidRPr="00746B98" w14:paraId="110CB851" w14:textId="77777777" w:rsidTr="00746B98">
        <w:trPr>
          <w:trHeight w:val="300"/>
          <w:jc w:val="center"/>
        </w:trPr>
        <w:tc>
          <w:tcPr>
            <w:tcW w:w="709" w:type="dxa"/>
            <w:tcBorders>
              <w:top w:val="nil"/>
              <w:left w:val="nil"/>
              <w:bottom w:val="nil"/>
              <w:right w:val="nil"/>
            </w:tcBorders>
            <w:shd w:val="clear" w:color="auto" w:fill="auto"/>
            <w:noWrap/>
            <w:vAlign w:val="bottom"/>
            <w:hideMark/>
          </w:tcPr>
          <w:p w14:paraId="31325663"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2011</w:t>
            </w:r>
          </w:p>
        </w:tc>
        <w:tc>
          <w:tcPr>
            <w:tcW w:w="1559" w:type="dxa"/>
            <w:tcBorders>
              <w:top w:val="nil"/>
              <w:left w:val="nil"/>
              <w:bottom w:val="nil"/>
              <w:right w:val="nil"/>
            </w:tcBorders>
            <w:shd w:val="clear" w:color="auto" w:fill="auto"/>
            <w:noWrap/>
            <w:vAlign w:val="bottom"/>
            <w:hideMark/>
          </w:tcPr>
          <w:p w14:paraId="44B0A208"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8</w:t>
            </w:r>
          </w:p>
        </w:tc>
        <w:tc>
          <w:tcPr>
            <w:tcW w:w="1422" w:type="dxa"/>
            <w:tcBorders>
              <w:top w:val="nil"/>
              <w:left w:val="nil"/>
              <w:bottom w:val="nil"/>
              <w:right w:val="single" w:sz="4" w:space="0" w:color="auto"/>
            </w:tcBorders>
            <w:shd w:val="clear" w:color="auto" w:fill="auto"/>
            <w:noWrap/>
            <w:vAlign w:val="bottom"/>
            <w:hideMark/>
          </w:tcPr>
          <w:p w14:paraId="2598DEE6"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4</w:t>
            </w:r>
          </w:p>
        </w:tc>
        <w:tc>
          <w:tcPr>
            <w:tcW w:w="1413" w:type="dxa"/>
            <w:tcBorders>
              <w:top w:val="nil"/>
              <w:left w:val="single" w:sz="4" w:space="0" w:color="auto"/>
              <w:bottom w:val="nil"/>
              <w:right w:val="nil"/>
            </w:tcBorders>
            <w:shd w:val="clear" w:color="auto" w:fill="auto"/>
            <w:noWrap/>
            <w:vAlign w:val="bottom"/>
            <w:hideMark/>
          </w:tcPr>
          <w:p w14:paraId="0F11C453"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529</w:t>
            </w:r>
          </w:p>
        </w:tc>
        <w:tc>
          <w:tcPr>
            <w:tcW w:w="1418" w:type="dxa"/>
            <w:tcBorders>
              <w:top w:val="nil"/>
              <w:left w:val="nil"/>
              <w:bottom w:val="nil"/>
              <w:right w:val="nil"/>
            </w:tcBorders>
            <w:shd w:val="clear" w:color="auto" w:fill="auto"/>
            <w:noWrap/>
            <w:vAlign w:val="bottom"/>
            <w:hideMark/>
          </w:tcPr>
          <w:p w14:paraId="70A9E465"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206</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298</w:t>
            </w:r>
          </w:p>
        </w:tc>
      </w:tr>
      <w:tr w:rsidR="00746B98" w:rsidRPr="00746B98" w14:paraId="727A5D7A" w14:textId="77777777" w:rsidTr="00746B98">
        <w:trPr>
          <w:trHeight w:val="300"/>
          <w:jc w:val="center"/>
        </w:trPr>
        <w:tc>
          <w:tcPr>
            <w:tcW w:w="709" w:type="dxa"/>
            <w:tcBorders>
              <w:top w:val="nil"/>
              <w:left w:val="nil"/>
              <w:bottom w:val="nil"/>
              <w:right w:val="nil"/>
            </w:tcBorders>
            <w:shd w:val="clear" w:color="auto" w:fill="auto"/>
            <w:noWrap/>
            <w:vAlign w:val="bottom"/>
            <w:hideMark/>
          </w:tcPr>
          <w:p w14:paraId="722A85A9"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2012</w:t>
            </w:r>
          </w:p>
        </w:tc>
        <w:tc>
          <w:tcPr>
            <w:tcW w:w="1559" w:type="dxa"/>
            <w:tcBorders>
              <w:top w:val="nil"/>
              <w:left w:val="nil"/>
              <w:bottom w:val="nil"/>
              <w:right w:val="nil"/>
            </w:tcBorders>
            <w:shd w:val="clear" w:color="auto" w:fill="auto"/>
            <w:noWrap/>
            <w:vAlign w:val="bottom"/>
            <w:hideMark/>
          </w:tcPr>
          <w:p w14:paraId="1D8EB8EE"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24</w:t>
            </w:r>
          </w:p>
        </w:tc>
        <w:tc>
          <w:tcPr>
            <w:tcW w:w="1422" w:type="dxa"/>
            <w:tcBorders>
              <w:top w:val="nil"/>
              <w:left w:val="nil"/>
              <w:bottom w:val="nil"/>
              <w:right w:val="single" w:sz="4" w:space="0" w:color="auto"/>
            </w:tcBorders>
            <w:shd w:val="clear" w:color="auto" w:fill="auto"/>
            <w:noWrap/>
            <w:vAlign w:val="bottom"/>
            <w:hideMark/>
          </w:tcPr>
          <w:p w14:paraId="2B2B7304"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9</w:t>
            </w:r>
          </w:p>
        </w:tc>
        <w:tc>
          <w:tcPr>
            <w:tcW w:w="1413" w:type="dxa"/>
            <w:tcBorders>
              <w:top w:val="nil"/>
              <w:left w:val="single" w:sz="4" w:space="0" w:color="auto"/>
              <w:bottom w:val="nil"/>
              <w:right w:val="nil"/>
            </w:tcBorders>
            <w:shd w:val="clear" w:color="auto" w:fill="auto"/>
            <w:noWrap/>
            <w:vAlign w:val="bottom"/>
            <w:hideMark/>
          </w:tcPr>
          <w:p w14:paraId="392E09DF"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40</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842</w:t>
            </w:r>
          </w:p>
        </w:tc>
        <w:tc>
          <w:tcPr>
            <w:tcW w:w="1418" w:type="dxa"/>
            <w:tcBorders>
              <w:top w:val="nil"/>
              <w:left w:val="nil"/>
              <w:bottom w:val="nil"/>
              <w:right w:val="nil"/>
            </w:tcBorders>
            <w:shd w:val="clear" w:color="auto" w:fill="auto"/>
            <w:noWrap/>
            <w:vAlign w:val="bottom"/>
            <w:hideMark/>
          </w:tcPr>
          <w:p w14:paraId="375FDCD0"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95</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254</w:t>
            </w:r>
          </w:p>
        </w:tc>
      </w:tr>
      <w:tr w:rsidR="00746B98" w:rsidRPr="00746B98" w14:paraId="149AC4E7" w14:textId="77777777" w:rsidTr="00746B98">
        <w:trPr>
          <w:trHeight w:val="300"/>
          <w:jc w:val="center"/>
        </w:trPr>
        <w:tc>
          <w:tcPr>
            <w:tcW w:w="709" w:type="dxa"/>
            <w:tcBorders>
              <w:top w:val="nil"/>
              <w:left w:val="nil"/>
              <w:bottom w:val="nil"/>
              <w:right w:val="nil"/>
            </w:tcBorders>
            <w:shd w:val="clear" w:color="auto" w:fill="auto"/>
            <w:noWrap/>
            <w:vAlign w:val="bottom"/>
            <w:hideMark/>
          </w:tcPr>
          <w:p w14:paraId="012E42A5"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2013</w:t>
            </w:r>
          </w:p>
        </w:tc>
        <w:tc>
          <w:tcPr>
            <w:tcW w:w="1559" w:type="dxa"/>
            <w:tcBorders>
              <w:top w:val="nil"/>
              <w:left w:val="nil"/>
              <w:bottom w:val="nil"/>
              <w:right w:val="nil"/>
            </w:tcBorders>
            <w:shd w:val="clear" w:color="auto" w:fill="auto"/>
            <w:noWrap/>
            <w:vAlign w:val="bottom"/>
            <w:hideMark/>
          </w:tcPr>
          <w:p w14:paraId="43A19E73"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66</w:t>
            </w:r>
          </w:p>
        </w:tc>
        <w:tc>
          <w:tcPr>
            <w:tcW w:w="1422" w:type="dxa"/>
            <w:tcBorders>
              <w:top w:val="nil"/>
              <w:left w:val="nil"/>
              <w:bottom w:val="nil"/>
              <w:right w:val="single" w:sz="4" w:space="0" w:color="auto"/>
            </w:tcBorders>
            <w:shd w:val="clear" w:color="auto" w:fill="auto"/>
            <w:noWrap/>
            <w:vAlign w:val="bottom"/>
            <w:hideMark/>
          </w:tcPr>
          <w:p w14:paraId="43F02807"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79</w:t>
            </w:r>
          </w:p>
        </w:tc>
        <w:tc>
          <w:tcPr>
            <w:tcW w:w="1413" w:type="dxa"/>
            <w:tcBorders>
              <w:top w:val="nil"/>
              <w:left w:val="single" w:sz="4" w:space="0" w:color="auto"/>
              <w:bottom w:val="nil"/>
              <w:right w:val="nil"/>
            </w:tcBorders>
            <w:shd w:val="clear" w:color="auto" w:fill="auto"/>
            <w:noWrap/>
            <w:vAlign w:val="bottom"/>
            <w:hideMark/>
          </w:tcPr>
          <w:p w14:paraId="0D954EBE"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58</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425</w:t>
            </w:r>
          </w:p>
        </w:tc>
        <w:tc>
          <w:tcPr>
            <w:tcW w:w="1418" w:type="dxa"/>
            <w:tcBorders>
              <w:top w:val="nil"/>
              <w:left w:val="nil"/>
              <w:bottom w:val="nil"/>
              <w:right w:val="nil"/>
            </w:tcBorders>
            <w:shd w:val="clear" w:color="auto" w:fill="auto"/>
            <w:noWrap/>
            <w:vAlign w:val="bottom"/>
            <w:hideMark/>
          </w:tcPr>
          <w:p w14:paraId="2B8E49D1"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144</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143</w:t>
            </w:r>
          </w:p>
        </w:tc>
      </w:tr>
      <w:tr w:rsidR="00746B98" w:rsidRPr="00746B98" w14:paraId="700041C3" w14:textId="77777777" w:rsidTr="00746B98">
        <w:trPr>
          <w:trHeight w:val="300"/>
          <w:jc w:val="center"/>
        </w:trPr>
        <w:tc>
          <w:tcPr>
            <w:tcW w:w="709" w:type="dxa"/>
            <w:tcBorders>
              <w:top w:val="nil"/>
              <w:left w:val="nil"/>
              <w:bottom w:val="nil"/>
              <w:right w:val="nil"/>
            </w:tcBorders>
            <w:shd w:val="clear" w:color="auto" w:fill="auto"/>
            <w:noWrap/>
            <w:vAlign w:val="bottom"/>
            <w:hideMark/>
          </w:tcPr>
          <w:p w14:paraId="705973C2"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2014</w:t>
            </w:r>
          </w:p>
        </w:tc>
        <w:tc>
          <w:tcPr>
            <w:tcW w:w="1559" w:type="dxa"/>
            <w:tcBorders>
              <w:top w:val="nil"/>
              <w:left w:val="nil"/>
              <w:bottom w:val="nil"/>
              <w:right w:val="nil"/>
            </w:tcBorders>
            <w:shd w:val="clear" w:color="auto" w:fill="auto"/>
            <w:noWrap/>
            <w:vAlign w:val="bottom"/>
            <w:hideMark/>
          </w:tcPr>
          <w:p w14:paraId="1126CF53"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231</w:t>
            </w:r>
          </w:p>
        </w:tc>
        <w:tc>
          <w:tcPr>
            <w:tcW w:w="1422" w:type="dxa"/>
            <w:tcBorders>
              <w:top w:val="nil"/>
              <w:left w:val="nil"/>
              <w:bottom w:val="nil"/>
              <w:right w:val="single" w:sz="4" w:space="0" w:color="auto"/>
            </w:tcBorders>
            <w:shd w:val="clear" w:color="auto" w:fill="auto"/>
            <w:noWrap/>
            <w:vAlign w:val="bottom"/>
            <w:hideMark/>
          </w:tcPr>
          <w:p w14:paraId="1D66412A"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127</w:t>
            </w:r>
          </w:p>
        </w:tc>
        <w:tc>
          <w:tcPr>
            <w:tcW w:w="1413" w:type="dxa"/>
            <w:tcBorders>
              <w:top w:val="nil"/>
              <w:left w:val="single" w:sz="4" w:space="0" w:color="auto"/>
              <w:bottom w:val="nil"/>
              <w:right w:val="nil"/>
            </w:tcBorders>
            <w:shd w:val="clear" w:color="auto" w:fill="auto"/>
            <w:noWrap/>
            <w:vAlign w:val="bottom"/>
            <w:hideMark/>
          </w:tcPr>
          <w:p w14:paraId="611ACF36"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76</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469</w:t>
            </w:r>
          </w:p>
        </w:tc>
        <w:tc>
          <w:tcPr>
            <w:tcW w:w="1418" w:type="dxa"/>
            <w:tcBorders>
              <w:top w:val="nil"/>
              <w:left w:val="nil"/>
              <w:bottom w:val="nil"/>
              <w:right w:val="nil"/>
            </w:tcBorders>
            <w:shd w:val="clear" w:color="auto" w:fill="auto"/>
            <w:noWrap/>
            <w:vAlign w:val="bottom"/>
            <w:hideMark/>
          </w:tcPr>
          <w:p w14:paraId="584CA84C"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79</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792</w:t>
            </w:r>
          </w:p>
        </w:tc>
      </w:tr>
      <w:tr w:rsidR="00746B98" w:rsidRPr="00746B98" w14:paraId="70CD2338" w14:textId="77777777" w:rsidTr="00746B98">
        <w:trPr>
          <w:trHeight w:val="300"/>
          <w:jc w:val="center"/>
        </w:trPr>
        <w:tc>
          <w:tcPr>
            <w:tcW w:w="709" w:type="dxa"/>
            <w:tcBorders>
              <w:top w:val="nil"/>
              <w:left w:val="nil"/>
              <w:bottom w:val="nil"/>
              <w:right w:val="nil"/>
            </w:tcBorders>
            <w:shd w:val="clear" w:color="auto" w:fill="auto"/>
            <w:noWrap/>
            <w:vAlign w:val="bottom"/>
            <w:hideMark/>
          </w:tcPr>
          <w:p w14:paraId="4CBDB531"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2015</w:t>
            </w:r>
          </w:p>
        </w:tc>
        <w:tc>
          <w:tcPr>
            <w:tcW w:w="1559" w:type="dxa"/>
            <w:tcBorders>
              <w:top w:val="nil"/>
              <w:left w:val="nil"/>
              <w:bottom w:val="nil"/>
              <w:right w:val="nil"/>
            </w:tcBorders>
            <w:shd w:val="clear" w:color="auto" w:fill="auto"/>
            <w:noWrap/>
            <w:vAlign w:val="bottom"/>
            <w:hideMark/>
          </w:tcPr>
          <w:p w14:paraId="529FA3A5"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390</w:t>
            </w:r>
          </w:p>
        </w:tc>
        <w:tc>
          <w:tcPr>
            <w:tcW w:w="1422" w:type="dxa"/>
            <w:tcBorders>
              <w:top w:val="nil"/>
              <w:left w:val="nil"/>
              <w:bottom w:val="nil"/>
              <w:right w:val="single" w:sz="4" w:space="0" w:color="auto"/>
            </w:tcBorders>
            <w:shd w:val="clear" w:color="auto" w:fill="auto"/>
            <w:noWrap/>
            <w:vAlign w:val="bottom"/>
            <w:hideMark/>
          </w:tcPr>
          <w:p w14:paraId="42011925"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333</w:t>
            </w:r>
          </w:p>
        </w:tc>
        <w:tc>
          <w:tcPr>
            <w:tcW w:w="1413" w:type="dxa"/>
            <w:tcBorders>
              <w:top w:val="nil"/>
              <w:left w:val="single" w:sz="4" w:space="0" w:color="auto"/>
              <w:bottom w:val="nil"/>
              <w:right w:val="nil"/>
            </w:tcBorders>
            <w:shd w:val="clear" w:color="auto" w:fill="auto"/>
            <w:noWrap/>
            <w:vAlign w:val="bottom"/>
            <w:hideMark/>
          </w:tcPr>
          <w:p w14:paraId="5E24E6DA"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80</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070</w:t>
            </w:r>
          </w:p>
        </w:tc>
        <w:tc>
          <w:tcPr>
            <w:tcW w:w="1418" w:type="dxa"/>
            <w:tcBorders>
              <w:top w:val="nil"/>
              <w:left w:val="nil"/>
              <w:bottom w:val="nil"/>
              <w:right w:val="nil"/>
            </w:tcBorders>
            <w:shd w:val="clear" w:color="auto" w:fill="auto"/>
            <w:noWrap/>
            <w:vAlign w:val="bottom"/>
            <w:hideMark/>
          </w:tcPr>
          <w:p w14:paraId="1601FFFE"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101</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886</w:t>
            </w:r>
          </w:p>
        </w:tc>
      </w:tr>
      <w:tr w:rsidR="00746B98" w:rsidRPr="00746B98" w14:paraId="6309530A" w14:textId="77777777" w:rsidTr="00746B98">
        <w:trPr>
          <w:trHeight w:val="300"/>
          <w:jc w:val="center"/>
        </w:trPr>
        <w:tc>
          <w:tcPr>
            <w:tcW w:w="709" w:type="dxa"/>
            <w:tcBorders>
              <w:top w:val="nil"/>
              <w:left w:val="nil"/>
              <w:bottom w:val="nil"/>
              <w:right w:val="nil"/>
            </w:tcBorders>
            <w:shd w:val="clear" w:color="auto" w:fill="auto"/>
            <w:noWrap/>
            <w:vAlign w:val="bottom"/>
            <w:hideMark/>
          </w:tcPr>
          <w:p w14:paraId="263707DC"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2016</w:t>
            </w:r>
          </w:p>
        </w:tc>
        <w:tc>
          <w:tcPr>
            <w:tcW w:w="1559" w:type="dxa"/>
            <w:tcBorders>
              <w:top w:val="nil"/>
              <w:left w:val="nil"/>
              <w:bottom w:val="nil"/>
              <w:right w:val="nil"/>
            </w:tcBorders>
            <w:shd w:val="clear" w:color="auto" w:fill="auto"/>
            <w:noWrap/>
            <w:vAlign w:val="bottom"/>
            <w:hideMark/>
          </w:tcPr>
          <w:p w14:paraId="3B579027"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567</w:t>
            </w:r>
          </w:p>
        </w:tc>
        <w:tc>
          <w:tcPr>
            <w:tcW w:w="1422" w:type="dxa"/>
            <w:tcBorders>
              <w:top w:val="nil"/>
              <w:left w:val="nil"/>
              <w:bottom w:val="nil"/>
              <w:right w:val="single" w:sz="4" w:space="0" w:color="auto"/>
            </w:tcBorders>
            <w:shd w:val="clear" w:color="auto" w:fill="auto"/>
            <w:noWrap/>
            <w:vAlign w:val="bottom"/>
            <w:hideMark/>
          </w:tcPr>
          <w:p w14:paraId="59723276"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984</w:t>
            </w:r>
          </w:p>
        </w:tc>
        <w:tc>
          <w:tcPr>
            <w:tcW w:w="1413" w:type="dxa"/>
            <w:tcBorders>
              <w:top w:val="nil"/>
              <w:left w:val="single" w:sz="4" w:space="0" w:color="auto"/>
              <w:bottom w:val="nil"/>
              <w:right w:val="nil"/>
            </w:tcBorders>
            <w:shd w:val="clear" w:color="auto" w:fill="auto"/>
            <w:noWrap/>
            <w:vAlign w:val="bottom"/>
            <w:hideMark/>
          </w:tcPr>
          <w:p w14:paraId="3C965992"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76</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872</w:t>
            </w:r>
          </w:p>
        </w:tc>
        <w:tc>
          <w:tcPr>
            <w:tcW w:w="1418" w:type="dxa"/>
            <w:tcBorders>
              <w:top w:val="nil"/>
              <w:left w:val="nil"/>
              <w:bottom w:val="nil"/>
              <w:right w:val="nil"/>
            </w:tcBorders>
            <w:shd w:val="clear" w:color="auto" w:fill="auto"/>
            <w:noWrap/>
            <w:vAlign w:val="bottom"/>
            <w:hideMark/>
          </w:tcPr>
          <w:p w14:paraId="1ACC7A2B"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93</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073</w:t>
            </w:r>
          </w:p>
        </w:tc>
      </w:tr>
      <w:tr w:rsidR="00746B98" w:rsidRPr="00746B98" w14:paraId="6B41A4A0" w14:textId="77777777" w:rsidTr="00746B98">
        <w:trPr>
          <w:trHeight w:val="300"/>
          <w:jc w:val="center"/>
        </w:trPr>
        <w:tc>
          <w:tcPr>
            <w:tcW w:w="709" w:type="dxa"/>
            <w:tcBorders>
              <w:top w:val="nil"/>
              <w:left w:val="nil"/>
              <w:bottom w:val="nil"/>
              <w:right w:val="nil"/>
            </w:tcBorders>
            <w:shd w:val="clear" w:color="auto" w:fill="auto"/>
            <w:noWrap/>
            <w:vAlign w:val="bottom"/>
            <w:hideMark/>
          </w:tcPr>
          <w:p w14:paraId="5428B5ED"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2017</w:t>
            </w:r>
          </w:p>
        </w:tc>
        <w:tc>
          <w:tcPr>
            <w:tcW w:w="1559" w:type="dxa"/>
            <w:tcBorders>
              <w:top w:val="nil"/>
              <w:left w:val="nil"/>
              <w:bottom w:val="nil"/>
              <w:right w:val="nil"/>
            </w:tcBorders>
            <w:shd w:val="clear" w:color="auto" w:fill="auto"/>
            <w:noWrap/>
            <w:vAlign w:val="bottom"/>
            <w:hideMark/>
          </w:tcPr>
          <w:p w14:paraId="520E2D64"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1</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449</w:t>
            </w:r>
          </w:p>
        </w:tc>
        <w:tc>
          <w:tcPr>
            <w:tcW w:w="1422" w:type="dxa"/>
            <w:tcBorders>
              <w:top w:val="nil"/>
              <w:left w:val="nil"/>
              <w:bottom w:val="nil"/>
              <w:right w:val="single" w:sz="4" w:space="0" w:color="auto"/>
            </w:tcBorders>
            <w:shd w:val="clear" w:color="auto" w:fill="auto"/>
            <w:noWrap/>
            <w:vAlign w:val="bottom"/>
            <w:hideMark/>
          </w:tcPr>
          <w:p w14:paraId="2F4C4679"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1</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524</w:t>
            </w:r>
          </w:p>
        </w:tc>
        <w:tc>
          <w:tcPr>
            <w:tcW w:w="1413" w:type="dxa"/>
            <w:tcBorders>
              <w:top w:val="nil"/>
              <w:left w:val="single" w:sz="4" w:space="0" w:color="auto"/>
              <w:bottom w:val="nil"/>
              <w:right w:val="nil"/>
            </w:tcBorders>
            <w:shd w:val="clear" w:color="auto" w:fill="auto"/>
            <w:noWrap/>
            <w:vAlign w:val="bottom"/>
            <w:hideMark/>
          </w:tcPr>
          <w:p w14:paraId="1A9176B9"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69</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416</w:t>
            </w:r>
          </w:p>
        </w:tc>
        <w:tc>
          <w:tcPr>
            <w:tcW w:w="1418" w:type="dxa"/>
            <w:tcBorders>
              <w:top w:val="nil"/>
              <w:left w:val="nil"/>
              <w:bottom w:val="nil"/>
              <w:right w:val="nil"/>
            </w:tcBorders>
            <w:shd w:val="clear" w:color="auto" w:fill="auto"/>
            <w:noWrap/>
            <w:vAlign w:val="bottom"/>
            <w:hideMark/>
          </w:tcPr>
          <w:p w14:paraId="4D3836E6"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66</w:t>
            </w:r>
            <w:r>
              <w:rPr>
                <w:rFonts w:ascii="Cambria" w:eastAsia="Times New Roman" w:hAnsi="Cambria" w:cs="Calibri"/>
                <w:color w:val="000000"/>
                <w:lang w:val="es-CR" w:eastAsia="es-CR"/>
              </w:rPr>
              <w:t xml:space="preserve"> </w:t>
            </w:r>
            <w:r w:rsidRPr="00746B98">
              <w:rPr>
                <w:rFonts w:ascii="Cambria" w:eastAsia="Times New Roman" w:hAnsi="Cambria" w:cs="Calibri"/>
                <w:color w:val="000000"/>
                <w:lang w:val="es-CR" w:eastAsia="es-CR"/>
              </w:rPr>
              <w:t>376</w:t>
            </w:r>
          </w:p>
        </w:tc>
      </w:tr>
      <w:tr w:rsidR="00746B98" w:rsidRPr="00746B98" w14:paraId="6A3D9A5B" w14:textId="77777777" w:rsidTr="00746B98">
        <w:trPr>
          <w:trHeight w:val="300"/>
          <w:jc w:val="center"/>
        </w:trPr>
        <w:tc>
          <w:tcPr>
            <w:tcW w:w="709" w:type="dxa"/>
            <w:tcBorders>
              <w:top w:val="nil"/>
              <w:left w:val="nil"/>
              <w:bottom w:val="single" w:sz="4" w:space="0" w:color="auto"/>
              <w:right w:val="nil"/>
            </w:tcBorders>
            <w:shd w:val="clear" w:color="auto" w:fill="auto"/>
            <w:noWrap/>
            <w:vAlign w:val="bottom"/>
            <w:hideMark/>
          </w:tcPr>
          <w:p w14:paraId="17754A79" w14:textId="77777777" w:rsidR="00746B98" w:rsidRPr="00746B98" w:rsidRDefault="00746B98" w:rsidP="00746B98">
            <w:pPr>
              <w:spacing w:after="0" w:line="240" w:lineRule="auto"/>
              <w:jc w:val="right"/>
              <w:rPr>
                <w:rFonts w:ascii="Cambria" w:eastAsia="Times New Roman" w:hAnsi="Cambria" w:cs="Calibri"/>
                <w:color w:val="000000"/>
                <w:lang w:val="es-CR" w:eastAsia="es-CR"/>
              </w:rPr>
            </w:pPr>
            <w:r w:rsidRPr="00746B98">
              <w:rPr>
                <w:rFonts w:ascii="Cambria" w:eastAsia="Times New Roman" w:hAnsi="Cambria" w:cs="Calibri"/>
                <w:color w:val="000000"/>
                <w:lang w:val="es-CR" w:eastAsia="es-CR"/>
              </w:rPr>
              <w:t>2018</w:t>
            </w:r>
          </w:p>
        </w:tc>
        <w:tc>
          <w:tcPr>
            <w:tcW w:w="1559" w:type="dxa"/>
            <w:tcBorders>
              <w:top w:val="nil"/>
              <w:left w:val="nil"/>
              <w:bottom w:val="single" w:sz="4" w:space="0" w:color="auto"/>
              <w:right w:val="nil"/>
            </w:tcBorders>
            <w:shd w:val="clear" w:color="auto" w:fill="auto"/>
            <w:noWrap/>
            <w:vAlign w:val="bottom"/>
            <w:hideMark/>
          </w:tcPr>
          <w:p w14:paraId="41469A84" w14:textId="77777777" w:rsidR="00746B98" w:rsidRPr="00746B98" w:rsidRDefault="00746B98" w:rsidP="00746B98">
            <w:pPr>
              <w:spacing w:after="0" w:line="240" w:lineRule="auto"/>
              <w:jc w:val="right"/>
              <w:rPr>
                <w:rFonts w:ascii="Cambria" w:eastAsia="Times New Roman" w:hAnsi="Cambria" w:cs="Calibri"/>
                <w:lang w:val="es-CR" w:eastAsia="es-CR"/>
              </w:rPr>
            </w:pPr>
            <w:r w:rsidRPr="00746B98">
              <w:rPr>
                <w:rFonts w:ascii="Cambria" w:eastAsia="Times New Roman" w:hAnsi="Cambria" w:cs="Calibri"/>
                <w:lang w:val="es-CR" w:eastAsia="es-CR"/>
              </w:rPr>
              <w:t>3</w:t>
            </w:r>
            <w:r>
              <w:rPr>
                <w:rFonts w:ascii="Cambria" w:eastAsia="Times New Roman" w:hAnsi="Cambria" w:cs="Calibri"/>
                <w:lang w:val="es-CR" w:eastAsia="es-CR"/>
              </w:rPr>
              <w:t xml:space="preserve"> </w:t>
            </w:r>
            <w:r w:rsidRPr="00746B98">
              <w:rPr>
                <w:rFonts w:ascii="Cambria" w:eastAsia="Times New Roman" w:hAnsi="Cambria" w:cs="Calibri"/>
                <w:lang w:val="es-CR" w:eastAsia="es-CR"/>
              </w:rPr>
              <w:t>420</w:t>
            </w:r>
          </w:p>
        </w:tc>
        <w:tc>
          <w:tcPr>
            <w:tcW w:w="1422" w:type="dxa"/>
            <w:tcBorders>
              <w:top w:val="nil"/>
              <w:left w:val="nil"/>
              <w:bottom w:val="single" w:sz="4" w:space="0" w:color="auto"/>
              <w:right w:val="single" w:sz="4" w:space="0" w:color="auto"/>
            </w:tcBorders>
            <w:shd w:val="clear" w:color="auto" w:fill="auto"/>
            <w:noWrap/>
            <w:vAlign w:val="bottom"/>
            <w:hideMark/>
          </w:tcPr>
          <w:p w14:paraId="4911129F" w14:textId="77777777" w:rsidR="00746B98" w:rsidRPr="00746B98" w:rsidRDefault="00746B98" w:rsidP="00746B98">
            <w:pPr>
              <w:spacing w:after="0" w:line="240" w:lineRule="auto"/>
              <w:jc w:val="right"/>
              <w:rPr>
                <w:rFonts w:ascii="Cambria" w:eastAsia="Times New Roman" w:hAnsi="Cambria" w:cs="Calibri"/>
                <w:lang w:val="es-CR" w:eastAsia="es-CR"/>
              </w:rPr>
            </w:pPr>
            <w:r w:rsidRPr="00746B98">
              <w:rPr>
                <w:rFonts w:ascii="Cambria" w:eastAsia="Times New Roman" w:hAnsi="Cambria" w:cs="Calibri"/>
                <w:lang w:val="es-CR" w:eastAsia="es-CR"/>
              </w:rPr>
              <w:t>1</w:t>
            </w:r>
            <w:r>
              <w:rPr>
                <w:rFonts w:ascii="Cambria" w:eastAsia="Times New Roman" w:hAnsi="Cambria" w:cs="Calibri"/>
                <w:lang w:val="es-CR" w:eastAsia="es-CR"/>
              </w:rPr>
              <w:t xml:space="preserve"> </w:t>
            </w:r>
            <w:r w:rsidRPr="00746B98">
              <w:rPr>
                <w:rFonts w:ascii="Cambria" w:eastAsia="Times New Roman" w:hAnsi="Cambria" w:cs="Calibri"/>
                <w:lang w:val="es-CR" w:eastAsia="es-CR"/>
              </w:rPr>
              <w:t>871</w:t>
            </w:r>
          </w:p>
        </w:tc>
        <w:tc>
          <w:tcPr>
            <w:tcW w:w="1413" w:type="dxa"/>
            <w:tcBorders>
              <w:top w:val="nil"/>
              <w:left w:val="single" w:sz="4" w:space="0" w:color="auto"/>
              <w:bottom w:val="single" w:sz="4" w:space="0" w:color="auto"/>
              <w:right w:val="nil"/>
            </w:tcBorders>
            <w:shd w:val="clear" w:color="auto" w:fill="auto"/>
            <w:noWrap/>
            <w:vAlign w:val="bottom"/>
            <w:hideMark/>
          </w:tcPr>
          <w:p w14:paraId="2743CE7E" w14:textId="77777777" w:rsidR="00746B98" w:rsidRPr="00746B98" w:rsidRDefault="00746B98" w:rsidP="00746B98">
            <w:pPr>
              <w:spacing w:after="0" w:line="240" w:lineRule="auto"/>
              <w:jc w:val="right"/>
              <w:rPr>
                <w:rFonts w:ascii="Cambria" w:eastAsia="Times New Roman" w:hAnsi="Cambria" w:cs="Calibri"/>
                <w:lang w:val="es-CR" w:eastAsia="es-CR"/>
              </w:rPr>
            </w:pPr>
            <w:r w:rsidRPr="00746B98">
              <w:rPr>
                <w:rFonts w:ascii="Cambria" w:eastAsia="Times New Roman" w:hAnsi="Cambria" w:cs="Calibri"/>
                <w:lang w:val="es-CR" w:eastAsia="es-CR"/>
              </w:rPr>
              <w:t>71</w:t>
            </w:r>
            <w:r>
              <w:rPr>
                <w:rFonts w:ascii="Cambria" w:eastAsia="Times New Roman" w:hAnsi="Cambria" w:cs="Calibri"/>
                <w:lang w:val="es-CR" w:eastAsia="es-CR"/>
              </w:rPr>
              <w:t xml:space="preserve"> </w:t>
            </w:r>
            <w:r w:rsidRPr="00746B98">
              <w:rPr>
                <w:rFonts w:ascii="Cambria" w:eastAsia="Times New Roman" w:hAnsi="Cambria" w:cs="Calibri"/>
                <w:lang w:val="es-CR" w:eastAsia="es-CR"/>
              </w:rPr>
              <w:t>050</w:t>
            </w:r>
          </w:p>
        </w:tc>
        <w:tc>
          <w:tcPr>
            <w:tcW w:w="1418" w:type="dxa"/>
            <w:tcBorders>
              <w:top w:val="nil"/>
              <w:left w:val="nil"/>
              <w:bottom w:val="single" w:sz="4" w:space="0" w:color="auto"/>
              <w:right w:val="nil"/>
            </w:tcBorders>
            <w:shd w:val="clear" w:color="auto" w:fill="auto"/>
            <w:noWrap/>
            <w:vAlign w:val="bottom"/>
            <w:hideMark/>
          </w:tcPr>
          <w:p w14:paraId="042A7B96" w14:textId="77777777" w:rsidR="00746B98" w:rsidRPr="00746B98" w:rsidRDefault="00746B98" w:rsidP="00746B98">
            <w:pPr>
              <w:spacing w:after="0" w:line="240" w:lineRule="auto"/>
              <w:jc w:val="right"/>
              <w:rPr>
                <w:rFonts w:ascii="Cambria" w:eastAsia="Times New Roman" w:hAnsi="Cambria" w:cs="Calibri"/>
                <w:lang w:val="es-CR" w:eastAsia="es-CR"/>
              </w:rPr>
            </w:pPr>
            <w:r w:rsidRPr="00746B98">
              <w:rPr>
                <w:rFonts w:ascii="Cambria" w:eastAsia="Times New Roman" w:hAnsi="Cambria" w:cs="Calibri"/>
                <w:lang w:val="es-CR" w:eastAsia="es-CR"/>
              </w:rPr>
              <w:t>61</w:t>
            </w:r>
            <w:r>
              <w:rPr>
                <w:rFonts w:ascii="Cambria" w:eastAsia="Times New Roman" w:hAnsi="Cambria" w:cs="Calibri"/>
                <w:lang w:val="es-CR" w:eastAsia="es-CR"/>
              </w:rPr>
              <w:t xml:space="preserve"> </w:t>
            </w:r>
            <w:r w:rsidRPr="00746B98">
              <w:rPr>
                <w:rFonts w:ascii="Cambria" w:eastAsia="Times New Roman" w:hAnsi="Cambria" w:cs="Calibri"/>
                <w:lang w:val="es-CR" w:eastAsia="es-CR"/>
              </w:rPr>
              <w:t>761</w:t>
            </w:r>
          </w:p>
        </w:tc>
      </w:tr>
    </w:tbl>
    <w:p w14:paraId="30D1BEED" w14:textId="77777777" w:rsidR="003B0161" w:rsidRPr="009B7058" w:rsidRDefault="003B0161" w:rsidP="009B7058">
      <w:pPr>
        <w:spacing w:before="40" w:after="20" w:line="240" w:lineRule="auto"/>
        <w:ind w:left="1276"/>
        <w:rPr>
          <w:rFonts w:asciiTheme="majorHAnsi" w:hAnsiTheme="majorHAnsi" w:cstheme="minorHAnsi"/>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2916C19D" w14:textId="77777777" w:rsidR="006B1E62" w:rsidRPr="00FF4B17" w:rsidRDefault="006B1E62" w:rsidP="003C6E17">
      <w:pPr>
        <w:spacing w:after="0" w:line="240" w:lineRule="auto"/>
        <w:jc w:val="center"/>
        <w:rPr>
          <w:rFonts w:asciiTheme="majorHAnsi" w:hAnsiTheme="majorHAnsi" w:cstheme="minorHAnsi"/>
          <w:lang w:val="es-CR"/>
        </w:rPr>
      </w:pPr>
    </w:p>
    <w:p w14:paraId="0DFF7068" w14:textId="77777777" w:rsidR="0073740D" w:rsidRDefault="007D0BC7" w:rsidP="00D03A51">
      <w:pPr>
        <w:spacing w:line="240" w:lineRule="auto"/>
        <w:jc w:val="both"/>
        <w:rPr>
          <w:rFonts w:asciiTheme="majorHAnsi" w:hAnsiTheme="majorHAnsi" w:cstheme="minorHAnsi"/>
        </w:rPr>
      </w:pPr>
      <w:r w:rsidRPr="00FF4B17">
        <w:rPr>
          <w:rFonts w:asciiTheme="majorHAnsi" w:hAnsiTheme="majorHAnsi" w:cstheme="minorHAnsi"/>
        </w:rPr>
        <w:t xml:space="preserve">Los datos muestran una oscilación en la preferencia por la modalidad de pensión a lo largo de los años. Al inicio de la década los rendimientos eran altos, superiores al 10% anual real, eso hacía que muchos afiliados optaran por la renta permanente. En los años en que los rendimientos no son tan elevados, los afiliados han optado por los retiros programados. </w:t>
      </w:r>
      <w:r w:rsidR="00E73506">
        <w:rPr>
          <w:rFonts w:asciiTheme="majorHAnsi" w:hAnsiTheme="majorHAnsi" w:cstheme="minorHAnsi"/>
        </w:rPr>
        <w:t>E</w:t>
      </w:r>
      <w:r w:rsidR="00A264F8" w:rsidRPr="00FF4B17">
        <w:rPr>
          <w:rFonts w:asciiTheme="majorHAnsi" w:hAnsiTheme="majorHAnsi" w:cstheme="minorHAnsi"/>
        </w:rPr>
        <w:t xml:space="preserve">n </w:t>
      </w:r>
      <w:r w:rsidR="00E73506">
        <w:rPr>
          <w:rFonts w:asciiTheme="majorHAnsi" w:hAnsiTheme="majorHAnsi" w:cstheme="minorHAnsi"/>
        </w:rPr>
        <w:t>el</w:t>
      </w:r>
      <w:r w:rsidRPr="00FF4B17">
        <w:rPr>
          <w:rFonts w:asciiTheme="majorHAnsi" w:hAnsiTheme="majorHAnsi" w:cstheme="minorHAnsi"/>
        </w:rPr>
        <w:t xml:space="preserve"> 20</w:t>
      </w:r>
      <w:r w:rsidR="006643B9" w:rsidRPr="00FF4B17">
        <w:rPr>
          <w:rFonts w:asciiTheme="majorHAnsi" w:hAnsiTheme="majorHAnsi" w:cstheme="minorHAnsi"/>
        </w:rPr>
        <w:t>18 h</w:t>
      </w:r>
      <w:r w:rsidR="00E73506">
        <w:rPr>
          <w:rFonts w:asciiTheme="majorHAnsi" w:hAnsiTheme="majorHAnsi" w:cstheme="minorHAnsi"/>
        </w:rPr>
        <w:t>ubo</w:t>
      </w:r>
      <w:r w:rsidR="006643B9" w:rsidRPr="00FF4B17">
        <w:rPr>
          <w:rFonts w:asciiTheme="majorHAnsi" w:hAnsiTheme="majorHAnsi" w:cstheme="minorHAnsi"/>
        </w:rPr>
        <w:t xml:space="preserve"> una preferencia por los r</w:t>
      </w:r>
      <w:r w:rsidRPr="00FF4B17">
        <w:rPr>
          <w:rFonts w:asciiTheme="majorHAnsi" w:hAnsiTheme="majorHAnsi" w:cstheme="minorHAnsi"/>
        </w:rPr>
        <w:t>etir</w:t>
      </w:r>
      <w:r w:rsidR="006643B9" w:rsidRPr="00FF4B17">
        <w:rPr>
          <w:rFonts w:asciiTheme="majorHAnsi" w:hAnsiTheme="majorHAnsi" w:cstheme="minorHAnsi"/>
        </w:rPr>
        <w:t>os p</w:t>
      </w:r>
      <w:r w:rsidRPr="00FF4B17">
        <w:rPr>
          <w:rFonts w:asciiTheme="majorHAnsi" w:hAnsiTheme="majorHAnsi" w:cstheme="minorHAnsi"/>
        </w:rPr>
        <w:t>rogramados.</w:t>
      </w:r>
    </w:p>
    <w:p w14:paraId="74869460" w14:textId="77777777" w:rsidR="00D03A51" w:rsidRPr="008F5D99" w:rsidRDefault="00D03A51" w:rsidP="00D03A51">
      <w:pPr>
        <w:spacing w:after="0" w:line="240" w:lineRule="auto"/>
        <w:jc w:val="center"/>
        <w:rPr>
          <w:rFonts w:asciiTheme="majorHAnsi" w:hAnsiTheme="majorHAnsi" w:cstheme="minorHAnsi"/>
        </w:rPr>
      </w:pPr>
    </w:p>
    <w:p w14:paraId="094A7AE0" w14:textId="77777777" w:rsidR="000369BA" w:rsidRDefault="000369BA">
      <w:pPr>
        <w:rPr>
          <w:rFonts w:asciiTheme="majorHAnsi" w:eastAsiaTheme="majorEastAsia" w:hAnsiTheme="majorHAnsi" w:cstheme="minorHAnsi"/>
          <w:color w:val="365F91" w:themeColor="accent1" w:themeShade="BF"/>
          <w:sz w:val="26"/>
          <w:szCs w:val="26"/>
        </w:rPr>
      </w:pPr>
      <w:r>
        <w:rPr>
          <w:rFonts w:cstheme="minorHAnsi"/>
        </w:rPr>
        <w:br w:type="page"/>
      </w:r>
    </w:p>
    <w:p w14:paraId="16B509E4" w14:textId="27D3F428" w:rsidR="007D0BC7" w:rsidRPr="00C56F2E" w:rsidRDefault="007D0BC7" w:rsidP="00885CBA">
      <w:pPr>
        <w:pStyle w:val="Ttulo2"/>
        <w:rPr>
          <w:rFonts w:cstheme="minorHAnsi"/>
        </w:rPr>
      </w:pPr>
      <w:r w:rsidRPr="00C56F2E">
        <w:rPr>
          <w:rFonts w:cstheme="minorHAnsi"/>
        </w:rPr>
        <w:lastRenderedPageBreak/>
        <w:t xml:space="preserve">Libre </w:t>
      </w:r>
      <w:r w:rsidR="00014599" w:rsidRPr="00C56F2E">
        <w:rPr>
          <w:rFonts w:cstheme="minorHAnsi"/>
        </w:rPr>
        <w:t>T</w:t>
      </w:r>
      <w:r w:rsidRPr="00C56F2E">
        <w:rPr>
          <w:rFonts w:cstheme="minorHAnsi"/>
        </w:rPr>
        <w:t>ransferencia</w:t>
      </w:r>
    </w:p>
    <w:p w14:paraId="46ABBD8F" w14:textId="77777777" w:rsidR="007D0BC7" w:rsidRPr="00C56F2E" w:rsidRDefault="007D0BC7" w:rsidP="00AB1521">
      <w:pPr>
        <w:spacing w:after="0" w:line="240" w:lineRule="auto"/>
        <w:jc w:val="both"/>
        <w:rPr>
          <w:rFonts w:asciiTheme="majorHAnsi" w:hAnsiTheme="majorHAnsi" w:cstheme="minorHAnsi"/>
        </w:rPr>
      </w:pPr>
    </w:p>
    <w:p w14:paraId="3FAF27B5" w14:textId="77777777" w:rsidR="00374049" w:rsidRPr="00C56F2E" w:rsidRDefault="007D0BC7" w:rsidP="00AB1521">
      <w:pPr>
        <w:spacing w:after="0" w:line="240" w:lineRule="auto"/>
        <w:jc w:val="both"/>
        <w:rPr>
          <w:rFonts w:asciiTheme="majorHAnsi" w:hAnsiTheme="majorHAnsi" w:cstheme="minorHAnsi"/>
        </w:rPr>
      </w:pPr>
      <w:r w:rsidRPr="00C56F2E">
        <w:rPr>
          <w:rFonts w:asciiTheme="majorHAnsi" w:hAnsiTheme="majorHAnsi" w:cstheme="minorHAnsi"/>
        </w:rPr>
        <w:t xml:space="preserve">Si se analiza los movimientos según el sexo, del total de personas que han </w:t>
      </w:r>
      <w:r w:rsidR="00B23ABA" w:rsidRPr="00C56F2E">
        <w:rPr>
          <w:rFonts w:asciiTheme="majorHAnsi" w:hAnsiTheme="majorHAnsi" w:cstheme="minorHAnsi"/>
        </w:rPr>
        <w:t>hecho libre transferencia el 38,</w:t>
      </w:r>
      <w:r w:rsidR="00C56F2E" w:rsidRPr="00C56F2E">
        <w:rPr>
          <w:rFonts w:asciiTheme="majorHAnsi" w:hAnsiTheme="majorHAnsi" w:cstheme="minorHAnsi"/>
        </w:rPr>
        <w:t>56</w:t>
      </w:r>
      <w:r w:rsidRPr="00C56F2E">
        <w:rPr>
          <w:rFonts w:asciiTheme="majorHAnsi" w:hAnsiTheme="majorHAnsi" w:cstheme="minorHAnsi"/>
        </w:rPr>
        <w:t>% son muje</w:t>
      </w:r>
      <w:r w:rsidR="00374049" w:rsidRPr="00C56F2E">
        <w:rPr>
          <w:rFonts w:asciiTheme="majorHAnsi" w:hAnsiTheme="majorHAnsi" w:cstheme="minorHAnsi"/>
        </w:rPr>
        <w:t xml:space="preserve">res, porcentaje muy similar a la proporción de cuentas de mujeres en el </w:t>
      </w:r>
      <w:r w:rsidR="00374049" w:rsidRPr="00FA0325">
        <w:rPr>
          <w:rFonts w:asciiTheme="majorHAnsi" w:hAnsiTheme="majorHAnsi" w:cstheme="minorHAnsi"/>
        </w:rPr>
        <w:t>ROP</w:t>
      </w:r>
      <w:r w:rsidRPr="00FA0325">
        <w:rPr>
          <w:rFonts w:asciiTheme="majorHAnsi" w:hAnsiTheme="majorHAnsi" w:cstheme="minorHAnsi"/>
        </w:rPr>
        <w:t xml:space="preserve"> </w:t>
      </w:r>
      <w:r w:rsidR="00FA0325" w:rsidRPr="00FA0325">
        <w:rPr>
          <w:rFonts w:asciiTheme="majorHAnsi" w:hAnsiTheme="majorHAnsi" w:cstheme="minorHAnsi"/>
        </w:rPr>
        <w:t>39</w:t>
      </w:r>
      <w:r w:rsidR="00CE6261">
        <w:rPr>
          <w:rFonts w:asciiTheme="majorHAnsi" w:hAnsiTheme="majorHAnsi" w:cstheme="minorHAnsi"/>
        </w:rPr>
        <w:t>,</w:t>
      </w:r>
      <w:r w:rsidR="00FA0325" w:rsidRPr="00FA0325">
        <w:rPr>
          <w:rFonts w:asciiTheme="majorHAnsi" w:hAnsiTheme="majorHAnsi" w:cstheme="minorHAnsi"/>
        </w:rPr>
        <w:t>09</w:t>
      </w:r>
      <w:r w:rsidRPr="00FA0325">
        <w:rPr>
          <w:rFonts w:asciiTheme="majorHAnsi" w:hAnsiTheme="majorHAnsi" w:cstheme="minorHAnsi"/>
        </w:rPr>
        <w:t>%.</w:t>
      </w:r>
      <w:r w:rsidRPr="00C56F2E">
        <w:rPr>
          <w:rFonts w:asciiTheme="majorHAnsi" w:hAnsiTheme="majorHAnsi" w:cstheme="minorHAnsi"/>
        </w:rPr>
        <w:t xml:space="preserve"> </w:t>
      </w:r>
      <w:r w:rsidR="00374049" w:rsidRPr="00C56F2E">
        <w:rPr>
          <w:rFonts w:asciiTheme="majorHAnsi" w:hAnsiTheme="majorHAnsi" w:cstheme="minorHAnsi"/>
        </w:rPr>
        <w:t>En relación con el monto trasladado, los recursos de mujeres representan</w:t>
      </w:r>
      <w:r w:rsidRPr="00C56F2E">
        <w:rPr>
          <w:rFonts w:asciiTheme="majorHAnsi" w:hAnsiTheme="majorHAnsi" w:cstheme="minorHAnsi"/>
        </w:rPr>
        <w:t xml:space="preserve"> el </w:t>
      </w:r>
      <w:r w:rsidR="00C56F2E" w:rsidRPr="00C56F2E">
        <w:rPr>
          <w:rFonts w:asciiTheme="majorHAnsi" w:hAnsiTheme="majorHAnsi" w:cstheme="minorHAnsi"/>
        </w:rPr>
        <w:t>38,52</w:t>
      </w:r>
      <w:r w:rsidRPr="00C56F2E">
        <w:rPr>
          <w:rFonts w:asciiTheme="majorHAnsi" w:hAnsiTheme="majorHAnsi" w:cstheme="minorHAnsi"/>
        </w:rPr>
        <w:t xml:space="preserve">% del monto total </w:t>
      </w:r>
      <w:r w:rsidR="00374049" w:rsidRPr="00C56F2E">
        <w:rPr>
          <w:rFonts w:asciiTheme="majorHAnsi" w:hAnsiTheme="majorHAnsi" w:cstheme="minorHAnsi"/>
        </w:rPr>
        <w:t>por libre transferencia.</w:t>
      </w:r>
    </w:p>
    <w:p w14:paraId="06BBA33E" w14:textId="77777777" w:rsidR="005C69B2" w:rsidRPr="008F5D99" w:rsidRDefault="005C69B2" w:rsidP="00AB1521">
      <w:pPr>
        <w:spacing w:after="0" w:line="240" w:lineRule="auto"/>
        <w:jc w:val="both"/>
        <w:rPr>
          <w:rFonts w:asciiTheme="majorHAnsi" w:hAnsiTheme="majorHAnsi" w:cstheme="minorHAnsi"/>
          <w:highlight w:val="yellow"/>
        </w:rPr>
      </w:pPr>
    </w:p>
    <w:p w14:paraId="22163D35" w14:textId="77777777" w:rsidR="005C69B2" w:rsidRPr="008F5D99" w:rsidRDefault="005C69B2" w:rsidP="005C69B2">
      <w:pPr>
        <w:spacing w:after="0" w:line="240" w:lineRule="auto"/>
        <w:jc w:val="both"/>
        <w:rPr>
          <w:rFonts w:asciiTheme="majorHAnsi" w:hAnsiTheme="majorHAnsi" w:cstheme="minorHAnsi"/>
        </w:rPr>
      </w:pPr>
      <w:r w:rsidRPr="008F5D99">
        <w:rPr>
          <w:rFonts w:asciiTheme="majorHAnsi" w:hAnsiTheme="majorHAnsi" w:cstheme="minorHAnsi"/>
        </w:rPr>
        <w:t xml:space="preserve">Analizando la libre transferencia del ROP por grupo etario, el grupo que más ejerce el derecho es el que abarca afiliados con edades entre 30 y 44 años con el </w:t>
      </w:r>
      <w:r w:rsidR="00641B72" w:rsidRPr="008F5D99">
        <w:rPr>
          <w:rFonts w:asciiTheme="majorHAnsi" w:hAnsiTheme="majorHAnsi" w:cstheme="minorHAnsi"/>
        </w:rPr>
        <w:t>45,58</w:t>
      </w:r>
      <w:r w:rsidRPr="008F5D99">
        <w:rPr>
          <w:rFonts w:asciiTheme="majorHAnsi" w:hAnsiTheme="majorHAnsi" w:cstheme="minorHAnsi"/>
        </w:rPr>
        <w:t>% de los movimientos</w:t>
      </w:r>
      <w:r w:rsidR="00641B72" w:rsidRPr="008F5D99">
        <w:rPr>
          <w:rFonts w:asciiTheme="majorHAnsi" w:hAnsiTheme="majorHAnsi" w:cstheme="minorHAnsi"/>
        </w:rPr>
        <w:t xml:space="preserve"> y</w:t>
      </w:r>
      <w:r w:rsidRPr="008F5D99">
        <w:rPr>
          <w:rFonts w:asciiTheme="majorHAnsi" w:hAnsiTheme="majorHAnsi" w:cstheme="minorHAnsi"/>
        </w:rPr>
        <w:t xml:space="preserve"> representa el </w:t>
      </w:r>
      <w:r w:rsidR="00641B72" w:rsidRPr="008F5D99">
        <w:rPr>
          <w:rFonts w:asciiTheme="majorHAnsi" w:hAnsiTheme="majorHAnsi" w:cstheme="minorHAnsi"/>
        </w:rPr>
        <w:t>53,50</w:t>
      </w:r>
      <w:r w:rsidRPr="008F5D99">
        <w:rPr>
          <w:rFonts w:asciiTheme="majorHAnsi" w:hAnsiTheme="majorHAnsi" w:cstheme="minorHAnsi"/>
        </w:rPr>
        <w:t xml:space="preserve">% del total de recursos transferidos. Mientras que el grupo de afiliados entre 45 y 59 años representa el </w:t>
      </w:r>
      <w:r w:rsidR="00641B72" w:rsidRPr="008F5D99">
        <w:rPr>
          <w:rFonts w:asciiTheme="majorHAnsi" w:hAnsiTheme="majorHAnsi" w:cstheme="minorHAnsi"/>
        </w:rPr>
        <w:t>39,38%</w:t>
      </w:r>
      <w:r w:rsidRPr="008F5D99">
        <w:rPr>
          <w:rFonts w:asciiTheme="majorHAnsi" w:hAnsiTheme="majorHAnsi" w:cstheme="minorHAnsi"/>
        </w:rPr>
        <w:t xml:space="preserve"> de los movimientos con el </w:t>
      </w:r>
      <w:r w:rsidR="00641B72" w:rsidRPr="008F5D99">
        <w:rPr>
          <w:rFonts w:asciiTheme="majorHAnsi" w:hAnsiTheme="majorHAnsi" w:cstheme="minorHAnsi"/>
        </w:rPr>
        <w:t>28,65</w:t>
      </w:r>
      <w:r w:rsidRPr="008F5D99">
        <w:rPr>
          <w:rFonts w:asciiTheme="majorHAnsi" w:hAnsiTheme="majorHAnsi" w:cstheme="minorHAnsi"/>
        </w:rPr>
        <w:t xml:space="preserve">% de los recursos movilizados por libre transferencia, todo lo anterior durante </w:t>
      </w:r>
      <w:r w:rsidR="00641B72" w:rsidRPr="008F5D99">
        <w:rPr>
          <w:rFonts w:asciiTheme="majorHAnsi" w:hAnsiTheme="majorHAnsi" w:cstheme="minorHAnsi"/>
        </w:rPr>
        <w:t>el año</w:t>
      </w:r>
      <w:r w:rsidRPr="008F5D99">
        <w:rPr>
          <w:rFonts w:asciiTheme="majorHAnsi" w:hAnsiTheme="majorHAnsi" w:cstheme="minorHAnsi"/>
        </w:rPr>
        <w:t xml:space="preserve"> 2018. </w:t>
      </w:r>
    </w:p>
    <w:p w14:paraId="464FCBC1" w14:textId="77777777" w:rsidR="00812D4C" w:rsidRPr="008F5D99" w:rsidRDefault="00812D4C" w:rsidP="00AB1521">
      <w:pPr>
        <w:spacing w:after="0" w:line="240" w:lineRule="auto"/>
        <w:jc w:val="both"/>
        <w:rPr>
          <w:rFonts w:asciiTheme="majorHAnsi" w:hAnsiTheme="majorHAnsi" w:cstheme="minorHAnsi"/>
          <w:highlight w:val="yellow"/>
        </w:rPr>
      </w:pPr>
    </w:p>
    <w:p w14:paraId="0B435614" w14:textId="77777777" w:rsidR="009D2E2C" w:rsidRPr="008F5D99" w:rsidRDefault="001345C6" w:rsidP="001345C6">
      <w:pPr>
        <w:spacing w:after="0" w:line="240" w:lineRule="auto"/>
        <w:jc w:val="center"/>
        <w:rPr>
          <w:rFonts w:asciiTheme="majorHAnsi" w:hAnsiTheme="majorHAnsi" w:cstheme="minorHAnsi"/>
        </w:rPr>
      </w:pPr>
      <w:r w:rsidRPr="001345C6">
        <w:rPr>
          <w:rFonts w:asciiTheme="majorHAnsi" w:hAnsiTheme="majorHAnsi" w:cstheme="minorHAnsi"/>
        </w:rPr>
        <w:t xml:space="preserve">Cuadro </w:t>
      </w:r>
      <w:r w:rsidRPr="001345C6">
        <w:rPr>
          <w:rFonts w:asciiTheme="majorHAnsi" w:hAnsiTheme="majorHAnsi" w:cstheme="minorHAnsi"/>
        </w:rPr>
        <w:fldChar w:fldCharType="begin"/>
      </w:r>
      <w:r w:rsidRPr="001345C6">
        <w:rPr>
          <w:rFonts w:asciiTheme="majorHAnsi" w:hAnsiTheme="majorHAnsi" w:cstheme="minorHAnsi"/>
        </w:rPr>
        <w:instrText xml:space="preserve"> SEQ Cuadro \* ARABIC </w:instrText>
      </w:r>
      <w:r w:rsidRPr="001345C6">
        <w:rPr>
          <w:rFonts w:asciiTheme="majorHAnsi" w:hAnsiTheme="majorHAnsi" w:cstheme="minorHAnsi"/>
        </w:rPr>
        <w:fldChar w:fldCharType="separate"/>
      </w:r>
      <w:r w:rsidR="00695F60">
        <w:rPr>
          <w:rFonts w:asciiTheme="majorHAnsi" w:hAnsiTheme="majorHAnsi" w:cstheme="minorHAnsi"/>
          <w:noProof/>
        </w:rPr>
        <w:t>16</w:t>
      </w:r>
      <w:r w:rsidRPr="001345C6">
        <w:rPr>
          <w:rFonts w:asciiTheme="majorHAnsi" w:hAnsiTheme="majorHAnsi" w:cstheme="minorHAnsi"/>
        </w:rPr>
        <w:fldChar w:fldCharType="end"/>
      </w:r>
    </w:p>
    <w:p w14:paraId="69D2418A" w14:textId="77777777" w:rsidR="00E66A40" w:rsidRPr="008F5D99" w:rsidRDefault="00CE6261" w:rsidP="00AB1521">
      <w:pPr>
        <w:spacing w:after="0" w:line="240" w:lineRule="auto"/>
        <w:jc w:val="center"/>
        <w:rPr>
          <w:rFonts w:asciiTheme="majorHAnsi" w:hAnsiTheme="majorHAnsi" w:cstheme="minorHAnsi"/>
        </w:rPr>
      </w:pPr>
      <w:r>
        <w:rPr>
          <w:rFonts w:asciiTheme="majorHAnsi" w:hAnsiTheme="majorHAnsi" w:cstheme="minorHAnsi"/>
        </w:rPr>
        <w:t xml:space="preserve">ROP: </w:t>
      </w:r>
      <w:r w:rsidR="00E66A40" w:rsidRPr="008F5D99">
        <w:rPr>
          <w:rFonts w:asciiTheme="majorHAnsi" w:hAnsiTheme="majorHAnsi" w:cstheme="minorHAnsi"/>
        </w:rPr>
        <w:t xml:space="preserve">Libre Transferencia por </w:t>
      </w:r>
      <w:r w:rsidR="00641B72" w:rsidRPr="008F5D99">
        <w:rPr>
          <w:rFonts w:asciiTheme="majorHAnsi" w:hAnsiTheme="majorHAnsi" w:cstheme="minorHAnsi"/>
        </w:rPr>
        <w:t xml:space="preserve">rango de </w:t>
      </w:r>
      <w:r w:rsidR="00E66A40" w:rsidRPr="008F5D99">
        <w:rPr>
          <w:rFonts w:asciiTheme="majorHAnsi" w:hAnsiTheme="majorHAnsi" w:cstheme="minorHAnsi"/>
        </w:rPr>
        <w:t>Edad</w:t>
      </w:r>
    </w:p>
    <w:p w14:paraId="780BA6B0" w14:textId="77777777" w:rsidR="00374049" w:rsidRPr="008F5D99" w:rsidRDefault="00AC478D" w:rsidP="00AB1521">
      <w:pPr>
        <w:spacing w:after="0" w:line="240" w:lineRule="auto"/>
        <w:jc w:val="center"/>
        <w:rPr>
          <w:rFonts w:asciiTheme="majorHAnsi" w:hAnsiTheme="majorHAnsi" w:cstheme="minorHAnsi"/>
        </w:rPr>
      </w:pPr>
      <w:r w:rsidRPr="008F5D99">
        <w:rPr>
          <w:rFonts w:asciiTheme="majorHAnsi" w:hAnsiTheme="majorHAnsi" w:cstheme="minorHAnsi"/>
        </w:rPr>
        <w:t>Ene</w:t>
      </w:r>
      <w:r w:rsidR="00B35C98" w:rsidRPr="008F5D99">
        <w:rPr>
          <w:rFonts w:asciiTheme="majorHAnsi" w:hAnsiTheme="majorHAnsi" w:cstheme="minorHAnsi"/>
        </w:rPr>
        <w:t>ro</w:t>
      </w:r>
      <w:r w:rsidRPr="008F5D99">
        <w:rPr>
          <w:rFonts w:asciiTheme="majorHAnsi" w:hAnsiTheme="majorHAnsi" w:cstheme="minorHAnsi"/>
        </w:rPr>
        <w:t>-</w:t>
      </w:r>
      <w:r w:rsidR="00641B72" w:rsidRPr="008F5D99">
        <w:rPr>
          <w:rFonts w:asciiTheme="majorHAnsi" w:hAnsiTheme="majorHAnsi" w:cstheme="minorHAnsi"/>
        </w:rPr>
        <w:t>diciembre</w:t>
      </w:r>
      <w:r w:rsidR="00374049" w:rsidRPr="008F5D99">
        <w:rPr>
          <w:rFonts w:asciiTheme="majorHAnsi" w:hAnsiTheme="majorHAnsi" w:cstheme="minorHAnsi"/>
        </w:rPr>
        <w:t xml:space="preserve"> 2018</w:t>
      </w:r>
    </w:p>
    <w:tbl>
      <w:tblPr>
        <w:tblW w:w="7797" w:type="dxa"/>
        <w:jc w:val="center"/>
        <w:tblCellMar>
          <w:left w:w="70" w:type="dxa"/>
          <w:right w:w="70" w:type="dxa"/>
        </w:tblCellMar>
        <w:tblLook w:val="04A0" w:firstRow="1" w:lastRow="0" w:firstColumn="1" w:lastColumn="0" w:noHBand="0" w:noVBand="1"/>
      </w:tblPr>
      <w:tblGrid>
        <w:gridCol w:w="1985"/>
        <w:gridCol w:w="2835"/>
        <w:gridCol w:w="2977"/>
      </w:tblGrid>
      <w:tr w:rsidR="00076EDB" w:rsidRPr="008F5D99" w14:paraId="0E2846EB" w14:textId="77777777" w:rsidTr="00076EDB">
        <w:trPr>
          <w:trHeight w:val="315"/>
          <w:jc w:val="center"/>
        </w:trPr>
        <w:tc>
          <w:tcPr>
            <w:tcW w:w="1985" w:type="dxa"/>
            <w:tcBorders>
              <w:top w:val="single" w:sz="4" w:space="0" w:color="auto"/>
              <w:left w:val="nil"/>
              <w:bottom w:val="double" w:sz="6" w:space="0" w:color="auto"/>
              <w:right w:val="nil"/>
            </w:tcBorders>
            <w:shd w:val="clear" w:color="auto" w:fill="auto"/>
            <w:noWrap/>
            <w:vAlign w:val="center"/>
            <w:hideMark/>
          </w:tcPr>
          <w:p w14:paraId="04750F58" w14:textId="77777777" w:rsidR="00076EDB" w:rsidRPr="008F5D99" w:rsidRDefault="00076EDB" w:rsidP="00076EDB">
            <w:pPr>
              <w:spacing w:after="0" w:line="240" w:lineRule="auto"/>
              <w:rPr>
                <w:rFonts w:asciiTheme="majorHAnsi" w:eastAsia="Times New Roman" w:hAnsiTheme="majorHAnsi" w:cstheme="minorHAnsi"/>
                <w:b/>
                <w:color w:val="000000"/>
                <w:lang w:val="es-CR" w:eastAsia="es-CR"/>
              </w:rPr>
            </w:pPr>
            <w:r w:rsidRPr="008F5D99">
              <w:rPr>
                <w:rFonts w:asciiTheme="majorHAnsi" w:eastAsia="Times New Roman" w:hAnsiTheme="majorHAnsi" w:cstheme="minorHAnsi"/>
                <w:b/>
                <w:color w:val="000000"/>
                <w:lang w:val="es-CR" w:eastAsia="es-CR"/>
              </w:rPr>
              <w:t>Rango de Edad</w:t>
            </w:r>
          </w:p>
        </w:tc>
        <w:tc>
          <w:tcPr>
            <w:tcW w:w="2835" w:type="dxa"/>
            <w:tcBorders>
              <w:top w:val="single" w:sz="4" w:space="0" w:color="auto"/>
              <w:left w:val="nil"/>
              <w:bottom w:val="double" w:sz="6" w:space="0" w:color="auto"/>
              <w:right w:val="nil"/>
            </w:tcBorders>
            <w:shd w:val="clear" w:color="auto" w:fill="auto"/>
            <w:noWrap/>
            <w:vAlign w:val="center"/>
            <w:hideMark/>
          </w:tcPr>
          <w:p w14:paraId="1646DD33" w14:textId="77777777" w:rsidR="00076EDB" w:rsidRPr="008F5D99" w:rsidRDefault="00076EDB" w:rsidP="00076EDB">
            <w:pPr>
              <w:spacing w:after="0" w:line="240" w:lineRule="auto"/>
              <w:rPr>
                <w:rFonts w:asciiTheme="majorHAnsi" w:eastAsia="Times New Roman" w:hAnsiTheme="majorHAnsi" w:cstheme="minorHAnsi"/>
                <w:b/>
                <w:color w:val="000000"/>
                <w:lang w:val="es-CR" w:eastAsia="es-CR"/>
              </w:rPr>
            </w:pPr>
            <w:r w:rsidRPr="008F5D99">
              <w:rPr>
                <w:rFonts w:asciiTheme="majorHAnsi" w:eastAsia="Times New Roman" w:hAnsiTheme="majorHAnsi" w:cstheme="minorHAnsi"/>
                <w:b/>
                <w:color w:val="000000"/>
                <w:lang w:val="es-CR" w:eastAsia="es-CR"/>
              </w:rPr>
              <w:t>Cantidad de movimientos</w:t>
            </w:r>
          </w:p>
        </w:tc>
        <w:tc>
          <w:tcPr>
            <w:tcW w:w="2977" w:type="dxa"/>
            <w:tcBorders>
              <w:top w:val="single" w:sz="4" w:space="0" w:color="auto"/>
              <w:left w:val="nil"/>
              <w:bottom w:val="double" w:sz="6" w:space="0" w:color="auto"/>
              <w:right w:val="nil"/>
            </w:tcBorders>
            <w:shd w:val="clear" w:color="auto" w:fill="auto"/>
            <w:noWrap/>
            <w:vAlign w:val="center"/>
            <w:hideMark/>
          </w:tcPr>
          <w:p w14:paraId="6D5EF63A" w14:textId="77777777" w:rsidR="00076EDB" w:rsidRPr="008F5D99" w:rsidRDefault="00076EDB" w:rsidP="00076EDB">
            <w:pPr>
              <w:spacing w:after="0" w:line="240" w:lineRule="auto"/>
              <w:rPr>
                <w:rFonts w:asciiTheme="majorHAnsi" w:eastAsia="Times New Roman" w:hAnsiTheme="majorHAnsi" w:cstheme="minorHAnsi"/>
                <w:b/>
                <w:color w:val="000000"/>
                <w:lang w:val="es-CR" w:eastAsia="es-CR"/>
              </w:rPr>
            </w:pPr>
            <w:r w:rsidRPr="008F5D99">
              <w:rPr>
                <w:rFonts w:asciiTheme="majorHAnsi" w:eastAsia="Times New Roman" w:hAnsiTheme="majorHAnsi" w:cstheme="minorHAnsi"/>
                <w:b/>
                <w:color w:val="000000"/>
                <w:lang w:val="es-CR" w:eastAsia="es-CR"/>
              </w:rPr>
              <w:t>Monto de los movimientos</w:t>
            </w:r>
          </w:p>
        </w:tc>
      </w:tr>
      <w:tr w:rsidR="00076EDB" w:rsidRPr="008F5D99" w14:paraId="7A391D72" w14:textId="77777777" w:rsidTr="00076EDB">
        <w:trPr>
          <w:trHeight w:val="315"/>
          <w:jc w:val="center"/>
        </w:trPr>
        <w:tc>
          <w:tcPr>
            <w:tcW w:w="1985" w:type="dxa"/>
            <w:tcBorders>
              <w:top w:val="nil"/>
              <w:left w:val="nil"/>
              <w:bottom w:val="nil"/>
              <w:right w:val="nil"/>
            </w:tcBorders>
            <w:shd w:val="clear" w:color="000000" w:fill="FFFFFF"/>
            <w:noWrap/>
            <w:vAlign w:val="center"/>
            <w:hideMark/>
          </w:tcPr>
          <w:p w14:paraId="125FEE3A" w14:textId="77777777" w:rsidR="00076EDB" w:rsidRPr="008F5D99" w:rsidRDefault="00076EDB" w:rsidP="00076EDB">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Menor de 30</w:t>
            </w:r>
          </w:p>
        </w:tc>
        <w:tc>
          <w:tcPr>
            <w:tcW w:w="2835" w:type="dxa"/>
            <w:tcBorders>
              <w:top w:val="nil"/>
              <w:left w:val="nil"/>
              <w:bottom w:val="nil"/>
              <w:right w:val="nil"/>
            </w:tcBorders>
            <w:shd w:val="clear" w:color="auto" w:fill="auto"/>
            <w:noWrap/>
            <w:vAlign w:val="center"/>
            <w:hideMark/>
          </w:tcPr>
          <w:p w14:paraId="7AD1EF67" w14:textId="77777777" w:rsidR="00076EDB" w:rsidRPr="008F5D99" w:rsidRDefault="00076EDB" w:rsidP="00076EDB">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13,91%</w:t>
            </w:r>
          </w:p>
        </w:tc>
        <w:tc>
          <w:tcPr>
            <w:tcW w:w="2977" w:type="dxa"/>
            <w:tcBorders>
              <w:top w:val="nil"/>
              <w:left w:val="nil"/>
              <w:bottom w:val="nil"/>
              <w:right w:val="nil"/>
            </w:tcBorders>
            <w:shd w:val="clear" w:color="auto" w:fill="auto"/>
            <w:noWrap/>
            <w:vAlign w:val="center"/>
            <w:hideMark/>
          </w:tcPr>
          <w:p w14:paraId="3BB2BD9A" w14:textId="77777777" w:rsidR="00076EDB" w:rsidRPr="008F5D99" w:rsidRDefault="00076EDB" w:rsidP="00076EDB">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7,24%</w:t>
            </w:r>
          </w:p>
        </w:tc>
      </w:tr>
      <w:tr w:rsidR="00076EDB" w:rsidRPr="008F5D99" w14:paraId="0D33B1B4" w14:textId="77777777" w:rsidTr="00076EDB">
        <w:trPr>
          <w:trHeight w:val="300"/>
          <w:jc w:val="center"/>
        </w:trPr>
        <w:tc>
          <w:tcPr>
            <w:tcW w:w="1985" w:type="dxa"/>
            <w:tcBorders>
              <w:top w:val="nil"/>
              <w:left w:val="nil"/>
              <w:bottom w:val="nil"/>
              <w:right w:val="nil"/>
            </w:tcBorders>
            <w:shd w:val="clear" w:color="000000" w:fill="FFFFFF"/>
            <w:noWrap/>
            <w:vAlign w:val="center"/>
            <w:hideMark/>
          </w:tcPr>
          <w:p w14:paraId="1B6C30FD" w14:textId="77777777" w:rsidR="00076EDB" w:rsidRPr="008F5D99" w:rsidRDefault="00076EDB" w:rsidP="00076EDB">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Entre 30 y 44</w:t>
            </w:r>
          </w:p>
        </w:tc>
        <w:tc>
          <w:tcPr>
            <w:tcW w:w="2835" w:type="dxa"/>
            <w:tcBorders>
              <w:top w:val="nil"/>
              <w:left w:val="nil"/>
              <w:bottom w:val="nil"/>
              <w:right w:val="nil"/>
            </w:tcBorders>
            <w:shd w:val="clear" w:color="auto" w:fill="auto"/>
            <w:noWrap/>
            <w:vAlign w:val="center"/>
            <w:hideMark/>
          </w:tcPr>
          <w:p w14:paraId="05FE9A46" w14:textId="77777777" w:rsidR="00076EDB" w:rsidRPr="008F5D99" w:rsidRDefault="00076EDB" w:rsidP="00076EDB">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53,50%</w:t>
            </w:r>
          </w:p>
        </w:tc>
        <w:tc>
          <w:tcPr>
            <w:tcW w:w="2977" w:type="dxa"/>
            <w:tcBorders>
              <w:top w:val="nil"/>
              <w:left w:val="nil"/>
              <w:bottom w:val="nil"/>
              <w:right w:val="nil"/>
            </w:tcBorders>
            <w:shd w:val="clear" w:color="auto" w:fill="auto"/>
            <w:noWrap/>
            <w:vAlign w:val="center"/>
            <w:hideMark/>
          </w:tcPr>
          <w:p w14:paraId="1E21B0E1" w14:textId="77777777" w:rsidR="00076EDB" w:rsidRPr="008F5D99" w:rsidRDefault="00076EDB" w:rsidP="00076EDB">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45,58%</w:t>
            </w:r>
          </w:p>
        </w:tc>
      </w:tr>
      <w:tr w:rsidR="00076EDB" w:rsidRPr="008F5D99" w14:paraId="5472F69F" w14:textId="77777777" w:rsidTr="00076EDB">
        <w:trPr>
          <w:trHeight w:val="300"/>
          <w:jc w:val="center"/>
        </w:trPr>
        <w:tc>
          <w:tcPr>
            <w:tcW w:w="1985" w:type="dxa"/>
            <w:tcBorders>
              <w:top w:val="nil"/>
              <w:left w:val="nil"/>
              <w:bottom w:val="nil"/>
              <w:right w:val="nil"/>
            </w:tcBorders>
            <w:shd w:val="clear" w:color="000000" w:fill="FFFFFF"/>
            <w:noWrap/>
            <w:vAlign w:val="center"/>
            <w:hideMark/>
          </w:tcPr>
          <w:p w14:paraId="63D99DCA" w14:textId="77777777" w:rsidR="00076EDB" w:rsidRPr="008F5D99" w:rsidRDefault="00076EDB" w:rsidP="00076EDB">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Entre 45 y 59</w:t>
            </w:r>
          </w:p>
        </w:tc>
        <w:tc>
          <w:tcPr>
            <w:tcW w:w="2835" w:type="dxa"/>
            <w:tcBorders>
              <w:top w:val="nil"/>
              <w:left w:val="nil"/>
              <w:bottom w:val="nil"/>
              <w:right w:val="nil"/>
            </w:tcBorders>
            <w:shd w:val="clear" w:color="auto" w:fill="auto"/>
            <w:noWrap/>
            <w:vAlign w:val="center"/>
            <w:hideMark/>
          </w:tcPr>
          <w:p w14:paraId="3E7A07A4" w14:textId="77777777" w:rsidR="00076EDB" w:rsidRPr="008F5D99" w:rsidRDefault="00076EDB" w:rsidP="00076EDB">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28,65%</w:t>
            </w:r>
          </w:p>
        </w:tc>
        <w:tc>
          <w:tcPr>
            <w:tcW w:w="2977" w:type="dxa"/>
            <w:tcBorders>
              <w:top w:val="nil"/>
              <w:left w:val="nil"/>
              <w:bottom w:val="nil"/>
              <w:right w:val="nil"/>
            </w:tcBorders>
            <w:shd w:val="clear" w:color="auto" w:fill="auto"/>
            <w:noWrap/>
            <w:vAlign w:val="center"/>
            <w:hideMark/>
          </w:tcPr>
          <w:p w14:paraId="1852CBBD" w14:textId="77777777" w:rsidR="00076EDB" w:rsidRPr="008F5D99" w:rsidRDefault="00076EDB" w:rsidP="00076EDB">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39,38%</w:t>
            </w:r>
          </w:p>
        </w:tc>
      </w:tr>
      <w:tr w:rsidR="00076EDB" w:rsidRPr="008F5D99" w14:paraId="2D192789" w14:textId="77777777" w:rsidTr="00076EDB">
        <w:trPr>
          <w:trHeight w:val="300"/>
          <w:jc w:val="center"/>
        </w:trPr>
        <w:tc>
          <w:tcPr>
            <w:tcW w:w="1985" w:type="dxa"/>
            <w:tcBorders>
              <w:top w:val="nil"/>
              <w:left w:val="nil"/>
              <w:bottom w:val="single" w:sz="4" w:space="0" w:color="auto"/>
              <w:right w:val="nil"/>
            </w:tcBorders>
            <w:shd w:val="clear" w:color="000000" w:fill="FFFFFF"/>
            <w:noWrap/>
            <w:vAlign w:val="center"/>
            <w:hideMark/>
          </w:tcPr>
          <w:p w14:paraId="4A7BC584" w14:textId="77777777" w:rsidR="00076EDB" w:rsidRPr="008F5D99" w:rsidRDefault="00076EDB" w:rsidP="00076EDB">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Mayor o igual a 60</w:t>
            </w:r>
          </w:p>
        </w:tc>
        <w:tc>
          <w:tcPr>
            <w:tcW w:w="2835" w:type="dxa"/>
            <w:tcBorders>
              <w:top w:val="nil"/>
              <w:left w:val="nil"/>
              <w:bottom w:val="single" w:sz="4" w:space="0" w:color="auto"/>
              <w:right w:val="nil"/>
            </w:tcBorders>
            <w:shd w:val="clear" w:color="auto" w:fill="auto"/>
            <w:noWrap/>
            <w:vAlign w:val="center"/>
            <w:hideMark/>
          </w:tcPr>
          <w:p w14:paraId="50C35199" w14:textId="77777777" w:rsidR="00076EDB" w:rsidRPr="008F5D99" w:rsidRDefault="00076EDB" w:rsidP="00076EDB">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3,94%</w:t>
            </w:r>
          </w:p>
        </w:tc>
        <w:tc>
          <w:tcPr>
            <w:tcW w:w="2977" w:type="dxa"/>
            <w:tcBorders>
              <w:top w:val="nil"/>
              <w:left w:val="nil"/>
              <w:bottom w:val="single" w:sz="4" w:space="0" w:color="auto"/>
              <w:right w:val="nil"/>
            </w:tcBorders>
            <w:shd w:val="clear" w:color="auto" w:fill="auto"/>
            <w:noWrap/>
            <w:vAlign w:val="center"/>
            <w:hideMark/>
          </w:tcPr>
          <w:p w14:paraId="57F08A81" w14:textId="77777777" w:rsidR="00076EDB" w:rsidRPr="008F5D99" w:rsidRDefault="00076EDB" w:rsidP="00076EDB">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7,79%</w:t>
            </w:r>
          </w:p>
        </w:tc>
      </w:tr>
    </w:tbl>
    <w:p w14:paraId="6A99463C" w14:textId="77777777" w:rsidR="00641B72" w:rsidRPr="009B7058" w:rsidRDefault="00641B72" w:rsidP="00641B72">
      <w:pPr>
        <w:spacing w:before="40" w:after="20" w:line="240" w:lineRule="auto"/>
        <w:ind w:left="567"/>
        <w:rPr>
          <w:rFonts w:asciiTheme="majorHAnsi" w:hAnsiTheme="majorHAnsi" w:cstheme="minorHAnsi"/>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5C8C6B09" w14:textId="77777777" w:rsidR="00772349" w:rsidRPr="00076BF6" w:rsidRDefault="00772349" w:rsidP="00AB1521">
      <w:pPr>
        <w:spacing w:after="0" w:line="240" w:lineRule="auto"/>
        <w:jc w:val="both"/>
        <w:rPr>
          <w:rFonts w:asciiTheme="majorHAnsi" w:hAnsiTheme="majorHAnsi" w:cstheme="minorHAnsi"/>
          <w:lang w:val="es-CR"/>
        </w:rPr>
      </w:pPr>
    </w:p>
    <w:p w14:paraId="394B2DA6" w14:textId="77777777" w:rsidR="007D0BC7" w:rsidRPr="00076BF6" w:rsidRDefault="00AF66E8" w:rsidP="00865B1F">
      <w:pPr>
        <w:pStyle w:val="Ttulo2"/>
        <w:rPr>
          <w:rFonts w:cstheme="minorHAnsi"/>
        </w:rPr>
      </w:pPr>
      <w:r w:rsidRPr="00076BF6">
        <w:rPr>
          <w:rFonts w:cstheme="minorHAnsi"/>
        </w:rPr>
        <w:t xml:space="preserve">Desempeño de </w:t>
      </w:r>
      <w:r w:rsidR="007D0BC7" w:rsidRPr="00076BF6">
        <w:rPr>
          <w:rFonts w:cstheme="minorHAnsi"/>
        </w:rPr>
        <w:t>Gestores del Régimen Complementario</w:t>
      </w:r>
    </w:p>
    <w:p w14:paraId="3382A365" w14:textId="77777777" w:rsidR="00AF66E8" w:rsidRPr="00076BF6" w:rsidRDefault="00AF66E8" w:rsidP="00AB1521">
      <w:pPr>
        <w:spacing w:after="0" w:line="240" w:lineRule="auto"/>
        <w:jc w:val="both"/>
        <w:rPr>
          <w:rFonts w:asciiTheme="majorHAnsi" w:hAnsiTheme="majorHAnsi" w:cstheme="minorHAnsi"/>
        </w:rPr>
      </w:pPr>
    </w:p>
    <w:p w14:paraId="6BBAA2A4" w14:textId="77777777" w:rsidR="007D0BC7" w:rsidRPr="00076BF6" w:rsidRDefault="007D0BC7" w:rsidP="00AB1521">
      <w:pPr>
        <w:spacing w:after="0" w:line="240" w:lineRule="auto"/>
        <w:jc w:val="both"/>
        <w:rPr>
          <w:rFonts w:asciiTheme="majorHAnsi" w:hAnsiTheme="majorHAnsi" w:cstheme="minorHAnsi"/>
        </w:rPr>
      </w:pPr>
      <w:r w:rsidRPr="00076BF6">
        <w:rPr>
          <w:rFonts w:asciiTheme="majorHAnsi" w:hAnsiTheme="majorHAnsi" w:cstheme="minorHAnsi"/>
        </w:rPr>
        <w:t xml:space="preserve">Al ser el ROP un fondo de </w:t>
      </w:r>
      <w:r w:rsidR="00E2503F" w:rsidRPr="00076BF6">
        <w:rPr>
          <w:rFonts w:asciiTheme="majorHAnsi" w:hAnsiTheme="majorHAnsi" w:cstheme="minorHAnsi"/>
        </w:rPr>
        <w:t>pensiones</w:t>
      </w:r>
      <w:r w:rsidRPr="00076BF6">
        <w:rPr>
          <w:rFonts w:asciiTheme="majorHAnsi" w:hAnsiTheme="majorHAnsi" w:cstheme="minorHAnsi"/>
        </w:rPr>
        <w:t xml:space="preserve"> obligatorio, la regulación ha establecido mecanismos de protección al afiliado, específica</w:t>
      </w:r>
      <w:r w:rsidR="00E2503F" w:rsidRPr="00076BF6">
        <w:rPr>
          <w:rFonts w:asciiTheme="majorHAnsi" w:hAnsiTheme="majorHAnsi" w:cstheme="minorHAnsi"/>
        </w:rPr>
        <w:t>mente la posibilidad de que el s</w:t>
      </w:r>
      <w:r w:rsidRPr="00076BF6">
        <w:rPr>
          <w:rFonts w:asciiTheme="majorHAnsi" w:hAnsiTheme="majorHAnsi" w:cstheme="minorHAnsi"/>
        </w:rPr>
        <w:t xml:space="preserve">upervisor mediante regulación disponga topes a los precios que estas cobran. Según lo establece el Reglamento de Apertura y Funcionamiento de las Entidades Autorizadas (RAF), las comisiones de administración de este producto son sobre saldo y deben ajustarse, actualmente </w:t>
      </w:r>
      <w:r w:rsidR="00E2503F" w:rsidRPr="00076BF6">
        <w:rPr>
          <w:rFonts w:asciiTheme="majorHAnsi" w:hAnsiTheme="majorHAnsi" w:cstheme="minorHAnsi"/>
        </w:rPr>
        <w:t xml:space="preserve">el tope máximo es de </w:t>
      </w:r>
      <w:r w:rsidRPr="00076BF6">
        <w:rPr>
          <w:rFonts w:asciiTheme="majorHAnsi" w:hAnsiTheme="majorHAnsi" w:cstheme="minorHAnsi"/>
        </w:rPr>
        <w:t>0</w:t>
      </w:r>
      <w:r w:rsidR="00E2503F" w:rsidRPr="00076BF6">
        <w:rPr>
          <w:rFonts w:asciiTheme="majorHAnsi" w:hAnsiTheme="majorHAnsi" w:cstheme="minorHAnsi"/>
        </w:rPr>
        <w:t>,</w:t>
      </w:r>
      <w:r w:rsidRPr="00076BF6">
        <w:rPr>
          <w:rFonts w:asciiTheme="majorHAnsi" w:hAnsiTheme="majorHAnsi" w:cstheme="minorHAnsi"/>
        </w:rPr>
        <w:t>5</w:t>
      </w:r>
      <w:r w:rsidR="00E2503F" w:rsidRPr="00076BF6">
        <w:rPr>
          <w:rFonts w:asciiTheme="majorHAnsi" w:hAnsiTheme="majorHAnsi" w:cstheme="minorHAnsi"/>
        </w:rPr>
        <w:t>0</w:t>
      </w:r>
      <w:r w:rsidRPr="00076BF6">
        <w:rPr>
          <w:rFonts w:asciiTheme="majorHAnsi" w:hAnsiTheme="majorHAnsi" w:cstheme="minorHAnsi"/>
        </w:rPr>
        <w:t xml:space="preserve">% anual sobre saldo y </w:t>
      </w:r>
      <w:r w:rsidR="00E2503F" w:rsidRPr="00076BF6">
        <w:rPr>
          <w:rFonts w:asciiTheme="majorHAnsi" w:hAnsiTheme="majorHAnsi" w:cstheme="minorHAnsi"/>
        </w:rPr>
        <w:t xml:space="preserve">se tiene establecido que </w:t>
      </w:r>
      <w:r w:rsidRPr="00076BF6">
        <w:rPr>
          <w:rFonts w:asciiTheme="majorHAnsi" w:hAnsiTheme="majorHAnsi" w:cstheme="minorHAnsi"/>
        </w:rPr>
        <w:t xml:space="preserve">en el 2020 </w:t>
      </w:r>
      <w:r w:rsidR="00E2503F" w:rsidRPr="00076BF6">
        <w:rPr>
          <w:rFonts w:asciiTheme="majorHAnsi" w:hAnsiTheme="majorHAnsi" w:cstheme="minorHAnsi"/>
        </w:rPr>
        <w:t>se disminuya a 0,35% sobre saldo. Sin embargo, durante el 2019 se tiene previsto realizar una validación de</w:t>
      </w:r>
      <w:r w:rsidR="00B72A57" w:rsidRPr="00076BF6">
        <w:rPr>
          <w:rFonts w:asciiTheme="majorHAnsi" w:hAnsiTheme="majorHAnsi" w:cstheme="minorHAnsi"/>
        </w:rPr>
        <w:t xml:space="preserve">l </w:t>
      </w:r>
      <w:r w:rsidR="00E2503F" w:rsidRPr="00076BF6">
        <w:rPr>
          <w:rFonts w:asciiTheme="majorHAnsi" w:hAnsiTheme="majorHAnsi" w:cstheme="minorHAnsi"/>
        </w:rPr>
        <w:t>modelo utilizado y los costos contemplados para la fijación de la comisión máxima.</w:t>
      </w:r>
    </w:p>
    <w:p w14:paraId="5C71F136" w14:textId="77777777" w:rsidR="007D0BC7" w:rsidRPr="00076BF6" w:rsidRDefault="007D0BC7" w:rsidP="00AB1521">
      <w:pPr>
        <w:spacing w:after="0" w:line="240" w:lineRule="auto"/>
        <w:jc w:val="both"/>
        <w:rPr>
          <w:rFonts w:asciiTheme="majorHAnsi" w:hAnsiTheme="majorHAnsi" w:cstheme="minorHAnsi"/>
        </w:rPr>
      </w:pPr>
    </w:p>
    <w:p w14:paraId="65F2F1D9" w14:textId="77777777" w:rsidR="007D0BC7" w:rsidRPr="00076BF6" w:rsidRDefault="007D0BC7" w:rsidP="00AB1521">
      <w:pPr>
        <w:spacing w:after="0" w:line="240" w:lineRule="auto"/>
        <w:jc w:val="both"/>
        <w:rPr>
          <w:rFonts w:asciiTheme="majorHAnsi" w:hAnsiTheme="majorHAnsi" w:cstheme="minorHAnsi"/>
        </w:rPr>
      </w:pPr>
      <w:r w:rsidRPr="00076BF6">
        <w:rPr>
          <w:rFonts w:asciiTheme="majorHAnsi" w:hAnsiTheme="majorHAnsi" w:cstheme="minorHAnsi"/>
        </w:rPr>
        <w:t xml:space="preserve">En 2016 el ingreso operativo del ROP fue de </w:t>
      </w:r>
      <w:r w:rsidR="00076BF6" w:rsidRPr="00076BF6">
        <w:rPr>
          <w:rFonts w:asciiTheme="majorHAnsi" w:hAnsiTheme="majorHAnsi" w:cstheme="minorHAnsi"/>
        </w:rPr>
        <w:t>46 700</w:t>
      </w:r>
      <w:r w:rsidRPr="00076BF6">
        <w:rPr>
          <w:rFonts w:asciiTheme="majorHAnsi" w:hAnsiTheme="majorHAnsi" w:cstheme="minorHAnsi"/>
        </w:rPr>
        <w:t xml:space="preserve"> millones de colo</w:t>
      </w:r>
      <w:r w:rsidR="00E2503F" w:rsidRPr="00076BF6">
        <w:rPr>
          <w:rFonts w:asciiTheme="majorHAnsi" w:hAnsiTheme="majorHAnsi" w:cstheme="minorHAnsi"/>
        </w:rPr>
        <w:t xml:space="preserve">nes y en el 2017 descendió a </w:t>
      </w:r>
      <w:r w:rsidR="00076BF6" w:rsidRPr="00076BF6">
        <w:rPr>
          <w:rFonts w:asciiTheme="majorHAnsi" w:hAnsiTheme="majorHAnsi" w:cstheme="minorHAnsi"/>
        </w:rPr>
        <w:t>37 791</w:t>
      </w:r>
      <w:r w:rsidRPr="00076BF6">
        <w:rPr>
          <w:rFonts w:asciiTheme="majorHAnsi" w:hAnsiTheme="majorHAnsi" w:cstheme="minorHAnsi"/>
        </w:rPr>
        <w:t xml:space="preserve"> millones, producto de pasa</w:t>
      </w:r>
      <w:r w:rsidR="00B72A57" w:rsidRPr="00076BF6">
        <w:rPr>
          <w:rFonts w:asciiTheme="majorHAnsi" w:hAnsiTheme="majorHAnsi" w:cstheme="minorHAnsi"/>
        </w:rPr>
        <w:t>r</w:t>
      </w:r>
      <w:r w:rsidRPr="00076BF6">
        <w:rPr>
          <w:rFonts w:asciiTheme="majorHAnsi" w:hAnsiTheme="majorHAnsi" w:cstheme="minorHAnsi"/>
        </w:rPr>
        <w:t xml:space="preserve"> la comisión de 0,7% sobre saldo a 0,5%. El ingreso operativo paulatinamente se recupera conforme los activos administrados aumentan. Para </w:t>
      </w:r>
      <w:r w:rsidR="00076BF6" w:rsidRPr="00076BF6">
        <w:rPr>
          <w:rFonts w:asciiTheme="majorHAnsi" w:hAnsiTheme="majorHAnsi" w:cstheme="minorHAnsi"/>
        </w:rPr>
        <w:t>dicie</w:t>
      </w:r>
      <w:r w:rsidRPr="00076BF6">
        <w:rPr>
          <w:rFonts w:asciiTheme="majorHAnsi" w:hAnsiTheme="majorHAnsi" w:cstheme="minorHAnsi"/>
        </w:rPr>
        <w:t>mbre del 2018 (últimos 12 mese</w:t>
      </w:r>
      <w:r w:rsidR="00E2503F" w:rsidRPr="00076BF6">
        <w:rPr>
          <w:rFonts w:asciiTheme="majorHAnsi" w:hAnsiTheme="majorHAnsi" w:cstheme="minorHAnsi"/>
        </w:rPr>
        <w:t>s) el ingreso ya alcanza los 4</w:t>
      </w:r>
      <w:r w:rsidR="00076BF6" w:rsidRPr="00076BF6">
        <w:rPr>
          <w:rFonts w:asciiTheme="majorHAnsi" w:hAnsiTheme="majorHAnsi" w:cstheme="minorHAnsi"/>
        </w:rPr>
        <w:t>2</w:t>
      </w:r>
      <w:r w:rsidR="00E2503F" w:rsidRPr="00076BF6">
        <w:rPr>
          <w:rFonts w:asciiTheme="majorHAnsi" w:hAnsiTheme="majorHAnsi" w:cstheme="minorHAnsi"/>
        </w:rPr>
        <w:t xml:space="preserve"> </w:t>
      </w:r>
      <w:r w:rsidR="00076BF6" w:rsidRPr="00076BF6">
        <w:rPr>
          <w:rFonts w:asciiTheme="majorHAnsi" w:hAnsiTheme="majorHAnsi" w:cstheme="minorHAnsi"/>
        </w:rPr>
        <w:t>730</w:t>
      </w:r>
      <w:r w:rsidRPr="00076BF6">
        <w:rPr>
          <w:rFonts w:asciiTheme="majorHAnsi" w:hAnsiTheme="majorHAnsi" w:cstheme="minorHAnsi"/>
        </w:rPr>
        <w:t xml:space="preserve"> millones y seguirá en aumento hasta el 2</w:t>
      </w:r>
      <w:r w:rsidR="00B72A57" w:rsidRPr="00076BF6">
        <w:rPr>
          <w:rFonts w:asciiTheme="majorHAnsi" w:hAnsiTheme="majorHAnsi" w:cstheme="minorHAnsi"/>
        </w:rPr>
        <w:t>020. En términos generales las seis</w:t>
      </w:r>
      <w:r w:rsidRPr="00076BF6">
        <w:rPr>
          <w:rFonts w:asciiTheme="majorHAnsi" w:hAnsiTheme="majorHAnsi" w:cstheme="minorHAnsi"/>
        </w:rPr>
        <w:t xml:space="preserve"> operadoras anualmen</w:t>
      </w:r>
      <w:r w:rsidR="00E2503F" w:rsidRPr="00076BF6">
        <w:rPr>
          <w:rFonts w:asciiTheme="majorHAnsi" w:hAnsiTheme="majorHAnsi" w:cstheme="minorHAnsi"/>
        </w:rPr>
        <w:t xml:space="preserve">te tienen utilidades antes de impuestos y distribución de utilidades </w:t>
      </w:r>
      <w:r w:rsidR="006062AD" w:rsidRPr="00076BF6">
        <w:rPr>
          <w:rFonts w:asciiTheme="majorHAnsi" w:hAnsiTheme="majorHAnsi" w:cstheme="minorHAnsi"/>
        </w:rPr>
        <w:t xml:space="preserve">superiores a </w:t>
      </w:r>
      <w:r w:rsidR="00076BF6" w:rsidRPr="00076BF6">
        <w:rPr>
          <w:rFonts w:asciiTheme="majorHAnsi" w:hAnsiTheme="majorHAnsi" w:cstheme="minorHAnsi"/>
        </w:rPr>
        <w:t>13</w:t>
      </w:r>
      <w:r w:rsidR="006062AD" w:rsidRPr="00076BF6">
        <w:rPr>
          <w:rFonts w:asciiTheme="majorHAnsi" w:hAnsiTheme="majorHAnsi" w:cstheme="minorHAnsi"/>
        </w:rPr>
        <w:t xml:space="preserve"> mil millones de colones por el periodo comprendido entre octubre 2017 y setiembre 2018.</w:t>
      </w:r>
    </w:p>
    <w:p w14:paraId="62199465" w14:textId="77777777" w:rsidR="00AF1B87" w:rsidRPr="00076BF6" w:rsidRDefault="00AF1B87" w:rsidP="00AB1521">
      <w:pPr>
        <w:spacing w:after="0" w:line="240" w:lineRule="auto"/>
        <w:jc w:val="center"/>
        <w:rPr>
          <w:rFonts w:asciiTheme="majorHAnsi" w:hAnsiTheme="majorHAnsi" w:cstheme="minorHAnsi"/>
        </w:rPr>
      </w:pPr>
    </w:p>
    <w:p w14:paraId="5EE9DD20" w14:textId="77777777" w:rsidR="007C759A" w:rsidRDefault="007C759A">
      <w:pPr>
        <w:rPr>
          <w:rFonts w:asciiTheme="majorHAnsi" w:hAnsiTheme="majorHAnsi" w:cstheme="minorHAnsi"/>
        </w:rPr>
      </w:pPr>
      <w:r>
        <w:rPr>
          <w:rFonts w:asciiTheme="majorHAnsi" w:hAnsiTheme="majorHAnsi" w:cstheme="minorHAnsi"/>
        </w:rPr>
        <w:br w:type="page"/>
      </w:r>
    </w:p>
    <w:p w14:paraId="69083894" w14:textId="611E3526" w:rsidR="00076BF6" w:rsidRPr="008F5D99" w:rsidRDefault="00076BF6" w:rsidP="00076BF6">
      <w:pPr>
        <w:spacing w:after="0" w:line="240" w:lineRule="auto"/>
        <w:jc w:val="center"/>
        <w:rPr>
          <w:rFonts w:asciiTheme="majorHAnsi" w:hAnsiTheme="majorHAnsi" w:cstheme="minorHAnsi"/>
        </w:rPr>
      </w:pPr>
      <w:r w:rsidRPr="001345C6">
        <w:rPr>
          <w:rFonts w:asciiTheme="majorHAnsi" w:hAnsiTheme="majorHAnsi" w:cstheme="minorHAnsi"/>
        </w:rPr>
        <w:lastRenderedPageBreak/>
        <w:t xml:space="preserve">Cuadro </w:t>
      </w:r>
      <w:r w:rsidRPr="001345C6">
        <w:rPr>
          <w:rFonts w:asciiTheme="majorHAnsi" w:hAnsiTheme="majorHAnsi" w:cstheme="minorHAnsi"/>
        </w:rPr>
        <w:fldChar w:fldCharType="begin"/>
      </w:r>
      <w:r w:rsidRPr="001345C6">
        <w:rPr>
          <w:rFonts w:asciiTheme="majorHAnsi" w:hAnsiTheme="majorHAnsi" w:cstheme="minorHAnsi"/>
        </w:rPr>
        <w:instrText xml:space="preserve"> SEQ Cuadro \* ARABIC </w:instrText>
      </w:r>
      <w:r w:rsidRPr="001345C6">
        <w:rPr>
          <w:rFonts w:asciiTheme="majorHAnsi" w:hAnsiTheme="majorHAnsi" w:cstheme="minorHAnsi"/>
        </w:rPr>
        <w:fldChar w:fldCharType="separate"/>
      </w:r>
      <w:r w:rsidR="00CE6261">
        <w:rPr>
          <w:rFonts w:asciiTheme="majorHAnsi" w:hAnsiTheme="majorHAnsi" w:cstheme="minorHAnsi"/>
          <w:noProof/>
        </w:rPr>
        <w:t>17</w:t>
      </w:r>
      <w:r w:rsidRPr="001345C6">
        <w:rPr>
          <w:rFonts w:asciiTheme="majorHAnsi" w:hAnsiTheme="majorHAnsi" w:cstheme="minorHAnsi"/>
        </w:rPr>
        <w:fldChar w:fldCharType="end"/>
      </w:r>
    </w:p>
    <w:p w14:paraId="3CC7B82B" w14:textId="77777777" w:rsidR="007D0BC7" w:rsidRPr="00076BF6" w:rsidRDefault="007D0BC7" w:rsidP="00AB1521">
      <w:pPr>
        <w:spacing w:after="0" w:line="240" w:lineRule="auto"/>
        <w:jc w:val="center"/>
        <w:rPr>
          <w:rFonts w:asciiTheme="majorHAnsi" w:hAnsiTheme="majorHAnsi" w:cstheme="minorHAnsi"/>
        </w:rPr>
      </w:pPr>
      <w:r w:rsidRPr="00076BF6">
        <w:rPr>
          <w:rFonts w:asciiTheme="majorHAnsi" w:hAnsiTheme="majorHAnsi" w:cstheme="minorHAnsi"/>
        </w:rPr>
        <w:t>Indicadores financieros Gestores de Pensiones</w:t>
      </w:r>
    </w:p>
    <w:p w14:paraId="35A35BF1" w14:textId="77777777" w:rsidR="00CE6261" w:rsidRDefault="002B4DA8" w:rsidP="00AB1521">
      <w:pPr>
        <w:spacing w:after="0" w:line="240" w:lineRule="auto"/>
        <w:jc w:val="center"/>
        <w:rPr>
          <w:rFonts w:asciiTheme="majorHAnsi" w:hAnsiTheme="majorHAnsi" w:cstheme="minorHAnsi"/>
        </w:rPr>
      </w:pPr>
      <w:r w:rsidRPr="00076BF6">
        <w:rPr>
          <w:rFonts w:asciiTheme="majorHAnsi" w:hAnsiTheme="majorHAnsi" w:cstheme="minorHAnsi"/>
        </w:rPr>
        <w:t>Diciembre</w:t>
      </w:r>
      <w:r w:rsidR="007D0BC7" w:rsidRPr="00076BF6">
        <w:rPr>
          <w:rFonts w:asciiTheme="majorHAnsi" w:hAnsiTheme="majorHAnsi" w:cstheme="minorHAnsi"/>
        </w:rPr>
        <w:t xml:space="preserve"> de cada año </w:t>
      </w:r>
    </w:p>
    <w:p w14:paraId="25CA7C93" w14:textId="77777777" w:rsidR="007D0BC7" w:rsidRPr="00076BF6" w:rsidRDefault="00CE6261" w:rsidP="00AB1521">
      <w:pPr>
        <w:spacing w:after="0" w:line="240" w:lineRule="auto"/>
        <w:jc w:val="center"/>
        <w:rPr>
          <w:rFonts w:asciiTheme="majorHAnsi" w:hAnsiTheme="majorHAnsi" w:cstheme="minorHAnsi"/>
        </w:rPr>
      </w:pPr>
      <w:r>
        <w:rPr>
          <w:rFonts w:asciiTheme="majorHAnsi" w:hAnsiTheme="majorHAnsi" w:cstheme="minorHAnsi"/>
        </w:rPr>
        <w:t>En</w:t>
      </w:r>
      <w:r w:rsidR="007D0BC7" w:rsidRPr="00076BF6">
        <w:rPr>
          <w:rFonts w:asciiTheme="majorHAnsi" w:hAnsiTheme="majorHAnsi" w:cstheme="minorHAnsi"/>
        </w:rPr>
        <w:t xml:space="preserve"> millones de colones</w:t>
      </w:r>
      <w:r>
        <w:rPr>
          <w:rFonts w:asciiTheme="majorHAnsi" w:hAnsiTheme="majorHAnsi" w:cstheme="minorHAnsi"/>
        </w:rPr>
        <w:t xml:space="preserve"> costarricenses</w:t>
      </w:r>
    </w:p>
    <w:tbl>
      <w:tblPr>
        <w:tblW w:w="8080" w:type="dxa"/>
        <w:jc w:val="center"/>
        <w:tblCellMar>
          <w:left w:w="70" w:type="dxa"/>
          <w:right w:w="70" w:type="dxa"/>
        </w:tblCellMar>
        <w:tblLook w:val="04A0" w:firstRow="1" w:lastRow="0" w:firstColumn="1" w:lastColumn="0" w:noHBand="0" w:noVBand="1"/>
      </w:tblPr>
      <w:tblGrid>
        <w:gridCol w:w="628"/>
        <w:gridCol w:w="1215"/>
        <w:gridCol w:w="1276"/>
        <w:gridCol w:w="1276"/>
        <w:gridCol w:w="1259"/>
        <w:gridCol w:w="2426"/>
      </w:tblGrid>
      <w:tr w:rsidR="002B4DA8" w:rsidRPr="002B4DA8" w14:paraId="6AB93685" w14:textId="77777777" w:rsidTr="00076BF6">
        <w:trPr>
          <w:trHeight w:val="509"/>
          <w:jc w:val="center"/>
        </w:trPr>
        <w:tc>
          <w:tcPr>
            <w:tcW w:w="628" w:type="dxa"/>
            <w:vMerge w:val="restart"/>
            <w:tcBorders>
              <w:top w:val="single" w:sz="4" w:space="0" w:color="auto"/>
              <w:left w:val="nil"/>
              <w:bottom w:val="double" w:sz="6" w:space="0" w:color="000000"/>
              <w:right w:val="nil"/>
            </w:tcBorders>
            <w:shd w:val="clear" w:color="auto" w:fill="auto"/>
            <w:noWrap/>
            <w:vAlign w:val="center"/>
            <w:hideMark/>
          </w:tcPr>
          <w:p w14:paraId="4D242532" w14:textId="77777777" w:rsidR="002B4DA8"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Año</w:t>
            </w:r>
          </w:p>
        </w:tc>
        <w:tc>
          <w:tcPr>
            <w:tcW w:w="1215" w:type="dxa"/>
            <w:vMerge w:val="restart"/>
            <w:tcBorders>
              <w:top w:val="single" w:sz="4" w:space="0" w:color="auto"/>
              <w:left w:val="nil"/>
              <w:bottom w:val="double" w:sz="6" w:space="0" w:color="000000"/>
              <w:right w:val="nil"/>
            </w:tcBorders>
            <w:shd w:val="clear" w:color="auto" w:fill="auto"/>
            <w:vAlign w:val="center"/>
            <w:hideMark/>
          </w:tcPr>
          <w:p w14:paraId="611323A9" w14:textId="77777777" w:rsidR="002B4DA8"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Ingreso operativo</w:t>
            </w:r>
          </w:p>
        </w:tc>
        <w:tc>
          <w:tcPr>
            <w:tcW w:w="1276" w:type="dxa"/>
            <w:vMerge w:val="restart"/>
            <w:tcBorders>
              <w:top w:val="single" w:sz="4" w:space="0" w:color="auto"/>
              <w:left w:val="nil"/>
              <w:bottom w:val="double" w:sz="6" w:space="0" w:color="000000"/>
              <w:right w:val="nil"/>
            </w:tcBorders>
            <w:shd w:val="clear" w:color="auto" w:fill="auto"/>
            <w:vAlign w:val="center"/>
            <w:hideMark/>
          </w:tcPr>
          <w:p w14:paraId="158BCF05" w14:textId="77777777" w:rsidR="00076BF6"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 xml:space="preserve">Gasto </w:t>
            </w:r>
          </w:p>
          <w:p w14:paraId="048D623C" w14:textId="77777777" w:rsidR="002B4DA8"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 xml:space="preserve">operativo </w:t>
            </w:r>
          </w:p>
        </w:tc>
        <w:tc>
          <w:tcPr>
            <w:tcW w:w="1276" w:type="dxa"/>
            <w:vMerge w:val="restart"/>
            <w:tcBorders>
              <w:top w:val="single" w:sz="4" w:space="0" w:color="auto"/>
              <w:left w:val="nil"/>
              <w:bottom w:val="double" w:sz="6" w:space="0" w:color="000000"/>
              <w:right w:val="nil"/>
            </w:tcBorders>
            <w:shd w:val="clear" w:color="auto" w:fill="auto"/>
            <w:vAlign w:val="center"/>
            <w:hideMark/>
          </w:tcPr>
          <w:p w14:paraId="00CEA013" w14:textId="77777777" w:rsidR="00076BF6"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 xml:space="preserve">Resultado </w:t>
            </w:r>
          </w:p>
          <w:p w14:paraId="6302A748" w14:textId="77777777" w:rsidR="002B4DA8"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operativo</w:t>
            </w:r>
          </w:p>
        </w:tc>
        <w:tc>
          <w:tcPr>
            <w:tcW w:w="1259" w:type="dxa"/>
            <w:vMerge w:val="restart"/>
            <w:tcBorders>
              <w:top w:val="single" w:sz="4" w:space="0" w:color="auto"/>
              <w:left w:val="nil"/>
              <w:bottom w:val="double" w:sz="6" w:space="0" w:color="000000"/>
              <w:right w:val="nil"/>
            </w:tcBorders>
            <w:shd w:val="clear" w:color="auto" w:fill="auto"/>
            <w:vAlign w:val="center"/>
            <w:hideMark/>
          </w:tcPr>
          <w:p w14:paraId="581F1166" w14:textId="77777777" w:rsidR="00076BF6"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 xml:space="preserve">Resultado </w:t>
            </w:r>
          </w:p>
          <w:p w14:paraId="038A45AF" w14:textId="77777777" w:rsidR="002B4DA8"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neto</w:t>
            </w:r>
          </w:p>
        </w:tc>
        <w:tc>
          <w:tcPr>
            <w:tcW w:w="2426" w:type="dxa"/>
            <w:vMerge w:val="restart"/>
            <w:tcBorders>
              <w:top w:val="single" w:sz="4" w:space="0" w:color="auto"/>
              <w:left w:val="nil"/>
              <w:bottom w:val="double" w:sz="6" w:space="0" w:color="000000"/>
              <w:right w:val="nil"/>
            </w:tcBorders>
            <w:shd w:val="clear" w:color="auto" w:fill="auto"/>
            <w:vAlign w:val="center"/>
            <w:hideMark/>
          </w:tcPr>
          <w:p w14:paraId="038A94ED" w14:textId="77777777" w:rsidR="00076BF6"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 xml:space="preserve">Resultado antes de </w:t>
            </w:r>
          </w:p>
          <w:p w14:paraId="0456260A" w14:textId="77777777" w:rsidR="002B4DA8" w:rsidRPr="00076BF6" w:rsidRDefault="002B4DA8" w:rsidP="002B4DA8">
            <w:pPr>
              <w:spacing w:after="0" w:line="240" w:lineRule="auto"/>
              <w:jc w:val="center"/>
              <w:rPr>
                <w:rFonts w:ascii="Cambria" w:eastAsia="Times New Roman" w:hAnsi="Cambria" w:cs="Calibri"/>
                <w:b/>
                <w:color w:val="000000"/>
                <w:lang w:val="es-CR" w:eastAsia="es-CR"/>
              </w:rPr>
            </w:pPr>
            <w:r w:rsidRPr="00076BF6">
              <w:rPr>
                <w:rFonts w:ascii="Cambria" w:eastAsia="Times New Roman" w:hAnsi="Cambria" w:cs="Calibri"/>
                <w:b/>
                <w:color w:val="000000"/>
                <w:lang w:val="es-CR" w:eastAsia="es-CR"/>
              </w:rPr>
              <w:t>impuesto y utilidades</w:t>
            </w:r>
          </w:p>
        </w:tc>
      </w:tr>
      <w:tr w:rsidR="002B4DA8" w:rsidRPr="002B4DA8" w14:paraId="0DA123B1" w14:textId="77777777" w:rsidTr="00076BF6">
        <w:trPr>
          <w:trHeight w:val="509"/>
          <w:jc w:val="center"/>
        </w:trPr>
        <w:tc>
          <w:tcPr>
            <w:tcW w:w="628" w:type="dxa"/>
            <w:vMerge/>
            <w:tcBorders>
              <w:top w:val="single" w:sz="4" w:space="0" w:color="auto"/>
              <w:left w:val="nil"/>
              <w:bottom w:val="double" w:sz="6" w:space="0" w:color="000000"/>
              <w:right w:val="nil"/>
            </w:tcBorders>
            <w:vAlign w:val="center"/>
            <w:hideMark/>
          </w:tcPr>
          <w:p w14:paraId="4C4CEA3D" w14:textId="77777777" w:rsidR="002B4DA8" w:rsidRPr="002B4DA8" w:rsidRDefault="002B4DA8" w:rsidP="002B4DA8">
            <w:pPr>
              <w:spacing w:after="0" w:line="240" w:lineRule="auto"/>
              <w:rPr>
                <w:rFonts w:ascii="Cambria" w:eastAsia="Times New Roman" w:hAnsi="Cambria" w:cs="Calibri"/>
                <w:color w:val="000000"/>
                <w:lang w:val="es-CR" w:eastAsia="es-CR"/>
              </w:rPr>
            </w:pPr>
          </w:p>
        </w:tc>
        <w:tc>
          <w:tcPr>
            <w:tcW w:w="1215" w:type="dxa"/>
            <w:vMerge/>
            <w:tcBorders>
              <w:top w:val="single" w:sz="4" w:space="0" w:color="auto"/>
              <w:left w:val="nil"/>
              <w:bottom w:val="double" w:sz="6" w:space="0" w:color="000000"/>
              <w:right w:val="nil"/>
            </w:tcBorders>
            <w:vAlign w:val="center"/>
            <w:hideMark/>
          </w:tcPr>
          <w:p w14:paraId="50895670" w14:textId="77777777" w:rsidR="002B4DA8" w:rsidRPr="002B4DA8" w:rsidRDefault="002B4DA8" w:rsidP="002B4DA8">
            <w:pPr>
              <w:spacing w:after="0" w:line="240" w:lineRule="auto"/>
              <w:rPr>
                <w:rFonts w:ascii="Cambria" w:eastAsia="Times New Roman" w:hAnsi="Cambria" w:cs="Calibri"/>
                <w:color w:val="000000"/>
                <w:lang w:val="es-CR" w:eastAsia="es-CR"/>
              </w:rPr>
            </w:pPr>
          </w:p>
        </w:tc>
        <w:tc>
          <w:tcPr>
            <w:tcW w:w="1276" w:type="dxa"/>
            <w:vMerge/>
            <w:tcBorders>
              <w:top w:val="single" w:sz="4" w:space="0" w:color="auto"/>
              <w:left w:val="nil"/>
              <w:bottom w:val="double" w:sz="6" w:space="0" w:color="000000"/>
              <w:right w:val="nil"/>
            </w:tcBorders>
            <w:vAlign w:val="center"/>
            <w:hideMark/>
          </w:tcPr>
          <w:p w14:paraId="38C1F859" w14:textId="77777777" w:rsidR="002B4DA8" w:rsidRPr="002B4DA8" w:rsidRDefault="002B4DA8" w:rsidP="002B4DA8">
            <w:pPr>
              <w:spacing w:after="0" w:line="240" w:lineRule="auto"/>
              <w:rPr>
                <w:rFonts w:ascii="Cambria" w:eastAsia="Times New Roman" w:hAnsi="Cambria" w:cs="Calibri"/>
                <w:color w:val="000000"/>
                <w:lang w:val="es-CR" w:eastAsia="es-CR"/>
              </w:rPr>
            </w:pPr>
          </w:p>
        </w:tc>
        <w:tc>
          <w:tcPr>
            <w:tcW w:w="1276" w:type="dxa"/>
            <w:vMerge/>
            <w:tcBorders>
              <w:top w:val="single" w:sz="4" w:space="0" w:color="auto"/>
              <w:left w:val="nil"/>
              <w:bottom w:val="double" w:sz="6" w:space="0" w:color="000000"/>
              <w:right w:val="nil"/>
            </w:tcBorders>
            <w:vAlign w:val="center"/>
            <w:hideMark/>
          </w:tcPr>
          <w:p w14:paraId="0C8FE7CE" w14:textId="77777777" w:rsidR="002B4DA8" w:rsidRPr="002B4DA8" w:rsidRDefault="002B4DA8" w:rsidP="002B4DA8">
            <w:pPr>
              <w:spacing w:after="0" w:line="240" w:lineRule="auto"/>
              <w:rPr>
                <w:rFonts w:ascii="Cambria" w:eastAsia="Times New Roman" w:hAnsi="Cambria" w:cs="Calibri"/>
                <w:color w:val="000000"/>
                <w:lang w:val="es-CR" w:eastAsia="es-CR"/>
              </w:rPr>
            </w:pPr>
          </w:p>
        </w:tc>
        <w:tc>
          <w:tcPr>
            <w:tcW w:w="1259" w:type="dxa"/>
            <w:vMerge/>
            <w:tcBorders>
              <w:top w:val="single" w:sz="4" w:space="0" w:color="auto"/>
              <w:left w:val="nil"/>
              <w:bottom w:val="double" w:sz="6" w:space="0" w:color="000000"/>
              <w:right w:val="nil"/>
            </w:tcBorders>
            <w:vAlign w:val="center"/>
            <w:hideMark/>
          </w:tcPr>
          <w:p w14:paraId="41004F19" w14:textId="77777777" w:rsidR="002B4DA8" w:rsidRPr="002B4DA8" w:rsidRDefault="002B4DA8" w:rsidP="002B4DA8">
            <w:pPr>
              <w:spacing w:after="0" w:line="240" w:lineRule="auto"/>
              <w:rPr>
                <w:rFonts w:ascii="Cambria" w:eastAsia="Times New Roman" w:hAnsi="Cambria" w:cs="Calibri"/>
                <w:color w:val="000000"/>
                <w:lang w:val="es-CR" w:eastAsia="es-CR"/>
              </w:rPr>
            </w:pPr>
          </w:p>
        </w:tc>
        <w:tc>
          <w:tcPr>
            <w:tcW w:w="2426" w:type="dxa"/>
            <w:vMerge/>
            <w:tcBorders>
              <w:top w:val="single" w:sz="4" w:space="0" w:color="auto"/>
              <w:left w:val="nil"/>
              <w:bottom w:val="double" w:sz="6" w:space="0" w:color="000000"/>
              <w:right w:val="nil"/>
            </w:tcBorders>
            <w:vAlign w:val="center"/>
            <w:hideMark/>
          </w:tcPr>
          <w:p w14:paraId="67C0C651" w14:textId="77777777" w:rsidR="002B4DA8" w:rsidRPr="002B4DA8" w:rsidRDefault="002B4DA8" w:rsidP="002B4DA8">
            <w:pPr>
              <w:spacing w:after="0" w:line="240" w:lineRule="auto"/>
              <w:rPr>
                <w:rFonts w:ascii="Cambria" w:eastAsia="Times New Roman" w:hAnsi="Cambria" w:cs="Calibri"/>
                <w:color w:val="000000"/>
                <w:lang w:val="es-CR" w:eastAsia="es-CR"/>
              </w:rPr>
            </w:pPr>
          </w:p>
        </w:tc>
      </w:tr>
      <w:tr w:rsidR="002B4DA8" w:rsidRPr="002B4DA8" w14:paraId="5666F41D" w14:textId="77777777" w:rsidTr="00076BF6">
        <w:trPr>
          <w:trHeight w:val="315"/>
          <w:jc w:val="center"/>
        </w:trPr>
        <w:tc>
          <w:tcPr>
            <w:tcW w:w="628" w:type="dxa"/>
            <w:tcBorders>
              <w:top w:val="nil"/>
              <w:left w:val="nil"/>
              <w:bottom w:val="nil"/>
              <w:right w:val="nil"/>
            </w:tcBorders>
            <w:shd w:val="clear" w:color="auto" w:fill="auto"/>
            <w:noWrap/>
            <w:vAlign w:val="center"/>
            <w:hideMark/>
          </w:tcPr>
          <w:p w14:paraId="0B204CDF" w14:textId="77777777" w:rsidR="002B4DA8" w:rsidRPr="002B4DA8" w:rsidRDefault="002B4DA8" w:rsidP="002B4DA8">
            <w:pPr>
              <w:spacing w:after="0" w:line="240" w:lineRule="auto"/>
              <w:jc w:val="center"/>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2014</w:t>
            </w:r>
          </w:p>
        </w:tc>
        <w:tc>
          <w:tcPr>
            <w:tcW w:w="1215" w:type="dxa"/>
            <w:tcBorders>
              <w:top w:val="nil"/>
              <w:left w:val="nil"/>
              <w:bottom w:val="nil"/>
              <w:right w:val="nil"/>
            </w:tcBorders>
            <w:shd w:val="clear" w:color="auto" w:fill="auto"/>
            <w:noWrap/>
            <w:vAlign w:val="center"/>
            <w:hideMark/>
          </w:tcPr>
          <w:p w14:paraId="298696E6"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34 032,64 </w:t>
            </w:r>
          </w:p>
        </w:tc>
        <w:tc>
          <w:tcPr>
            <w:tcW w:w="1276" w:type="dxa"/>
            <w:tcBorders>
              <w:top w:val="nil"/>
              <w:left w:val="nil"/>
              <w:bottom w:val="nil"/>
              <w:right w:val="nil"/>
            </w:tcBorders>
            <w:shd w:val="clear" w:color="auto" w:fill="auto"/>
            <w:noWrap/>
            <w:vAlign w:val="center"/>
            <w:hideMark/>
          </w:tcPr>
          <w:p w14:paraId="5C5C7E49"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27 769,91 </w:t>
            </w:r>
          </w:p>
        </w:tc>
        <w:tc>
          <w:tcPr>
            <w:tcW w:w="1276" w:type="dxa"/>
            <w:tcBorders>
              <w:top w:val="nil"/>
              <w:left w:val="nil"/>
              <w:bottom w:val="nil"/>
              <w:right w:val="nil"/>
            </w:tcBorders>
            <w:shd w:val="clear" w:color="auto" w:fill="auto"/>
            <w:noWrap/>
            <w:vAlign w:val="center"/>
            <w:hideMark/>
          </w:tcPr>
          <w:p w14:paraId="3B7C4757"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6 262,73 </w:t>
            </w:r>
          </w:p>
        </w:tc>
        <w:tc>
          <w:tcPr>
            <w:tcW w:w="1259" w:type="dxa"/>
            <w:tcBorders>
              <w:top w:val="nil"/>
              <w:left w:val="nil"/>
              <w:bottom w:val="nil"/>
              <w:right w:val="nil"/>
            </w:tcBorders>
            <w:shd w:val="clear" w:color="auto" w:fill="auto"/>
            <w:noWrap/>
            <w:vAlign w:val="center"/>
            <w:hideMark/>
          </w:tcPr>
          <w:p w14:paraId="6050C147"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5 823,24 </w:t>
            </w:r>
          </w:p>
        </w:tc>
        <w:tc>
          <w:tcPr>
            <w:tcW w:w="2426" w:type="dxa"/>
            <w:tcBorders>
              <w:top w:val="nil"/>
              <w:left w:val="nil"/>
              <w:bottom w:val="nil"/>
              <w:right w:val="nil"/>
            </w:tcBorders>
            <w:shd w:val="clear" w:color="auto" w:fill="auto"/>
            <w:noWrap/>
            <w:vAlign w:val="center"/>
            <w:hideMark/>
          </w:tcPr>
          <w:p w14:paraId="6B359E7D"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9 319,78 </w:t>
            </w:r>
          </w:p>
        </w:tc>
      </w:tr>
      <w:tr w:rsidR="002B4DA8" w:rsidRPr="002B4DA8" w14:paraId="22A68C7E" w14:textId="77777777" w:rsidTr="00076BF6">
        <w:trPr>
          <w:trHeight w:val="300"/>
          <w:jc w:val="center"/>
        </w:trPr>
        <w:tc>
          <w:tcPr>
            <w:tcW w:w="628" w:type="dxa"/>
            <w:tcBorders>
              <w:top w:val="nil"/>
              <w:left w:val="nil"/>
              <w:bottom w:val="nil"/>
              <w:right w:val="nil"/>
            </w:tcBorders>
            <w:shd w:val="clear" w:color="auto" w:fill="auto"/>
            <w:noWrap/>
            <w:vAlign w:val="center"/>
            <w:hideMark/>
          </w:tcPr>
          <w:p w14:paraId="0F6B6B6F" w14:textId="77777777" w:rsidR="002B4DA8" w:rsidRPr="002B4DA8" w:rsidRDefault="002B4DA8" w:rsidP="002B4DA8">
            <w:pPr>
              <w:spacing w:after="0" w:line="240" w:lineRule="auto"/>
              <w:jc w:val="center"/>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2015</w:t>
            </w:r>
          </w:p>
        </w:tc>
        <w:tc>
          <w:tcPr>
            <w:tcW w:w="1215" w:type="dxa"/>
            <w:tcBorders>
              <w:top w:val="nil"/>
              <w:left w:val="nil"/>
              <w:bottom w:val="nil"/>
              <w:right w:val="nil"/>
            </w:tcBorders>
            <w:shd w:val="clear" w:color="auto" w:fill="auto"/>
            <w:noWrap/>
            <w:vAlign w:val="center"/>
            <w:hideMark/>
          </w:tcPr>
          <w:p w14:paraId="189B31D5"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39 612,29 </w:t>
            </w:r>
          </w:p>
        </w:tc>
        <w:tc>
          <w:tcPr>
            <w:tcW w:w="1276" w:type="dxa"/>
            <w:tcBorders>
              <w:top w:val="nil"/>
              <w:left w:val="nil"/>
              <w:bottom w:val="nil"/>
              <w:right w:val="nil"/>
            </w:tcBorders>
            <w:shd w:val="clear" w:color="auto" w:fill="auto"/>
            <w:noWrap/>
            <w:vAlign w:val="center"/>
            <w:hideMark/>
          </w:tcPr>
          <w:p w14:paraId="01CE125C"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30 122,75 </w:t>
            </w:r>
          </w:p>
        </w:tc>
        <w:tc>
          <w:tcPr>
            <w:tcW w:w="1276" w:type="dxa"/>
            <w:tcBorders>
              <w:top w:val="nil"/>
              <w:left w:val="nil"/>
              <w:bottom w:val="nil"/>
              <w:right w:val="nil"/>
            </w:tcBorders>
            <w:shd w:val="clear" w:color="auto" w:fill="auto"/>
            <w:noWrap/>
            <w:vAlign w:val="center"/>
            <w:hideMark/>
          </w:tcPr>
          <w:p w14:paraId="3EE698AC"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9 489,54 </w:t>
            </w:r>
          </w:p>
        </w:tc>
        <w:tc>
          <w:tcPr>
            <w:tcW w:w="1259" w:type="dxa"/>
            <w:tcBorders>
              <w:top w:val="nil"/>
              <w:left w:val="nil"/>
              <w:bottom w:val="nil"/>
              <w:right w:val="nil"/>
            </w:tcBorders>
            <w:shd w:val="clear" w:color="auto" w:fill="auto"/>
            <w:noWrap/>
            <w:vAlign w:val="center"/>
            <w:hideMark/>
          </w:tcPr>
          <w:p w14:paraId="059ABEC7"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5 193,59 </w:t>
            </w:r>
          </w:p>
        </w:tc>
        <w:tc>
          <w:tcPr>
            <w:tcW w:w="2426" w:type="dxa"/>
            <w:tcBorders>
              <w:top w:val="nil"/>
              <w:left w:val="nil"/>
              <w:bottom w:val="nil"/>
              <w:right w:val="nil"/>
            </w:tcBorders>
            <w:shd w:val="clear" w:color="auto" w:fill="auto"/>
            <w:noWrap/>
            <w:vAlign w:val="center"/>
            <w:hideMark/>
          </w:tcPr>
          <w:p w14:paraId="7C1F3BB2"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12 520,50 </w:t>
            </w:r>
          </w:p>
        </w:tc>
      </w:tr>
      <w:tr w:rsidR="002B4DA8" w:rsidRPr="002B4DA8" w14:paraId="239AA15F" w14:textId="77777777" w:rsidTr="00076BF6">
        <w:trPr>
          <w:trHeight w:val="300"/>
          <w:jc w:val="center"/>
        </w:trPr>
        <w:tc>
          <w:tcPr>
            <w:tcW w:w="628" w:type="dxa"/>
            <w:tcBorders>
              <w:top w:val="nil"/>
              <w:left w:val="nil"/>
              <w:bottom w:val="nil"/>
              <w:right w:val="nil"/>
            </w:tcBorders>
            <w:shd w:val="clear" w:color="auto" w:fill="auto"/>
            <w:noWrap/>
            <w:vAlign w:val="center"/>
            <w:hideMark/>
          </w:tcPr>
          <w:p w14:paraId="011B1E8E" w14:textId="77777777" w:rsidR="002B4DA8" w:rsidRPr="002B4DA8" w:rsidRDefault="002B4DA8" w:rsidP="002B4DA8">
            <w:pPr>
              <w:spacing w:after="0" w:line="240" w:lineRule="auto"/>
              <w:jc w:val="center"/>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2016</w:t>
            </w:r>
          </w:p>
        </w:tc>
        <w:tc>
          <w:tcPr>
            <w:tcW w:w="1215" w:type="dxa"/>
            <w:tcBorders>
              <w:top w:val="nil"/>
              <w:left w:val="nil"/>
              <w:bottom w:val="nil"/>
              <w:right w:val="nil"/>
            </w:tcBorders>
            <w:shd w:val="clear" w:color="auto" w:fill="auto"/>
            <w:noWrap/>
            <w:vAlign w:val="center"/>
            <w:hideMark/>
          </w:tcPr>
          <w:p w14:paraId="7E154E08"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42 699,54 </w:t>
            </w:r>
          </w:p>
        </w:tc>
        <w:tc>
          <w:tcPr>
            <w:tcW w:w="1276" w:type="dxa"/>
            <w:tcBorders>
              <w:top w:val="nil"/>
              <w:left w:val="nil"/>
              <w:bottom w:val="nil"/>
              <w:right w:val="nil"/>
            </w:tcBorders>
            <w:shd w:val="clear" w:color="auto" w:fill="auto"/>
            <w:noWrap/>
            <w:vAlign w:val="center"/>
            <w:hideMark/>
          </w:tcPr>
          <w:p w14:paraId="4B4EB892"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30 542,09 </w:t>
            </w:r>
          </w:p>
        </w:tc>
        <w:tc>
          <w:tcPr>
            <w:tcW w:w="1276" w:type="dxa"/>
            <w:tcBorders>
              <w:top w:val="nil"/>
              <w:left w:val="nil"/>
              <w:bottom w:val="nil"/>
              <w:right w:val="nil"/>
            </w:tcBorders>
            <w:shd w:val="clear" w:color="auto" w:fill="auto"/>
            <w:noWrap/>
            <w:vAlign w:val="center"/>
            <w:hideMark/>
          </w:tcPr>
          <w:p w14:paraId="662EBC58"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12 157,45 </w:t>
            </w:r>
          </w:p>
        </w:tc>
        <w:tc>
          <w:tcPr>
            <w:tcW w:w="1259" w:type="dxa"/>
            <w:tcBorders>
              <w:top w:val="nil"/>
              <w:left w:val="nil"/>
              <w:bottom w:val="nil"/>
              <w:right w:val="nil"/>
            </w:tcBorders>
            <w:shd w:val="clear" w:color="auto" w:fill="auto"/>
            <w:noWrap/>
            <w:vAlign w:val="center"/>
            <w:hideMark/>
          </w:tcPr>
          <w:p w14:paraId="72935C9A"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6 611,91 </w:t>
            </w:r>
          </w:p>
        </w:tc>
        <w:tc>
          <w:tcPr>
            <w:tcW w:w="2426" w:type="dxa"/>
            <w:tcBorders>
              <w:top w:val="nil"/>
              <w:left w:val="nil"/>
              <w:bottom w:val="nil"/>
              <w:right w:val="nil"/>
            </w:tcBorders>
            <w:shd w:val="clear" w:color="auto" w:fill="auto"/>
            <w:noWrap/>
            <w:vAlign w:val="center"/>
            <w:hideMark/>
          </w:tcPr>
          <w:p w14:paraId="596F14AD"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15 214,41 </w:t>
            </w:r>
          </w:p>
        </w:tc>
      </w:tr>
      <w:tr w:rsidR="002B4DA8" w:rsidRPr="002B4DA8" w14:paraId="4DA61654" w14:textId="77777777" w:rsidTr="00076BF6">
        <w:trPr>
          <w:trHeight w:val="300"/>
          <w:jc w:val="center"/>
        </w:trPr>
        <w:tc>
          <w:tcPr>
            <w:tcW w:w="628" w:type="dxa"/>
            <w:tcBorders>
              <w:top w:val="nil"/>
              <w:left w:val="nil"/>
              <w:bottom w:val="nil"/>
              <w:right w:val="nil"/>
            </w:tcBorders>
            <w:shd w:val="clear" w:color="auto" w:fill="auto"/>
            <w:noWrap/>
            <w:vAlign w:val="center"/>
            <w:hideMark/>
          </w:tcPr>
          <w:p w14:paraId="5913F893" w14:textId="77777777" w:rsidR="002B4DA8" w:rsidRPr="002B4DA8" w:rsidRDefault="002B4DA8" w:rsidP="002B4DA8">
            <w:pPr>
              <w:spacing w:after="0" w:line="240" w:lineRule="auto"/>
              <w:jc w:val="center"/>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2017</w:t>
            </w:r>
          </w:p>
        </w:tc>
        <w:tc>
          <w:tcPr>
            <w:tcW w:w="1215" w:type="dxa"/>
            <w:tcBorders>
              <w:top w:val="nil"/>
              <w:left w:val="nil"/>
              <w:bottom w:val="nil"/>
              <w:right w:val="nil"/>
            </w:tcBorders>
            <w:shd w:val="clear" w:color="auto" w:fill="auto"/>
            <w:noWrap/>
            <w:vAlign w:val="center"/>
            <w:hideMark/>
          </w:tcPr>
          <w:p w14:paraId="397188D2"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37 790,63 </w:t>
            </w:r>
          </w:p>
        </w:tc>
        <w:tc>
          <w:tcPr>
            <w:tcW w:w="1276" w:type="dxa"/>
            <w:tcBorders>
              <w:top w:val="nil"/>
              <w:left w:val="nil"/>
              <w:bottom w:val="nil"/>
              <w:right w:val="nil"/>
            </w:tcBorders>
            <w:shd w:val="clear" w:color="auto" w:fill="auto"/>
            <w:noWrap/>
            <w:vAlign w:val="center"/>
            <w:hideMark/>
          </w:tcPr>
          <w:p w14:paraId="323F1FC6"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30 184,49 </w:t>
            </w:r>
          </w:p>
        </w:tc>
        <w:tc>
          <w:tcPr>
            <w:tcW w:w="1276" w:type="dxa"/>
            <w:tcBorders>
              <w:top w:val="nil"/>
              <w:left w:val="nil"/>
              <w:bottom w:val="nil"/>
              <w:right w:val="nil"/>
            </w:tcBorders>
            <w:shd w:val="clear" w:color="auto" w:fill="auto"/>
            <w:noWrap/>
            <w:vAlign w:val="center"/>
            <w:hideMark/>
          </w:tcPr>
          <w:p w14:paraId="7F97AB13"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7 606,14 </w:t>
            </w:r>
          </w:p>
        </w:tc>
        <w:tc>
          <w:tcPr>
            <w:tcW w:w="1259" w:type="dxa"/>
            <w:tcBorders>
              <w:top w:val="nil"/>
              <w:left w:val="nil"/>
              <w:bottom w:val="nil"/>
              <w:right w:val="nil"/>
            </w:tcBorders>
            <w:shd w:val="clear" w:color="auto" w:fill="auto"/>
            <w:noWrap/>
            <w:vAlign w:val="center"/>
            <w:hideMark/>
          </w:tcPr>
          <w:p w14:paraId="0D15B7EF"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4 521,01 </w:t>
            </w:r>
          </w:p>
        </w:tc>
        <w:tc>
          <w:tcPr>
            <w:tcW w:w="2426" w:type="dxa"/>
            <w:tcBorders>
              <w:top w:val="nil"/>
              <w:left w:val="nil"/>
              <w:bottom w:val="nil"/>
              <w:right w:val="nil"/>
            </w:tcBorders>
            <w:shd w:val="clear" w:color="auto" w:fill="auto"/>
            <w:noWrap/>
            <w:vAlign w:val="center"/>
            <w:hideMark/>
          </w:tcPr>
          <w:p w14:paraId="0DCBB636"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10 429,86 </w:t>
            </w:r>
          </w:p>
        </w:tc>
      </w:tr>
      <w:tr w:rsidR="002B4DA8" w:rsidRPr="002B4DA8" w14:paraId="00ABEB71" w14:textId="77777777" w:rsidTr="00076BF6">
        <w:trPr>
          <w:trHeight w:val="300"/>
          <w:jc w:val="center"/>
        </w:trPr>
        <w:tc>
          <w:tcPr>
            <w:tcW w:w="628" w:type="dxa"/>
            <w:tcBorders>
              <w:top w:val="nil"/>
              <w:left w:val="nil"/>
              <w:bottom w:val="single" w:sz="4" w:space="0" w:color="auto"/>
              <w:right w:val="nil"/>
            </w:tcBorders>
            <w:shd w:val="clear" w:color="auto" w:fill="auto"/>
            <w:noWrap/>
            <w:vAlign w:val="center"/>
            <w:hideMark/>
          </w:tcPr>
          <w:p w14:paraId="46C0E60D" w14:textId="77777777" w:rsidR="002B4DA8" w:rsidRPr="002B4DA8" w:rsidRDefault="002B4DA8" w:rsidP="002B4DA8">
            <w:pPr>
              <w:spacing w:after="0" w:line="240" w:lineRule="auto"/>
              <w:jc w:val="center"/>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2018</w:t>
            </w:r>
          </w:p>
        </w:tc>
        <w:tc>
          <w:tcPr>
            <w:tcW w:w="1215" w:type="dxa"/>
            <w:tcBorders>
              <w:top w:val="nil"/>
              <w:left w:val="nil"/>
              <w:bottom w:val="single" w:sz="4" w:space="0" w:color="auto"/>
              <w:right w:val="nil"/>
            </w:tcBorders>
            <w:shd w:val="clear" w:color="auto" w:fill="auto"/>
            <w:noWrap/>
            <w:vAlign w:val="center"/>
            <w:hideMark/>
          </w:tcPr>
          <w:p w14:paraId="181923E2"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42 730,43 </w:t>
            </w:r>
          </w:p>
        </w:tc>
        <w:tc>
          <w:tcPr>
            <w:tcW w:w="1276" w:type="dxa"/>
            <w:tcBorders>
              <w:top w:val="nil"/>
              <w:left w:val="nil"/>
              <w:bottom w:val="single" w:sz="4" w:space="0" w:color="auto"/>
              <w:right w:val="nil"/>
            </w:tcBorders>
            <w:shd w:val="clear" w:color="auto" w:fill="auto"/>
            <w:noWrap/>
            <w:vAlign w:val="center"/>
            <w:hideMark/>
          </w:tcPr>
          <w:p w14:paraId="4467E0FE"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31 963,28 </w:t>
            </w:r>
          </w:p>
        </w:tc>
        <w:tc>
          <w:tcPr>
            <w:tcW w:w="1276" w:type="dxa"/>
            <w:tcBorders>
              <w:top w:val="nil"/>
              <w:left w:val="nil"/>
              <w:bottom w:val="single" w:sz="4" w:space="0" w:color="auto"/>
              <w:right w:val="nil"/>
            </w:tcBorders>
            <w:shd w:val="clear" w:color="auto" w:fill="auto"/>
            <w:noWrap/>
            <w:vAlign w:val="center"/>
            <w:hideMark/>
          </w:tcPr>
          <w:p w14:paraId="03206822"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10 767,16 </w:t>
            </w:r>
          </w:p>
        </w:tc>
        <w:tc>
          <w:tcPr>
            <w:tcW w:w="1259" w:type="dxa"/>
            <w:tcBorders>
              <w:top w:val="nil"/>
              <w:left w:val="nil"/>
              <w:bottom w:val="single" w:sz="4" w:space="0" w:color="auto"/>
              <w:right w:val="nil"/>
            </w:tcBorders>
            <w:shd w:val="clear" w:color="auto" w:fill="auto"/>
            <w:noWrap/>
            <w:vAlign w:val="center"/>
            <w:hideMark/>
          </w:tcPr>
          <w:p w14:paraId="6EBF3CF1"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6 548,35 </w:t>
            </w:r>
          </w:p>
        </w:tc>
        <w:tc>
          <w:tcPr>
            <w:tcW w:w="2426" w:type="dxa"/>
            <w:tcBorders>
              <w:top w:val="nil"/>
              <w:left w:val="nil"/>
              <w:bottom w:val="single" w:sz="4" w:space="0" w:color="auto"/>
              <w:right w:val="nil"/>
            </w:tcBorders>
            <w:shd w:val="clear" w:color="auto" w:fill="auto"/>
            <w:noWrap/>
            <w:vAlign w:val="center"/>
            <w:hideMark/>
          </w:tcPr>
          <w:p w14:paraId="29558974" w14:textId="77777777" w:rsidR="002B4DA8" w:rsidRPr="002B4DA8" w:rsidRDefault="002B4DA8" w:rsidP="00076BF6">
            <w:pPr>
              <w:spacing w:after="0" w:line="240" w:lineRule="auto"/>
              <w:jc w:val="right"/>
              <w:rPr>
                <w:rFonts w:ascii="Cambria" w:eastAsia="Times New Roman" w:hAnsi="Cambria" w:cs="Calibri"/>
                <w:color w:val="000000"/>
                <w:lang w:val="es-CR" w:eastAsia="es-CR"/>
              </w:rPr>
            </w:pPr>
            <w:r w:rsidRPr="002B4DA8">
              <w:rPr>
                <w:rFonts w:ascii="Cambria" w:eastAsia="Times New Roman" w:hAnsi="Cambria" w:cs="Calibri"/>
                <w:color w:val="000000"/>
                <w:lang w:val="es-CR" w:eastAsia="es-CR"/>
              </w:rPr>
              <w:t xml:space="preserve"> 15 094,09 </w:t>
            </w:r>
          </w:p>
        </w:tc>
      </w:tr>
    </w:tbl>
    <w:p w14:paraId="5BD2EE36" w14:textId="77777777" w:rsidR="009B7058" w:rsidRPr="009B7058" w:rsidRDefault="009B7058" w:rsidP="009B7058">
      <w:pPr>
        <w:spacing w:before="40" w:after="20" w:line="240" w:lineRule="auto"/>
        <w:ind w:left="567"/>
        <w:rPr>
          <w:rFonts w:asciiTheme="majorHAnsi" w:hAnsiTheme="majorHAnsi" w:cstheme="minorHAnsi"/>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797E50C6" w14:textId="77777777" w:rsidR="007D0BC7" w:rsidRPr="008F5D99" w:rsidRDefault="007D0BC7" w:rsidP="00AB1521">
      <w:pPr>
        <w:spacing w:after="0" w:line="240" w:lineRule="auto"/>
        <w:jc w:val="center"/>
        <w:rPr>
          <w:rFonts w:asciiTheme="majorHAnsi" w:hAnsiTheme="majorHAnsi" w:cstheme="minorHAnsi"/>
          <w:highlight w:val="yellow"/>
        </w:rPr>
      </w:pPr>
    </w:p>
    <w:p w14:paraId="42AEB7A7" w14:textId="77777777" w:rsidR="007D0BC7" w:rsidRPr="00076BF6" w:rsidRDefault="007D0BC7" w:rsidP="00AB1521">
      <w:pPr>
        <w:spacing w:after="0" w:line="240" w:lineRule="auto"/>
        <w:jc w:val="both"/>
        <w:rPr>
          <w:rFonts w:asciiTheme="majorHAnsi" w:hAnsiTheme="majorHAnsi" w:cstheme="minorHAnsi"/>
        </w:rPr>
      </w:pPr>
      <w:r w:rsidRPr="00076BF6">
        <w:rPr>
          <w:rFonts w:asciiTheme="majorHAnsi" w:hAnsiTheme="majorHAnsi" w:cstheme="minorHAnsi"/>
        </w:rPr>
        <w:t xml:space="preserve">Cabe mencionar que debido a la obligación que tienen algunas entidades de repartir utilidades entres sus afiliados la comparación </w:t>
      </w:r>
      <w:r w:rsidR="006062AD" w:rsidRPr="00076BF6">
        <w:rPr>
          <w:rFonts w:asciiTheme="majorHAnsi" w:hAnsiTheme="majorHAnsi" w:cstheme="minorHAnsi"/>
        </w:rPr>
        <w:t>se realiza</w:t>
      </w:r>
      <w:r w:rsidRPr="00076BF6">
        <w:rPr>
          <w:rFonts w:asciiTheme="majorHAnsi" w:hAnsiTheme="majorHAnsi" w:cstheme="minorHAnsi"/>
        </w:rPr>
        <w:t xml:space="preserve"> utilizando el “</w:t>
      </w:r>
      <w:r w:rsidRPr="00076BF6">
        <w:rPr>
          <w:rFonts w:asciiTheme="majorHAnsi" w:hAnsiTheme="majorHAnsi" w:cstheme="minorHAnsi"/>
          <w:i/>
        </w:rPr>
        <w:t>Resultado antes de participación utilidades e impuestos”,</w:t>
      </w:r>
      <w:r w:rsidRPr="00076BF6">
        <w:rPr>
          <w:rFonts w:asciiTheme="majorHAnsi" w:hAnsiTheme="majorHAnsi" w:cstheme="minorHAnsi"/>
        </w:rPr>
        <w:t xml:space="preserve"> los cuales, además de incluir los resultados operacionales, también incluyen los resultados financieros, es decir los rendimientos de sus inversiones propias</w:t>
      </w:r>
      <w:r w:rsidR="006062AD" w:rsidRPr="00076BF6">
        <w:rPr>
          <w:rFonts w:asciiTheme="majorHAnsi" w:hAnsiTheme="majorHAnsi" w:cstheme="minorHAnsi"/>
        </w:rPr>
        <w:t xml:space="preserve"> y capital mínimo de funcionamiento</w:t>
      </w:r>
      <w:r w:rsidRPr="00076BF6">
        <w:rPr>
          <w:rFonts w:asciiTheme="majorHAnsi" w:hAnsiTheme="majorHAnsi" w:cstheme="minorHAnsi"/>
        </w:rPr>
        <w:t>.</w:t>
      </w:r>
    </w:p>
    <w:p w14:paraId="6AA258D8" w14:textId="77777777" w:rsidR="00460E5B" w:rsidRPr="008F5D99" w:rsidRDefault="00460E5B" w:rsidP="00AB1521">
      <w:pPr>
        <w:spacing w:after="0" w:line="240" w:lineRule="auto"/>
        <w:jc w:val="center"/>
        <w:rPr>
          <w:rFonts w:asciiTheme="majorHAnsi" w:hAnsiTheme="majorHAnsi" w:cstheme="minorHAnsi"/>
          <w:highlight w:val="yellow"/>
        </w:rPr>
      </w:pPr>
    </w:p>
    <w:p w14:paraId="12496B91" w14:textId="77777777" w:rsidR="007D0BC7" w:rsidRPr="008F5D99" w:rsidRDefault="00865B1F" w:rsidP="00885CBA">
      <w:pPr>
        <w:pStyle w:val="Ttulo2"/>
        <w:rPr>
          <w:rFonts w:cstheme="minorHAnsi"/>
        </w:rPr>
      </w:pPr>
      <w:r w:rsidRPr="008F5D99">
        <w:rPr>
          <w:rFonts w:cstheme="minorHAnsi"/>
        </w:rPr>
        <w:t xml:space="preserve">Retiros del </w:t>
      </w:r>
      <w:r w:rsidR="007D0BC7" w:rsidRPr="008F5D99">
        <w:rPr>
          <w:rFonts w:cstheme="minorHAnsi"/>
        </w:rPr>
        <w:t xml:space="preserve">Fondo de Capitalización Laboral </w:t>
      </w:r>
    </w:p>
    <w:p w14:paraId="6FFBD3EC" w14:textId="77777777" w:rsidR="007D0BC7" w:rsidRPr="008F5D99" w:rsidRDefault="007D0BC7" w:rsidP="00ED1895">
      <w:pPr>
        <w:spacing w:after="0" w:line="240" w:lineRule="auto"/>
        <w:jc w:val="both"/>
        <w:rPr>
          <w:rFonts w:asciiTheme="majorHAnsi" w:hAnsiTheme="majorHAnsi" w:cstheme="minorHAnsi"/>
          <w:color w:val="FF0000"/>
        </w:rPr>
      </w:pPr>
    </w:p>
    <w:p w14:paraId="29B06C81" w14:textId="77777777" w:rsidR="00BB157A" w:rsidRPr="008F6223" w:rsidRDefault="007D0BC7" w:rsidP="001345C6">
      <w:pPr>
        <w:spacing w:line="240" w:lineRule="auto"/>
        <w:jc w:val="both"/>
        <w:rPr>
          <w:rFonts w:asciiTheme="majorHAnsi" w:hAnsiTheme="majorHAnsi" w:cstheme="minorHAnsi"/>
        </w:rPr>
      </w:pPr>
      <w:r w:rsidRPr="008F5D99">
        <w:rPr>
          <w:rFonts w:asciiTheme="majorHAnsi" w:hAnsiTheme="majorHAnsi" w:cstheme="minorHAnsi"/>
        </w:rPr>
        <w:t xml:space="preserve">El </w:t>
      </w:r>
      <w:r w:rsidR="00214042" w:rsidRPr="008F5D99">
        <w:rPr>
          <w:rFonts w:asciiTheme="majorHAnsi" w:hAnsiTheme="majorHAnsi" w:cstheme="minorHAnsi"/>
        </w:rPr>
        <w:t>19,45</w:t>
      </w:r>
      <w:r w:rsidRPr="008F5D99">
        <w:rPr>
          <w:rFonts w:asciiTheme="majorHAnsi" w:hAnsiTheme="majorHAnsi" w:cstheme="minorHAnsi"/>
        </w:rPr>
        <w:t xml:space="preserve">% de los retiros del FCL durante el último año corresponden a los originados por extinción de la relación laboral. Más del 50% son salidas </w:t>
      </w:r>
      <w:r w:rsidR="008C3D73" w:rsidRPr="008F5D99">
        <w:rPr>
          <w:rFonts w:asciiTheme="majorHAnsi" w:hAnsiTheme="majorHAnsi" w:cstheme="minorHAnsi"/>
        </w:rPr>
        <w:t>como consecuencia del traslado anual</w:t>
      </w:r>
      <w:r w:rsidR="00214042" w:rsidRPr="008F5D99">
        <w:rPr>
          <w:rFonts w:asciiTheme="majorHAnsi" w:hAnsiTheme="majorHAnsi" w:cstheme="minorHAnsi"/>
        </w:rPr>
        <w:t xml:space="preserve"> al ROP</w:t>
      </w:r>
      <w:r w:rsidR="008C3D73" w:rsidRPr="008F5D99">
        <w:rPr>
          <w:rFonts w:asciiTheme="majorHAnsi" w:hAnsiTheme="majorHAnsi" w:cstheme="minorHAnsi"/>
        </w:rPr>
        <w:t xml:space="preserve"> </w:t>
      </w:r>
      <w:r w:rsidRPr="008F5D99">
        <w:rPr>
          <w:rFonts w:asciiTheme="majorHAnsi" w:hAnsiTheme="majorHAnsi" w:cstheme="minorHAnsi"/>
        </w:rPr>
        <w:t>del 50% de los aportes acumulados</w:t>
      </w:r>
      <w:r w:rsidR="00214042" w:rsidRPr="008F5D99">
        <w:rPr>
          <w:rFonts w:asciiTheme="majorHAnsi" w:hAnsiTheme="majorHAnsi" w:cstheme="minorHAnsi"/>
        </w:rPr>
        <w:t xml:space="preserve">, </w:t>
      </w:r>
      <w:r w:rsidRPr="008F5D99">
        <w:rPr>
          <w:rFonts w:asciiTheme="majorHAnsi" w:hAnsiTheme="majorHAnsi" w:cstheme="minorHAnsi"/>
        </w:rPr>
        <w:t>realizado durante</w:t>
      </w:r>
      <w:r w:rsidR="00214042" w:rsidRPr="008F5D99">
        <w:rPr>
          <w:rFonts w:asciiTheme="majorHAnsi" w:hAnsiTheme="majorHAnsi" w:cstheme="minorHAnsi"/>
        </w:rPr>
        <w:t xml:space="preserve"> el mes de</w:t>
      </w:r>
      <w:r w:rsidRPr="008F5D99">
        <w:rPr>
          <w:rFonts w:asciiTheme="majorHAnsi" w:hAnsiTheme="majorHAnsi" w:cstheme="minorHAnsi"/>
        </w:rPr>
        <w:t xml:space="preserve"> marzo.</w:t>
      </w:r>
    </w:p>
    <w:p w14:paraId="5B237C54" w14:textId="44A29283" w:rsidR="001345C6" w:rsidRPr="001345C6" w:rsidRDefault="001345C6" w:rsidP="001345C6">
      <w:pPr>
        <w:keepNext/>
        <w:spacing w:after="0" w:line="240" w:lineRule="auto"/>
        <w:jc w:val="center"/>
        <w:rPr>
          <w:rFonts w:asciiTheme="majorHAnsi" w:hAnsiTheme="majorHAnsi" w:cstheme="minorHAnsi"/>
        </w:rPr>
      </w:pPr>
      <w:r w:rsidRPr="001345C6">
        <w:rPr>
          <w:rFonts w:asciiTheme="majorHAnsi" w:hAnsiTheme="majorHAnsi" w:cstheme="minorHAnsi"/>
        </w:rPr>
        <w:t xml:space="preserve">Cuadro </w:t>
      </w:r>
      <w:r w:rsidRPr="001345C6">
        <w:rPr>
          <w:rFonts w:asciiTheme="majorHAnsi" w:hAnsiTheme="majorHAnsi" w:cstheme="minorHAnsi"/>
        </w:rPr>
        <w:fldChar w:fldCharType="begin"/>
      </w:r>
      <w:r w:rsidRPr="001345C6">
        <w:rPr>
          <w:rFonts w:asciiTheme="majorHAnsi" w:hAnsiTheme="majorHAnsi" w:cstheme="minorHAnsi"/>
        </w:rPr>
        <w:instrText xml:space="preserve"> SEQ Cuadro \* ARABIC </w:instrText>
      </w:r>
      <w:r w:rsidRPr="001345C6">
        <w:rPr>
          <w:rFonts w:asciiTheme="majorHAnsi" w:hAnsiTheme="majorHAnsi" w:cstheme="minorHAnsi"/>
        </w:rPr>
        <w:fldChar w:fldCharType="separate"/>
      </w:r>
      <w:r w:rsidR="00F223CE">
        <w:rPr>
          <w:rFonts w:asciiTheme="majorHAnsi" w:hAnsiTheme="majorHAnsi" w:cstheme="minorHAnsi"/>
          <w:noProof/>
        </w:rPr>
        <w:t>18</w:t>
      </w:r>
      <w:r w:rsidRPr="001345C6">
        <w:rPr>
          <w:rFonts w:asciiTheme="majorHAnsi" w:hAnsiTheme="majorHAnsi" w:cstheme="minorHAnsi"/>
        </w:rPr>
        <w:fldChar w:fldCharType="end"/>
      </w:r>
    </w:p>
    <w:p w14:paraId="3FF8EB76" w14:textId="77777777" w:rsidR="00F50363" w:rsidRPr="008F6223" w:rsidRDefault="007D0BC7" w:rsidP="00AB1521">
      <w:pPr>
        <w:spacing w:after="0" w:line="240" w:lineRule="auto"/>
        <w:jc w:val="center"/>
        <w:rPr>
          <w:rFonts w:asciiTheme="majorHAnsi" w:hAnsiTheme="majorHAnsi" w:cstheme="minorHAnsi"/>
        </w:rPr>
      </w:pPr>
      <w:r w:rsidRPr="008F6223">
        <w:rPr>
          <w:rFonts w:asciiTheme="majorHAnsi" w:hAnsiTheme="majorHAnsi" w:cstheme="minorHAnsi"/>
        </w:rPr>
        <w:t>F</w:t>
      </w:r>
      <w:r w:rsidR="00F50363" w:rsidRPr="008F6223">
        <w:rPr>
          <w:rFonts w:asciiTheme="majorHAnsi" w:hAnsiTheme="majorHAnsi" w:cstheme="minorHAnsi"/>
        </w:rPr>
        <w:t xml:space="preserve">ondo de </w:t>
      </w:r>
      <w:r w:rsidRPr="008F6223">
        <w:rPr>
          <w:rFonts w:asciiTheme="majorHAnsi" w:hAnsiTheme="majorHAnsi" w:cstheme="minorHAnsi"/>
        </w:rPr>
        <w:t>C</w:t>
      </w:r>
      <w:r w:rsidR="00F50363" w:rsidRPr="008F6223">
        <w:rPr>
          <w:rFonts w:asciiTheme="majorHAnsi" w:hAnsiTheme="majorHAnsi" w:cstheme="minorHAnsi"/>
        </w:rPr>
        <w:t xml:space="preserve">apitalización </w:t>
      </w:r>
      <w:r w:rsidRPr="008F6223">
        <w:rPr>
          <w:rFonts w:asciiTheme="majorHAnsi" w:hAnsiTheme="majorHAnsi" w:cstheme="minorHAnsi"/>
        </w:rPr>
        <w:t>L</w:t>
      </w:r>
      <w:r w:rsidR="00F50363" w:rsidRPr="008F6223">
        <w:rPr>
          <w:rFonts w:asciiTheme="majorHAnsi" w:hAnsiTheme="majorHAnsi" w:cstheme="minorHAnsi"/>
        </w:rPr>
        <w:t>aboral</w:t>
      </w:r>
    </w:p>
    <w:p w14:paraId="73AE7262" w14:textId="77777777" w:rsidR="007D0BC7" w:rsidRPr="008F6223" w:rsidRDefault="007D0BC7" w:rsidP="00AB1521">
      <w:pPr>
        <w:spacing w:after="0" w:line="240" w:lineRule="auto"/>
        <w:jc w:val="center"/>
        <w:rPr>
          <w:rFonts w:asciiTheme="majorHAnsi" w:hAnsiTheme="majorHAnsi" w:cstheme="minorHAnsi"/>
        </w:rPr>
      </w:pPr>
      <w:r w:rsidRPr="008F6223">
        <w:rPr>
          <w:rFonts w:asciiTheme="majorHAnsi" w:hAnsiTheme="majorHAnsi" w:cstheme="minorHAnsi"/>
        </w:rPr>
        <w:t xml:space="preserve">Retiro de recursos </w:t>
      </w:r>
    </w:p>
    <w:p w14:paraId="335B64E3" w14:textId="77777777" w:rsidR="007D0BC7" w:rsidRPr="008F6223" w:rsidRDefault="007D0BC7" w:rsidP="00AB1521">
      <w:pPr>
        <w:spacing w:after="0" w:line="240" w:lineRule="auto"/>
        <w:jc w:val="center"/>
        <w:rPr>
          <w:rFonts w:asciiTheme="majorHAnsi" w:hAnsiTheme="majorHAnsi" w:cstheme="minorHAnsi"/>
          <w:sz w:val="20"/>
          <w:szCs w:val="20"/>
        </w:rPr>
      </w:pPr>
      <w:r w:rsidRPr="008F6223">
        <w:rPr>
          <w:rFonts w:asciiTheme="majorHAnsi" w:hAnsiTheme="majorHAnsi" w:cstheme="minorHAnsi"/>
          <w:sz w:val="20"/>
          <w:szCs w:val="20"/>
        </w:rPr>
        <w:t>(últimos 12 meses)</w:t>
      </w:r>
    </w:p>
    <w:tbl>
      <w:tblPr>
        <w:tblW w:w="7938" w:type="dxa"/>
        <w:jc w:val="center"/>
        <w:tblCellMar>
          <w:left w:w="70" w:type="dxa"/>
          <w:right w:w="70" w:type="dxa"/>
        </w:tblCellMar>
        <w:tblLook w:val="04A0" w:firstRow="1" w:lastRow="0" w:firstColumn="1" w:lastColumn="0" w:noHBand="0" w:noVBand="1"/>
      </w:tblPr>
      <w:tblGrid>
        <w:gridCol w:w="6521"/>
        <w:gridCol w:w="1417"/>
      </w:tblGrid>
      <w:tr w:rsidR="00214042" w:rsidRPr="008F5D99" w14:paraId="35DDE48D" w14:textId="77777777" w:rsidTr="00436AEE">
        <w:trPr>
          <w:trHeight w:val="70"/>
          <w:jc w:val="center"/>
        </w:trPr>
        <w:tc>
          <w:tcPr>
            <w:tcW w:w="6521" w:type="dxa"/>
            <w:tcBorders>
              <w:top w:val="single" w:sz="4" w:space="0" w:color="auto"/>
              <w:left w:val="nil"/>
              <w:bottom w:val="double" w:sz="6" w:space="0" w:color="auto"/>
              <w:right w:val="nil"/>
            </w:tcBorders>
            <w:shd w:val="clear" w:color="000000" w:fill="FFFFFF"/>
            <w:vAlign w:val="center"/>
            <w:hideMark/>
          </w:tcPr>
          <w:p w14:paraId="23A3956F" w14:textId="77777777" w:rsidR="00214042" w:rsidRPr="008F5D99" w:rsidRDefault="00214042" w:rsidP="00214042">
            <w:pPr>
              <w:spacing w:after="0" w:line="240" w:lineRule="auto"/>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Motivos del Retiro</w:t>
            </w:r>
          </w:p>
        </w:tc>
        <w:tc>
          <w:tcPr>
            <w:tcW w:w="1417" w:type="dxa"/>
            <w:tcBorders>
              <w:top w:val="single" w:sz="4" w:space="0" w:color="auto"/>
              <w:left w:val="nil"/>
              <w:bottom w:val="double" w:sz="6" w:space="0" w:color="auto"/>
              <w:right w:val="nil"/>
            </w:tcBorders>
            <w:shd w:val="clear" w:color="000000" w:fill="FFFFFF"/>
            <w:noWrap/>
            <w:vAlign w:val="center"/>
            <w:hideMark/>
          </w:tcPr>
          <w:p w14:paraId="5A21C309" w14:textId="77777777" w:rsidR="00214042" w:rsidRPr="008F5D99" w:rsidRDefault="00214042" w:rsidP="00214042">
            <w:pPr>
              <w:spacing w:after="0" w:line="240" w:lineRule="auto"/>
              <w:jc w:val="right"/>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Porcentaje</w:t>
            </w:r>
          </w:p>
        </w:tc>
      </w:tr>
      <w:tr w:rsidR="00214042" w:rsidRPr="008F5D99" w14:paraId="33AD0317" w14:textId="77777777" w:rsidTr="00436AEE">
        <w:trPr>
          <w:trHeight w:val="35"/>
          <w:jc w:val="center"/>
        </w:trPr>
        <w:tc>
          <w:tcPr>
            <w:tcW w:w="6521" w:type="dxa"/>
            <w:tcBorders>
              <w:top w:val="nil"/>
              <w:left w:val="nil"/>
              <w:bottom w:val="nil"/>
              <w:right w:val="nil"/>
            </w:tcBorders>
            <w:shd w:val="clear" w:color="000000" w:fill="FFFFFF"/>
            <w:vAlign w:val="center"/>
            <w:hideMark/>
          </w:tcPr>
          <w:p w14:paraId="2DB54521" w14:textId="77777777" w:rsidR="00214042" w:rsidRPr="008F5D99" w:rsidRDefault="00214042" w:rsidP="00214042">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Retiro por quinquenio</w:t>
            </w:r>
          </w:p>
        </w:tc>
        <w:tc>
          <w:tcPr>
            <w:tcW w:w="1417" w:type="dxa"/>
            <w:tcBorders>
              <w:top w:val="nil"/>
              <w:left w:val="nil"/>
              <w:bottom w:val="nil"/>
              <w:right w:val="nil"/>
            </w:tcBorders>
            <w:shd w:val="clear" w:color="000000" w:fill="FFFFFF"/>
            <w:noWrap/>
            <w:vAlign w:val="center"/>
            <w:hideMark/>
          </w:tcPr>
          <w:p w14:paraId="1F5A7A1A" w14:textId="77777777" w:rsidR="00214042" w:rsidRPr="008F5D99" w:rsidRDefault="00214042" w:rsidP="00214042">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25,03%</w:t>
            </w:r>
          </w:p>
        </w:tc>
      </w:tr>
      <w:tr w:rsidR="00214042" w:rsidRPr="008F5D99" w14:paraId="6BE651C7" w14:textId="77777777" w:rsidTr="00436AEE">
        <w:trPr>
          <w:trHeight w:val="80"/>
          <w:jc w:val="center"/>
        </w:trPr>
        <w:tc>
          <w:tcPr>
            <w:tcW w:w="6521" w:type="dxa"/>
            <w:tcBorders>
              <w:top w:val="nil"/>
              <w:left w:val="nil"/>
              <w:bottom w:val="nil"/>
              <w:right w:val="nil"/>
            </w:tcBorders>
            <w:shd w:val="clear" w:color="000000" w:fill="FFFFFF"/>
            <w:vAlign w:val="center"/>
            <w:hideMark/>
          </w:tcPr>
          <w:p w14:paraId="6BEEC7EB" w14:textId="77777777" w:rsidR="00214042" w:rsidRPr="008F5D99" w:rsidRDefault="00214042" w:rsidP="00214042">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Extinción de la relación laboral</w:t>
            </w:r>
          </w:p>
        </w:tc>
        <w:tc>
          <w:tcPr>
            <w:tcW w:w="1417" w:type="dxa"/>
            <w:tcBorders>
              <w:top w:val="nil"/>
              <w:left w:val="nil"/>
              <w:bottom w:val="nil"/>
              <w:right w:val="nil"/>
            </w:tcBorders>
            <w:shd w:val="clear" w:color="000000" w:fill="FFFFFF"/>
            <w:noWrap/>
            <w:vAlign w:val="center"/>
            <w:hideMark/>
          </w:tcPr>
          <w:p w14:paraId="1AC6009D" w14:textId="77777777" w:rsidR="00214042" w:rsidRPr="008F5D99" w:rsidRDefault="00214042" w:rsidP="00214042">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19,45%</w:t>
            </w:r>
          </w:p>
        </w:tc>
      </w:tr>
      <w:tr w:rsidR="00214042" w:rsidRPr="008F5D99" w14:paraId="027E729B" w14:textId="77777777" w:rsidTr="00436AEE">
        <w:trPr>
          <w:trHeight w:val="80"/>
          <w:jc w:val="center"/>
        </w:trPr>
        <w:tc>
          <w:tcPr>
            <w:tcW w:w="6521" w:type="dxa"/>
            <w:tcBorders>
              <w:top w:val="nil"/>
              <w:left w:val="nil"/>
              <w:bottom w:val="nil"/>
              <w:right w:val="nil"/>
            </w:tcBorders>
            <w:shd w:val="clear" w:color="000000" w:fill="FFFFFF"/>
            <w:vAlign w:val="center"/>
            <w:hideMark/>
          </w:tcPr>
          <w:p w14:paraId="0C0E0904" w14:textId="77777777" w:rsidR="00214042" w:rsidRPr="008F5D99" w:rsidRDefault="00214042" w:rsidP="00214042">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Fallecimiento del afiliado</w:t>
            </w:r>
          </w:p>
        </w:tc>
        <w:tc>
          <w:tcPr>
            <w:tcW w:w="1417" w:type="dxa"/>
            <w:tcBorders>
              <w:top w:val="nil"/>
              <w:left w:val="nil"/>
              <w:bottom w:val="nil"/>
              <w:right w:val="nil"/>
            </w:tcBorders>
            <w:shd w:val="clear" w:color="000000" w:fill="FFFFFF"/>
            <w:noWrap/>
            <w:vAlign w:val="center"/>
            <w:hideMark/>
          </w:tcPr>
          <w:p w14:paraId="19B09A3B" w14:textId="77777777" w:rsidR="00214042" w:rsidRPr="008F5D99" w:rsidRDefault="00214042" w:rsidP="00214042">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0,14%</w:t>
            </w:r>
          </w:p>
        </w:tc>
      </w:tr>
      <w:tr w:rsidR="00214042" w:rsidRPr="008F5D99" w14:paraId="640BB143" w14:textId="77777777" w:rsidTr="00436AEE">
        <w:trPr>
          <w:trHeight w:val="80"/>
          <w:jc w:val="center"/>
        </w:trPr>
        <w:tc>
          <w:tcPr>
            <w:tcW w:w="6521" w:type="dxa"/>
            <w:tcBorders>
              <w:top w:val="nil"/>
              <w:left w:val="nil"/>
              <w:bottom w:val="nil"/>
              <w:right w:val="nil"/>
            </w:tcBorders>
            <w:shd w:val="clear" w:color="000000" w:fill="FFFFFF"/>
            <w:vAlign w:val="center"/>
            <w:hideMark/>
          </w:tcPr>
          <w:p w14:paraId="20679D6A" w14:textId="77777777" w:rsidR="00214042" w:rsidRPr="008F5D99" w:rsidRDefault="00214042" w:rsidP="00214042">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 xml:space="preserve">Traslado anual del 50% de los aportes acumulados </w:t>
            </w:r>
          </w:p>
        </w:tc>
        <w:tc>
          <w:tcPr>
            <w:tcW w:w="1417" w:type="dxa"/>
            <w:tcBorders>
              <w:top w:val="nil"/>
              <w:left w:val="nil"/>
              <w:bottom w:val="nil"/>
              <w:right w:val="nil"/>
            </w:tcBorders>
            <w:shd w:val="clear" w:color="000000" w:fill="FFFFFF"/>
            <w:noWrap/>
            <w:vAlign w:val="center"/>
            <w:hideMark/>
          </w:tcPr>
          <w:p w14:paraId="467CE9C2" w14:textId="77777777" w:rsidR="00214042" w:rsidRPr="008F5D99" w:rsidRDefault="00214042" w:rsidP="00214042">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51,59%</w:t>
            </w:r>
          </w:p>
        </w:tc>
      </w:tr>
      <w:tr w:rsidR="00214042" w:rsidRPr="008F5D99" w14:paraId="0C4F8432" w14:textId="77777777" w:rsidTr="00436AEE">
        <w:trPr>
          <w:trHeight w:val="80"/>
          <w:jc w:val="center"/>
        </w:trPr>
        <w:tc>
          <w:tcPr>
            <w:tcW w:w="6521" w:type="dxa"/>
            <w:tcBorders>
              <w:top w:val="nil"/>
              <w:left w:val="nil"/>
              <w:bottom w:val="single" w:sz="4" w:space="0" w:color="auto"/>
              <w:right w:val="nil"/>
            </w:tcBorders>
            <w:shd w:val="clear" w:color="000000" w:fill="FFFFFF"/>
            <w:vAlign w:val="center"/>
            <w:hideMark/>
          </w:tcPr>
          <w:p w14:paraId="56EDB006" w14:textId="77777777" w:rsidR="00214042" w:rsidRPr="008F5D99" w:rsidRDefault="00214042" w:rsidP="00214042">
            <w:pPr>
              <w:spacing w:after="0" w:line="240" w:lineRule="auto"/>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Traslado del 50% de los aportes por cesación de la relación laboral</w:t>
            </w:r>
          </w:p>
        </w:tc>
        <w:tc>
          <w:tcPr>
            <w:tcW w:w="1417" w:type="dxa"/>
            <w:tcBorders>
              <w:top w:val="nil"/>
              <w:left w:val="nil"/>
              <w:bottom w:val="single" w:sz="4" w:space="0" w:color="auto"/>
              <w:right w:val="nil"/>
            </w:tcBorders>
            <w:shd w:val="clear" w:color="000000" w:fill="FFFFFF"/>
            <w:noWrap/>
            <w:vAlign w:val="center"/>
            <w:hideMark/>
          </w:tcPr>
          <w:p w14:paraId="1CEAD118" w14:textId="77777777" w:rsidR="00214042" w:rsidRPr="008F5D99" w:rsidRDefault="00214042" w:rsidP="00214042">
            <w:pPr>
              <w:spacing w:after="0" w:line="240" w:lineRule="auto"/>
              <w:jc w:val="right"/>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3,79%</w:t>
            </w:r>
          </w:p>
        </w:tc>
      </w:tr>
    </w:tbl>
    <w:p w14:paraId="207F3CC2" w14:textId="77777777" w:rsidR="00D07F75" w:rsidRPr="009B7058" w:rsidRDefault="00D07F75" w:rsidP="008F6223">
      <w:pPr>
        <w:spacing w:before="40" w:after="20" w:line="240" w:lineRule="auto"/>
        <w:ind w:left="567"/>
        <w:rPr>
          <w:rFonts w:asciiTheme="majorHAnsi" w:hAnsiTheme="majorHAnsi" w:cstheme="minorHAnsi"/>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30DCCCAD" w14:textId="77777777" w:rsidR="00214042" w:rsidRPr="008F5D99" w:rsidRDefault="00214042" w:rsidP="00AB1521">
      <w:pPr>
        <w:spacing w:after="0" w:line="240" w:lineRule="auto"/>
        <w:jc w:val="center"/>
        <w:rPr>
          <w:rFonts w:asciiTheme="majorHAnsi" w:hAnsiTheme="majorHAnsi" w:cstheme="minorHAnsi"/>
          <w:b/>
          <w:sz w:val="20"/>
          <w:szCs w:val="20"/>
          <w:lang w:val="es-CR"/>
        </w:rPr>
      </w:pPr>
    </w:p>
    <w:p w14:paraId="36AF6883" w14:textId="77777777" w:rsidR="00771AAB" w:rsidRPr="008F5D99" w:rsidRDefault="00771AAB" w:rsidP="00AB1521">
      <w:pPr>
        <w:spacing w:after="0" w:line="240" w:lineRule="auto"/>
        <w:jc w:val="center"/>
        <w:rPr>
          <w:rFonts w:asciiTheme="majorHAnsi" w:hAnsiTheme="majorHAnsi" w:cstheme="minorHAnsi"/>
          <w:b/>
          <w:sz w:val="20"/>
          <w:szCs w:val="20"/>
        </w:rPr>
      </w:pPr>
    </w:p>
    <w:p w14:paraId="33801FD7"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 xml:space="preserve">El comportamiento de este producto </w:t>
      </w:r>
      <w:r w:rsidR="00B35C98" w:rsidRPr="008F5D99">
        <w:rPr>
          <w:rFonts w:asciiTheme="majorHAnsi" w:hAnsiTheme="majorHAnsi" w:cstheme="minorHAnsi"/>
        </w:rPr>
        <w:t xml:space="preserve">es una variable que </w:t>
      </w:r>
      <w:r w:rsidR="008C3D73" w:rsidRPr="008F5D99">
        <w:rPr>
          <w:rFonts w:asciiTheme="majorHAnsi" w:hAnsiTheme="majorHAnsi" w:cstheme="minorHAnsi"/>
        </w:rPr>
        <w:t xml:space="preserve">permite corroborar </w:t>
      </w:r>
      <w:r w:rsidR="00B35C98" w:rsidRPr="008F5D99">
        <w:rPr>
          <w:rFonts w:asciiTheme="majorHAnsi" w:hAnsiTheme="majorHAnsi" w:cstheme="minorHAnsi"/>
        </w:rPr>
        <w:t xml:space="preserve">el </w:t>
      </w:r>
      <w:r w:rsidR="008C3D73" w:rsidRPr="008F5D99">
        <w:rPr>
          <w:rFonts w:asciiTheme="majorHAnsi" w:hAnsiTheme="majorHAnsi" w:cstheme="minorHAnsi"/>
        </w:rPr>
        <w:t xml:space="preserve">comportamiento </w:t>
      </w:r>
      <w:r w:rsidR="00B35C98" w:rsidRPr="008F5D99">
        <w:rPr>
          <w:rFonts w:asciiTheme="majorHAnsi" w:hAnsiTheme="majorHAnsi" w:cstheme="minorHAnsi"/>
        </w:rPr>
        <w:t>d</w:t>
      </w:r>
      <w:r w:rsidR="008C3D73" w:rsidRPr="008F5D99">
        <w:rPr>
          <w:rFonts w:asciiTheme="majorHAnsi" w:hAnsiTheme="majorHAnsi" w:cstheme="minorHAnsi"/>
        </w:rPr>
        <w:t xml:space="preserve">el mercado laboral, incluyendo el </w:t>
      </w:r>
      <w:r w:rsidRPr="008F5D99">
        <w:rPr>
          <w:rFonts w:asciiTheme="majorHAnsi" w:hAnsiTheme="majorHAnsi" w:cstheme="minorHAnsi"/>
        </w:rPr>
        <w:t>desempleo o las prácticas de liquidar anualmente a los empleados.</w:t>
      </w:r>
    </w:p>
    <w:p w14:paraId="54C529ED" w14:textId="77777777" w:rsidR="007D0BC7" w:rsidRPr="008F5D99" w:rsidRDefault="007D0BC7" w:rsidP="00AB1521">
      <w:pPr>
        <w:spacing w:after="0" w:line="240" w:lineRule="auto"/>
        <w:jc w:val="both"/>
        <w:rPr>
          <w:rFonts w:asciiTheme="majorHAnsi" w:hAnsiTheme="majorHAnsi" w:cstheme="minorHAnsi"/>
          <w:color w:val="00B050"/>
          <w:highlight w:val="yellow"/>
        </w:rPr>
      </w:pPr>
    </w:p>
    <w:p w14:paraId="58294C81" w14:textId="77777777" w:rsidR="007D0BC7" w:rsidRPr="008F5D99" w:rsidRDefault="007D0BC7" w:rsidP="00AB1521">
      <w:pPr>
        <w:spacing w:after="0" w:line="240" w:lineRule="auto"/>
        <w:jc w:val="both"/>
        <w:rPr>
          <w:rFonts w:asciiTheme="majorHAnsi" w:hAnsiTheme="majorHAnsi" w:cstheme="minorHAnsi"/>
        </w:rPr>
      </w:pPr>
      <w:r w:rsidRPr="008F5D99">
        <w:rPr>
          <w:rFonts w:asciiTheme="majorHAnsi" w:hAnsiTheme="majorHAnsi" w:cstheme="minorHAnsi"/>
        </w:rPr>
        <w:t xml:space="preserve">En el 2018 se observa un aumento de la cantidad de retiros del FCL por extinción de la relación laboral. Este aumento fue del </w:t>
      </w:r>
      <w:r w:rsidR="00522385" w:rsidRPr="008F5D99">
        <w:rPr>
          <w:rFonts w:asciiTheme="majorHAnsi" w:hAnsiTheme="majorHAnsi" w:cstheme="minorHAnsi"/>
        </w:rPr>
        <w:t>9,54</w:t>
      </w:r>
      <w:r w:rsidRPr="008F5D99">
        <w:rPr>
          <w:rFonts w:asciiTheme="majorHAnsi" w:hAnsiTheme="majorHAnsi" w:cstheme="minorHAnsi"/>
        </w:rPr>
        <w:t xml:space="preserve">% con respecto del periodo anterior. La cantidad de </w:t>
      </w:r>
      <w:r w:rsidR="00473759" w:rsidRPr="008F5D99">
        <w:rPr>
          <w:rFonts w:asciiTheme="majorHAnsi" w:hAnsiTheme="majorHAnsi" w:cstheme="minorHAnsi"/>
        </w:rPr>
        <w:t>retiros</w:t>
      </w:r>
      <w:r w:rsidR="007B7CA3" w:rsidRPr="008F5D99">
        <w:rPr>
          <w:rFonts w:asciiTheme="majorHAnsi" w:hAnsiTheme="majorHAnsi" w:cstheme="minorHAnsi"/>
        </w:rPr>
        <w:t xml:space="preserve"> por ese concepto</w:t>
      </w:r>
      <w:r w:rsidR="003548B5" w:rsidRPr="008F5D99">
        <w:rPr>
          <w:rFonts w:asciiTheme="majorHAnsi" w:hAnsiTheme="majorHAnsi" w:cstheme="minorHAnsi"/>
        </w:rPr>
        <w:t>, durante los últimos doce meses,</w:t>
      </w:r>
      <w:r w:rsidRPr="008F5D99">
        <w:rPr>
          <w:rFonts w:asciiTheme="majorHAnsi" w:hAnsiTheme="majorHAnsi" w:cstheme="minorHAnsi"/>
        </w:rPr>
        <w:t xml:space="preserve"> representó el 2</w:t>
      </w:r>
      <w:r w:rsidR="00D07F75" w:rsidRPr="008F5D99">
        <w:rPr>
          <w:rFonts w:asciiTheme="majorHAnsi" w:hAnsiTheme="majorHAnsi" w:cstheme="minorHAnsi"/>
        </w:rPr>
        <w:t>5,78</w:t>
      </w:r>
      <w:r w:rsidRPr="008F5D99">
        <w:rPr>
          <w:rFonts w:asciiTheme="majorHAnsi" w:hAnsiTheme="majorHAnsi" w:cstheme="minorHAnsi"/>
        </w:rPr>
        <w:t xml:space="preserve">% del total de </w:t>
      </w:r>
      <w:r w:rsidR="00D07F75" w:rsidRPr="008F5D99">
        <w:rPr>
          <w:rFonts w:asciiTheme="majorHAnsi" w:hAnsiTheme="majorHAnsi" w:cstheme="minorHAnsi"/>
        </w:rPr>
        <w:t>aportantes a diciembre 2018</w:t>
      </w:r>
      <w:r w:rsidRPr="008F5D99">
        <w:rPr>
          <w:rFonts w:asciiTheme="majorHAnsi" w:hAnsiTheme="majorHAnsi" w:cstheme="minorHAnsi"/>
        </w:rPr>
        <w:t>.</w:t>
      </w:r>
      <w:r w:rsidR="00523FB5" w:rsidRPr="008F5D99">
        <w:rPr>
          <w:rFonts w:asciiTheme="majorHAnsi" w:hAnsiTheme="majorHAnsi" w:cstheme="minorHAnsi"/>
        </w:rPr>
        <w:t xml:space="preserve"> </w:t>
      </w:r>
      <w:r w:rsidRPr="008F5D99">
        <w:rPr>
          <w:rFonts w:asciiTheme="majorHAnsi" w:hAnsiTheme="majorHAnsi" w:cstheme="minorHAnsi"/>
        </w:rPr>
        <w:t>El monto promedio ret</w:t>
      </w:r>
      <w:r w:rsidR="00CA684E" w:rsidRPr="008F5D99">
        <w:rPr>
          <w:rFonts w:asciiTheme="majorHAnsi" w:hAnsiTheme="majorHAnsi" w:cstheme="minorHAnsi"/>
        </w:rPr>
        <w:t xml:space="preserve">irado entre entidades es de </w:t>
      </w:r>
      <w:r w:rsidR="00D07F75" w:rsidRPr="008F5D99">
        <w:rPr>
          <w:rFonts w:asciiTheme="majorHAnsi" w:hAnsiTheme="majorHAnsi" w:cstheme="minorHAnsi"/>
        </w:rPr>
        <w:t>164 949</w:t>
      </w:r>
      <w:r w:rsidR="00CA684E" w:rsidRPr="008F5D99">
        <w:rPr>
          <w:rFonts w:asciiTheme="majorHAnsi" w:hAnsiTheme="majorHAnsi" w:cstheme="minorHAnsi"/>
        </w:rPr>
        <w:t xml:space="preserve"> colones, s</w:t>
      </w:r>
      <w:r w:rsidRPr="008F5D99">
        <w:rPr>
          <w:rFonts w:asciiTheme="majorHAnsi" w:hAnsiTheme="majorHAnsi" w:cstheme="minorHAnsi"/>
        </w:rPr>
        <w:t xml:space="preserve">iendo </w:t>
      </w:r>
      <w:r w:rsidRPr="008F5D99">
        <w:rPr>
          <w:rFonts w:asciiTheme="majorHAnsi" w:hAnsiTheme="majorHAnsi" w:cstheme="minorHAnsi"/>
        </w:rPr>
        <w:lastRenderedPageBreak/>
        <w:t>los afiliados de BAC-San José</w:t>
      </w:r>
      <w:r w:rsidR="00CA684E" w:rsidRPr="008F5D99">
        <w:rPr>
          <w:rFonts w:asciiTheme="majorHAnsi" w:hAnsiTheme="majorHAnsi" w:cstheme="minorHAnsi"/>
        </w:rPr>
        <w:t xml:space="preserve"> Pensiones</w:t>
      </w:r>
      <w:r w:rsidRPr="008F5D99">
        <w:rPr>
          <w:rFonts w:asciiTheme="majorHAnsi" w:hAnsiTheme="majorHAnsi" w:cstheme="minorHAnsi"/>
        </w:rPr>
        <w:t xml:space="preserve"> </w:t>
      </w:r>
      <w:r w:rsidR="00CA684E" w:rsidRPr="008F5D99">
        <w:rPr>
          <w:rFonts w:asciiTheme="majorHAnsi" w:hAnsiTheme="majorHAnsi" w:cstheme="minorHAnsi"/>
        </w:rPr>
        <w:t>los que presentan mayor retiro promedio (</w:t>
      </w:r>
      <w:r w:rsidR="00D07F75" w:rsidRPr="008F5D99">
        <w:rPr>
          <w:rFonts w:asciiTheme="majorHAnsi" w:hAnsiTheme="majorHAnsi" w:cstheme="minorHAnsi"/>
        </w:rPr>
        <w:t>331 628</w:t>
      </w:r>
      <w:r w:rsidRPr="008F5D99">
        <w:rPr>
          <w:rFonts w:asciiTheme="majorHAnsi" w:hAnsiTheme="majorHAnsi" w:cstheme="minorHAnsi"/>
        </w:rPr>
        <w:t xml:space="preserve"> colones)</w:t>
      </w:r>
      <w:r w:rsidR="00F50363" w:rsidRPr="008F5D99">
        <w:rPr>
          <w:rFonts w:asciiTheme="majorHAnsi" w:hAnsiTheme="majorHAnsi" w:cstheme="minorHAnsi"/>
        </w:rPr>
        <w:t>.</w:t>
      </w:r>
    </w:p>
    <w:p w14:paraId="10DB39B8" w14:textId="43816DA5" w:rsidR="001345C6" w:rsidRDefault="001345C6" w:rsidP="001345C6">
      <w:pPr>
        <w:spacing w:after="0" w:line="240" w:lineRule="auto"/>
        <w:jc w:val="center"/>
        <w:rPr>
          <w:rFonts w:asciiTheme="majorHAnsi" w:hAnsiTheme="majorHAnsi" w:cstheme="minorHAnsi"/>
        </w:rPr>
      </w:pPr>
      <w:r w:rsidRPr="001345C6">
        <w:rPr>
          <w:rFonts w:asciiTheme="majorHAnsi" w:hAnsiTheme="majorHAnsi" w:cstheme="minorHAnsi"/>
        </w:rPr>
        <w:t xml:space="preserve">Cuadro </w:t>
      </w:r>
      <w:r w:rsidRPr="001345C6">
        <w:rPr>
          <w:rFonts w:asciiTheme="majorHAnsi" w:hAnsiTheme="majorHAnsi" w:cstheme="minorHAnsi"/>
        </w:rPr>
        <w:fldChar w:fldCharType="begin"/>
      </w:r>
      <w:r w:rsidRPr="001345C6">
        <w:rPr>
          <w:rFonts w:asciiTheme="majorHAnsi" w:hAnsiTheme="majorHAnsi" w:cstheme="minorHAnsi"/>
        </w:rPr>
        <w:instrText xml:space="preserve"> SEQ Cuadro \* ARABIC </w:instrText>
      </w:r>
      <w:r w:rsidRPr="001345C6">
        <w:rPr>
          <w:rFonts w:asciiTheme="majorHAnsi" w:hAnsiTheme="majorHAnsi" w:cstheme="minorHAnsi"/>
        </w:rPr>
        <w:fldChar w:fldCharType="separate"/>
      </w:r>
      <w:r w:rsidR="00F223CE">
        <w:rPr>
          <w:rFonts w:asciiTheme="majorHAnsi" w:hAnsiTheme="majorHAnsi" w:cstheme="minorHAnsi"/>
          <w:noProof/>
        </w:rPr>
        <w:t>19</w:t>
      </w:r>
      <w:r w:rsidRPr="001345C6">
        <w:rPr>
          <w:rFonts w:asciiTheme="majorHAnsi" w:hAnsiTheme="majorHAnsi" w:cstheme="minorHAnsi"/>
        </w:rPr>
        <w:fldChar w:fldCharType="end"/>
      </w:r>
    </w:p>
    <w:p w14:paraId="515A7A4E" w14:textId="77777777" w:rsidR="00F50363"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F</w:t>
      </w:r>
      <w:r w:rsidR="00F50363" w:rsidRPr="008F5D99">
        <w:rPr>
          <w:rFonts w:asciiTheme="majorHAnsi" w:hAnsiTheme="majorHAnsi" w:cstheme="minorHAnsi"/>
        </w:rPr>
        <w:t xml:space="preserve">ondo de </w:t>
      </w:r>
      <w:r w:rsidRPr="008F5D99">
        <w:rPr>
          <w:rFonts w:asciiTheme="majorHAnsi" w:hAnsiTheme="majorHAnsi" w:cstheme="minorHAnsi"/>
        </w:rPr>
        <w:t>C</w:t>
      </w:r>
      <w:r w:rsidR="00F50363" w:rsidRPr="008F5D99">
        <w:rPr>
          <w:rFonts w:asciiTheme="majorHAnsi" w:hAnsiTheme="majorHAnsi" w:cstheme="minorHAnsi"/>
        </w:rPr>
        <w:t xml:space="preserve">apitalización </w:t>
      </w:r>
      <w:r w:rsidRPr="008F5D99">
        <w:rPr>
          <w:rFonts w:asciiTheme="majorHAnsi" w:hAnsiTheme="majorHAnsi" w:cstheme="minorHAnsi"/>
        </w:rPr>
        <w:t>L</w:t>
      </w:r>
      <w:r w:rsidR="00F50363" w:rsidRPr="008F5D99">
        <w:rPr>
          <w:rFonts w:asciiTheme="majorHAnsi" w:hAnsiTheme="majorHAnsi" w:cstheme="minorHAnsi"/>
        </w:rPr>
        <w:t>aboral</w:t>
      </w:r>
    </w:p>
    <w:p w14:paraId="7D6E1858" w14:textId="77777777" w:rsidR="007D0BC7" w:rsidRPr="008F5D99" w:rsidRDefault="007D0BC7" w:rsidP="00AB1521">
      <w:pPr>
        <w:spacing w:after="0" w:line="240" w:lineRule="auto"/>
        <w:jc w:val="center"/>
        <w:rPr>
          <w:rFonts w:asciiTheme="majorHAnsi" w:hAnsiTheme="majorHAnsi" w:cstheme="minorHAnsi"/>
        </w:rPr>
      </w:pPr>
      <w:r w:rsidRPr="008F5D99">
        <w:rPr>
          <w:rFonts w:asciiTheme="majorHAnsi" w:hAnsiTheme="majorHAnsi" w:cstheme="minorHAnsi"/>
        </w:rPr>
        <w:t xml:space="preserve">Retiro de recursos por extinción de la relación laboral </w:t>
      </w:r>
    </w:p>
    <w:p w14:paraId="3FABA221" w14:textId="77777777" w:rsidR="00CE6261" w:rsidRDefault="00B35C98" w:rsidP="00AB1521">
      <w:pPr>
        <w:spacing w:after="0" w:line="240" w:lineRule="auto"/>
        <w:jc w:val="center"/>
        <w:rPr>
          <w:rFonts w:asciiTheme="majorHAnsi" w:hAnsiTheme="majorHAnsi" w:cstheme="minorHAnsi"/>
        </w:rPr>
      </w:pPr>
      <w:r w:rsidRPr="00CE6261">
        <w:rPr>
          <w:rFonts w:asciiTheme="majorHAnsi" w:hAnsiTheme="majorHAnsi" w:cstheme="minorHAnsi"/>
        </w:rPr>
        <w:t>Ú</w:t>
      </w:r>
      <w:r w:rsidR="00523BBE" w:rsidRPr="00CE6261">
        <w:rPr>
          <w:rFonts w:asciiTheme="majorHAnsi" w:hAnsiTheme="majorHAnsi" w:cstheme="minorHAnsi"/>
        </w:rPr>
        <w:t xml:space="preserve">ltimos 12 meses </w:t>
      </w:r>
    </w:p>
    <w:p w14:paraId="345C344C" w14:textId="77777777" w:rsidR="007D0BC7" w:rsidRPr="00CE6261" w:rsidRDefault="00CE6261" w:rsidP="00AB1521">
      <w:pPr>
        <w:spacing w:after="0" w:line="240" w:lineRule="auto"/>
        <w:jc w:val="center"/>
        <w:rPr>
          <w:rFonts w:asciiTheme="majorHAnsi" w:hAnsiTheme="majorHAnsi" w:cstheme="minorHAnsi"/>
        </w:rPr>
      </w:pPr>
      <w:r>
        <w:rPr>
          <w:rFonts w:asciiTheme="majorHAnsi" w:hAnsiTheme="majorHAnsi" w:cstheme="minorHAnsi"/>
        </w:rPr>
        <w:t>Al 31 de</w:t>
      </w:r>
      <w:r w:rsidR="00523BBE" w:rsidRPr="00CE6261">
        <w:rPr>
          <w:rFonts w:asciiTheme="majorHAnsi" w:hAnsiTheme="majorHAnsi" w:cstheme="minorHAnsi"/>
        </w:rPr>
        <w:t xml:space="preserve"> </w:t>
      </w:r>
      <w:r w:rsidR="00E91831" w:rsidRPr="00CE6261">
        <w:rPr>
          <w:rFonts w:asciiTheme="majorHAnsi" w:hAnsiTheme="majorHAnsi" w:cstheme="minorHAnsi"/>
        </w:rPr>
        <w:t>dici</w:t>
      </w:r>
      <w:r w:rsidR="00523BBE" w:rsidRPr="00CE6261">
        <w:rPr>
          <w:rFonts w:asciiTheme="majorHAnsi" w:hAnsiTheme="majorHAnsi" w:cstheme="minorHAnsi"/>
        </w:rPr>
        <w:t>embre de cada año</w:t>
      </w:r>
    </w:p>
    <w:tbl>
      <w:tblPr>
        <w:tblW w:w="6060" w:type="dxa"/>
        <w:jc w:val="center"/>
        <w:tblCellMar>
          <w:left w:w="70" w:type="dxa"/>
          <w:right w:w="70" w:type="dxa"/>
        </w:tblCellMar>
        <w:tblLook w:val="04A0" w:firstRow="1" w:lastRow="0" w:firstColumn="1" w:lastColumn="0" w:noHBand="0" w:noVBand="1"/>
      </w:tblPr>
      <w:tblGrid>
        <w:gridCol w:w="1260"/>
        <w:gridCol w:w="1580"/>
        <w:gridCol w:w="1680"/>
        <w:gridCol w:w="1540"/>
      </w:tblGrid>
      <w:tr w:rsidR="00E91831" w:rsidRPr="008F5D99" w14:paraId="791FCB62" w14:textId="77777777" w:rsidTr="00436AEE">
        <w:trPr>
          <w:trHeight w:val="70"/>
          <w:jc w:val="center"/>
        </w:trPr>
        <w:tc>
          <w:tcPr>
            <w:tcW w:w="1260" w:type="dxa"/>
            <w:tcBorders>
              <w:top w:val="single" w:sz="4" w:space="0" w:color="auto"/>
              <w:left w:val="nil"/>
              <w:bottom w:val="double" w:sz="6" w:space="0" w:color="auto"/>
              <w:right w:val="nil"/>
            </w:tcBorders>
            <w:shd w:val="clear" w:color="auto" w:fill="auto"/>
            <w:noWrap/>
            <w:vAlign w:val="center"/>
            <w:hideMark/>
          </w:tcPr>
          <w:p w14:paraId="72C42D4E" w14:textId="77777777" w:rsidR="00E91831" w:rsidRPr="008F5D99" w:rsidRDefault="00E91831" w:rsidP="00E9183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Fecha</w:t>
            </w:r>
          </w:p>
        </w:tc>
        <w:tc>
          <w:tcPr>
            <w:tcW w:w="1580" w:type="dxa"/>
            <w:tcBorders>
              <w:top w:val="single" w:sz="4" w:space="0" w:color="auto"/>
              <w:left w:val="nil"/>
              <w:bottom w:val="double" w:sz="6" w:space="0" w:color="auto"/>
              <w:right w:val="nil"/>
            </w:tcBorders>
            <w:shd w:val="clear" w:color="auto" w:fill="auto"/>
            <w:noWrap/>
            <w:vAlign w:val="center"/>
            <w:hideMark/>
          </w:tcPr>
          <w:p w14:paraId="2B9D4B37" w14:textId="77777777" w:rsidR="00E91831" w:rsidRPr="008F5D99" w:rsidRDefault="00E91831" w:rsidP="00E9183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Total</w:t>
            </w:r>
          </w:p>
        </w:tc>
        <w:tc>
          <w:tcPr>
            <w:tcW w:w="1680" w:type="dxa"/>
            <w:tcBorders>
              <w:top w:val="single" w:sz="4" w:space="0" w:color="auto"/>
              <w:left w:val="nil"/>
              <w:bottom w:val="double" w:sz="6" w:space="0" w:color="auto"/>
              <w:right w:val="nil"/>
            </w:tcBorders>
            <w:shd w:val="clear" w:color="auto" w:fill="auto"/>
            <w:noWrap/>
            <w:vAlign w:val="center"/>
            <w:hideMark/>
          </w:tcPr>
          <w:p w14:paraId="30976CE2" w14:textId="77777777" w:rsidR="00E91831" w:rsidRPr="008F5D99" w:rsidRDefault="00E91831" w:rsidP="00E9183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Aportantes</w:t>
            </w:r>
          </w:p>
        </w:tc>
        <w:tc>
          <w:tcPr>
            <w:tcW w:w="1540" w:type="dxa"/>
            <w:tcBorders>
              <w:top w:val="single" w:sz="4" w:space="0" w:color="auto"/>
              <w:left w:val="nil"/>
              <w:bottom w:val="double" w:sz="6" w:space="0" w:color="auto"/>
              <w:right w:val="nil"/>
            </w:tcBorders>
            <w:shd w:val="clear" w:color="auto" w:fill="auto"/>
            <w:noWrap/>
            <w:vAlign w:val="center"/>
            <w:hideMark/>
          </w:tcPr>
          <w:p w14:paraId="3076BAA7" w14:textId="77777777" w:rsidR="00E91831" w:rsidRPr="008F5D99" w:rsidRDefault="00E91831" w:rsidP="00E91831">
            <w:pPr>
              <w:spacing w:after="0" w:line="240" w:lineRule="auto"/>
              <w:jc w:val="center"/>
              <w:rPr>
                <w:rFonts w:asciiTheme="majorHAnsi" w:eastAsia="Times New Roman" w:hAnsiTheme="majorHAnsi" w:cstheme="minorHAnsi"/>
                <w:b/>
                <w:bCs/>
                <w:color w:val="000000"/>
                <w:lang w:val="es-CR" w:eastAsia="es-CR"/>
              </w:rPr>
            </w:pPr>
            <w:r w:rsidRPr="008F5D99">
              <w:rPr>
                <w:rFonts w:asciiTheme="majorHAnsi" w:eastAsia="Times New Roman" w:hAnsiTheme="majorHAnsi" w:cstheme="minorHAnsi"/>
                <w:b/>
                <w:bCs/>
                <w:color w:val="000000"/>
                <w:lang w:val="es-CR" w:eastAsia="es-CR"/>
              </w:rPr>
              <w:t>Porcentaje</w:t>
            </w:r>
          </w:p>
        </w:tc>
      </w:tr>
      <w:tr w:rsidR="00E91831" w:rsidRPr="008F5D99" w14:paraId="79AFD299" w14:textId="77777777" w:rsidTr="00436AEE">
        <w:trPr>
          <w:trHeight w:val="70"/>
          <w:jc w:val="center"/>
        </w:trPr>
        <w:tc>
          <w:tcPr>
            <w:tcW w:w="1260" w:type="dxa"/>
            <w:tcBorders>
              <w:top w:val="nil"/>
              <w:left w:val="nil"/>
              <w:bottom w:val="nil"/>
              <w:right w:val="nil"/>
            </w:tcBorders>
            <w:shd w:val="clear" w:color="auto" w:fill="auto"/>
            <w:noWrap/>
            <w:vAlign w:val="center"/>
            <w:hideMark/>
          </w:tcPr>
          <w:p w14:paraId="4EF8740A"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2010</w:t>
            </w:r>
          </w:p>
        </w:tc>
        <w:tc>
          <w:tcPr>
            <w:tcW w:w="1580" w:type="dxa"/>
            <w:tcBorders>
              <w:top w:val="nil"/>
              <w:left w:val="nil"/>
              <w:bottom w:val="nil"/>
              <w:right w:val="nil"/>
            </w:tcBorders>
            <w:shd w:val="clear" w:color="auto" w:fill="auto"/>
            <w:noWrap/>
            <w:vAlign w:val="center"/>
            <w:hideMark/>
          </w:tcPr>
          <w:p w14:paraId="31472589"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199</w:t>
            </w:r>
            <w:r w:rsidR="00436AEE" w:rsidRPr="008F5D99">
              <w:rPr>
                <w:rFonts w:asciiTheme="majorHAnsi" w:eastAsia="Times New Roman" w:hAnsiTheme="majorHAnsi" w:cstheme="minorHAnsi"/>
                <w:color w:val="000000"/>
                <w:lang w:val="es-CR" w:eastAsia="es-CR"/>
              </w:rPr>
              <w:t> </w:t>
            </w:r>
            <w:r w:rsidRPr="008F5D99">
              <w:rPr>
                <w:rFonts w:asciiTheme="majorHAnsi" w:eastAsia="Times New Roman" w:hAnsiTheme="majorHAnsi" w:cstheme="minorHAnsi"/>
                <w:color w:val="000000"/>
                <w:lang w:val="es-CR" w:eastAsia="es-CR"/>
              </w:rPr>
              <w:t>692</w:t>
            </w:r>
          </w:p>
        </w:tc>
        <w:tc>
          <w:tcPr>
            <w:tcW w:w="1680" w:type="dxa"/>
            <w:tcBorders>
              <w:top w:val="nil"/>
              <w:left w:val="nil"/>
              <w:bottom w:val="nil"/>
              <w:right w:val="nil"/>
            </w:tcBorders>
            <w:shd w:val="clear" w:color="auto" w:fill="auto"/>
            <w:noWrap/>
            <w:vAlign w:val="center"/>
            <w:hideMark/>
          </w:tcPr>
          <w:p w14:paraId="6BE2742D"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904 420</w:t>
            </w:r>
          </w:p>
        </w:tc>
        <w:tc>
          <w:tcPr>
            <w:tcW w:w="1540" w:type="dxa"/>
            <w:tcBorders>
              <w:top w:val="nil"/>
              <w:left w:val="nil"/>
              <w:bottom w:val="nil"/>
              <w:right w:val="nil"/>
            </w:tcBorders>
            <w:shd w:val="clear" w:color="auto" w:fill="auto"/>
            <w:noWrap/>
            <w:vAlign w:val="center"/>
            <w:hideMark/>
          </w:tcPr>
          <w:p w14:paraId="0E29AE8B"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22,08%</w:t>
            </w:r>
          </w:p>
        </w:tc>
      </w:tr>
      <w:tr w:rsidR="00E91831" w:rsidRPr="008F5D99" w14:paraId="3A9D467A" w14:textId="77777777" w:rsidTr="00436AEE">
        <w:trPr>
          <w:trHeight w:val="80"/>
          <w:jc w:val="center"/>
        </w:trPr>
        <w:tc>
          <w:tcPr>
            <w:tcW w:w="1260" w:type="dxa"/>
            <w:tcBorders>
              <w:top w:val="nil"/>
              <w:left w:val="nil"/>
              <w:bottom w:val="nil"/>
              <w:right w:val="nil"/>
            </w:tcBorders>
            <w:shd w:val="clear" w:color="auto" w:fill="auto"/>
            <w:noWrap/>
            <w:vAlign w:val="center"/>
            <w:hideMark/>
          </w:tcPr>
          <w:p w14:paraId="60EEC29A"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2011</w:t>
            </w:r>
          </w:p>
        </w:tc>
        <w:tc>
          <w:tcPr>
            <w:tcW w:w="1580" w:type="dxa"/>
            <w:tcBorders>
              <w:top w:val="nil"/>
              <w:left w:val="nil"/>
              <w:bottom w:val="nil"/>
              <w:right w:val="nil"/>
            </w:tcBorders>
            <w:shd w:val="clear" w:color="auto" w:fill="auto"/>
            <w:noWrap/>
            <w:vAlign w:val="center"/>
            <w:hideMark/>
          </w:tcPr>
          <w:p w14:paraId="2AF1EB77"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284 334</w:t>
            </w:r>
          </w:p>
        </w:tc>
        <w:tc>
          <w:tcPr>
            <w:tcW w:w="1680" w:type="dxa"/>
            <w:tcBorders>
              <w:top w:val="nil"/>
              <w:left w:val="nil"/>
              <w:bottom w:val="nil"/>
              <w:right w:val="nil"/>
            </w:tcBorders>
            <w:shd w:val="clear" w:color="auto" w:fill="auto"/>
            <w:noWrap/>
            <w:vAlign w:val="center"/>
            <w:hideMark/>
          </w:tcPr>
          <w:p w14:paraId="2A93FAC4"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988 962</w:t>
            </w:r>
          </w:p>
        </w:tc>
        <w:tc>
          <w:tcPr>
            <w:tcW w:w="1540" w:type="dxa"/>
            <w:tcBorders>
              <w:top w:val="nil"/>
              <w:left w:val="nil"/>
              <w:bottom w:val="nil"/>
              <w:right w:val="nil"/>
            </w:tcBorders>
            <w:shd w:val="clear" w:color="auto" w:fill="auto"/>
            <w:noWrap/>
            <w:vAlign w:val="center"/>
            <w:hideMark/>
          </w:tcPr>
          <w:p w14:paraId="02009ECB"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28,75%</w:t>
            </w:r>
          </w:p>
        </w:tc>
      </w:tr>
      <w:tr w:rsidR="00E91831" w:rsidRPr="008F5D99" w14:paraId="227C3C12" w14:textId="77777777" w:rsidTr="00436AEE">
        <w:trPr>
          <w:trHeight w:val="80"/>
          <w:jc w:val="center"/>
        </w:trPr>
        <w:tc>
          <w:tcPr>
            <w:tcW w:w="1260" w:type="dxa"/>
            <w:tcBorders>
              <w:top w:val="nil"/>
              <w:left w:val="nil"/>
              <w:bottom w:val="nil"/>
              <w:right w:val="nil"/>
            </w:tcBorders>
            <w:shd w:val="clear" w:color="auto" w:fill="auto"/>
            <w:noWrap/>
            <w:vAlign w:val="center"/>
            <w:hideMark/>
          </w:tcPr>
          <w:p w14:paraId="61FB645C"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2012</w:t>
            </w:r>
          </w:p>
        </w:tc>
        <w:tc>
          <w:tcPr>
            <w:tcW w:w="1580" w:type="dxa"/>
            <w:tcBorders>
              <w:top w:val="nil"/>
              <w:left w:val="nil"/>
              <w:bottom w:val="nil"/>
              <w:right w:val="nil"/>
            </w:tcBorders>
            <w:shd w:val="clear" w:color="auto" w:fill="auto"/>
            <w:noWrap/>
            <w:vAlign w:val="center"/>
            <w:hideMark/>
          </w:tcPr>
          <w:p w14:paraId="3CACCA0D"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257 414</w:t>
            </w:r>
          </w:p>
        </w:tc>
        <w:tc>
          <w:tcPr>
            <w:tcW w:w="1680" w:type="dxa"/>
            <w:tcBorders>
              <w:top w:val="nil"/>
              <w:left w:val="nil"/>
              <w:bottom w:val="nil"/>
              <w:right w:val="nil"/>
            </w:tcBorders>
            <w:shd w:val="clear" w:color="auto" w:fill="auto"/>
            <w:noWrap/>
            <w:vAlign w:val="center"/>
            <w:hideMark/>
          </w:tcPr>
          <w:p w14:paraId="19E7D559"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997 034</w:t>
            </w:r>
          </w:p>
        </w:tc>
        <w:tc>
          <w:tcPr>
            <w:tcW w:w="1540" w:type="dxa"/>
            <w:tcBorders>
              <w:top w:val="nil"/>
              <w:left w:val="nil"/>
              <w:bottom w:val="nil"/>
              <w:right w:val="nil"/>
            </w:tcBorders>
            <w:shd w:val="clear" w:color="auto" w:fill="auto"/>
            <w:noWrap/>
            <w:vAlign w:val="center"/>
            <w:hideMark/>
          </w:tcPr>
          <w:p w14:paraId="5784C5DF"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25,82%</w:t>
            </w:r>
          </w:p>
        </w:tc>
      </w:tr>
      <w:tr w:rsidR="00E91831" w:rsidRPr="008F5D99" w14:paraId="04DD7741" w14:textId="77777777" w:rsidTr="00436AEE">
        <w:trPr>
          <w:trHeight w:val="80"/>
          <w:jc w:val="center"/>
        </w:trPr>
        <w:tc>
          <w:tcPr>
            <w:tcW w:w="1260" w:type="dxa"/>
            <w:tcBorders>
              <w:top w:val="nil"/>
              <w:left w:val="nil"/>
              <w:bottom w:val="nil"/>
              <w:right w:val="nil"/>
            </w:tcBorders>
            <w:shd w:val="clear" w:color="auto" w:fill="auto"/>
            <w:noWrap/>
            <w:vAlign w:val="center"/>
            <w:hideMark/>
          </w:tcPr>
          <w:p w14:paraId="0B152896"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2013</w:t>
            </w:r>
          </w:p>
        </w:tc>
        <w:tc>
          <w:tcPr>
            <w:tcW w:w="1580" w:type="dxa"/>
            <w:tcBorders>
              <w:top w:val="nil"/>
              <w:left w:val="nil"/>
              <w:bottom w:val="nil"/>
              <w:right w:val="nil"/>
            </w:tcBorders>
            <w:shd w:val="clear" w:color="auto" w:fill="auto"/>
            <w:noWrap/>
            <w:vAlign w:val="center"/>
            <w:hideMark/>
          </w:tcPr>
          <w:p w14:paraId="1148DECE"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296 976</w:t>
            </w:r>
          </w:p>
        </w:tc>
        <w:tc>
          <w:tcPr>
            <w:tcW w:w="1680" w:type="dxa"/>
            <w:tcBorders>
              <w:top w:val="nil"/>
              <w:left w:val="nil"/>
              <w:bottom w:val="nil"/>
              <w:right w:val="nil"/>
            </w:tcBorders>
            <w:shd w:val="clear" w:color="auto" w:fill="auto"/>
            <w:noWrap/>
            <w:vAlign w:val="center"/>
            <w:hideMark/>
          </w:tcPr>
          <w:p w14:paraId="73966E79"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1 044 081</w:t>
            </w:r>
          </w:p>
        </w:tc>
        <w:tc>
          <w:tcPr>
            <w:tcW w:w="1540" w:type="dxa"/>
            <w:tcBorders>
              <w:top w:val="nil"/>
              <w:left w:val="nil"/>
              <w:bottom w:val="nil"/>
              <w:right w:val="nil"/>
            </w:tcBorders>
            <w:shd w:val="clear" w:color="auto" w:fill="auto"/>
            <w:noWrap/>
            <w:vAlign w:val="center"/>
            <w:hideMark/>
          </w:tcPr>
          <w:p w14:paraId="3BFD052A"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28,44%</w:t>
            </w:r>
          </w:p>
        </w:tc>
      </w:tr>
      <w:tr w:rsidR="00E91831" w:rsidRPr="008F5D99" w14:paraId="7107E62C" w14:textId="77777777" w:rsidTr="00436AEE">
        <w:trPr>
          <w:trHeight w:val="80"/>
          <w:jc w:val="center"/>
        </w:trPr>
        <w:tc>
          <w:tcPr>
            <w:tcW w:w="1260" w:type="dxa"/>
            <w:tcBorders>
              <w:top w:val="nil"/>
              <w:left w:val="nil"/>
              <w:bottom w:val="nil"/>
              <w:right w:val="nil"/>
            </w:tcBorders>
            <w:shd w:val="clear" w:color="auto" w:fill="auto"/>
            <w:noWrap/>
            <w:vAlign w:val="center"/>
            <w:hideMark/>
          </w:tcPr>
          <w:p w14:paraId="01331F1A"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2014</w:t>
            </w:r>
          </w:p>
        </w:tc>
        <w:tc>
          <w:tcPr>
            <w:tcW w:w="1580" w:type="dxa"/>
            <w:tcBorders>
              <w:top w:val="nil"/>
              <w:left w:val="nil"/>
              <w:bottom w:val="nil"/>
              <w:right w:val="nil"/>
            </w:tcBorders>
            <w:shd w:val="clear" w:color="auto" w:fill="auto"/>
            <w:noWrap/>
            <w:vAlign w:val="center"/>
            <w:hideMark/>
          </w:tcPr>
          <w:p w14:paraId="4C86E132"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294 626</w:t>
            </w:r>
          </w:p>
        </w:tc>
        <w:tc>
          <w:tcPr>
            <w:tcW w:w="1680" w:type="dxa"/>
            <w:tcBorders>
              <w:top w:val="nil"/>
              <w:left w:val="nil"/>
              <w:bottom w:val="nil"/>
              <w:right w:val="nil"/>
            </w:tcBorders>
            <w:shd w:val="clear" w:color="auto" w:fill="auto"/>
            <w:noWrap/>
            <w:vAlign w:val="center"/>
            <w:hideMark/>
          </w:tcPr>
          <w:p w14:paraId="2F1790F7"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1 081 465</w:t>
            </w:r>
          </w:p>
        </w:tc>
        <w:tc>
          <w:tcPr>
            <w:tcW w:w="1540" w:type="dxa"/>
            <w:tcBorders>
              <w:top w:val="nil"/>
              <w:left w:val="nil"/>
              <w:bottom w:val="nil"/>
              <w:right w:val="nil"/>
            </w:tcBorders>
            <w:shd w:val="clear" w:color="auto" w:fill="auto"/>
            <w:noWrap/>
            <w:vAlign w:val="center"/>
            <w:hideMark/>
          </w:tcPr>
          <w:p w14:paraId="5E37681E"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27,24%</w:t>
            </w:r>
          </w:p>
        </w:tc>
      </w:tr>
      <w:tr w:rsidR="00E91831" w:rsidRPr="008F5D99" w14:paraId="5695E380" w14:textId="77777777" w:rsidTr="00436AEE">
        <w:trPr>
          <w:trHeight w:val="80"/>
          <w:jc w:val="center"/>
        </w:trPr>
        <w:tc>
          <w:tcPr>
            <w:tcW w:w="1260" w:type="dxa"/>
            <w:tcBorders>
              <w:top w:val="nil"/>
              <w:left w:val="nil"/>
              <w:bottom w:val="nil"/>
              <w:right w:val="nil"/>
            </w:tcBorders>
            <w:shd w:val="clear" w:color="auto" w:fill="auto"/>
            <w:noWrap/>
            <w:vAlign w:val="center"/>
            <w:hideMark/>
          </w:tcPr>
          <w:p w14:paraId="39606056"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2015</w:t>
            </w:r>
          </w:p>
        </w:tc>
        <w:tc>
          <w:tcPr>
            <w:tcW w:w="1580" w:type="dxa"/>
            <w:tcBorders>
              <w:top w:val="nil"/>
              <w:left w:val="nil"/>
              <w:bottom w:val="nil"/>
              <w:right w:val="nil"/>
            </w:tcBorders>
            <w:shd w:val="clear" w:color="auto" w:fill="auto"/>
            <w:noWrap/>
            <w:vAlign w:val="center"/>
            <w:hideMark/>
          </w:tcPr>
          <w:p w14:paraId="2D636600"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305 242</w:t>
            </w:r>
          </w:p>
        </w:tc>
        <w:tc>
          <w:tcPr>
            <w:tcW w:w="1680" w:type="dxa"/>
            <w:tcBorders>
              <w:top w:val="nil"/>
              <w:left w:val="nil"/>
              <w:bottom w:val="nil"/>
              <w:right w:val="nil"/>
            </w:tcBorders>
            <w:shd w:val="clear" w:color="auto" w:fill="auto"/>
            <w:noWrap/>
            <w:vAlign w:val="center"/>
            <w:hideMark/>
          </w:tcPr>
          <w:p w14:paraId="53AEEA80"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1 112 582</w:t>
            </w:r>
          </w:p>
        </w:tc>
        <w:tc>
          <w:tcPr>
            <w:tcW w:w="1540" w:type="dxa"/>
            <w:tcBorders>
              <w:top w:val="nil"/>
              <w:left w:val="nil"/>
              <w:bottom w:val="nil"/>
              <w:right w:val="nil"/>
            </w:tcBorders>
            <w:shd w:val="clear" w:color="auto" w:fill="auto"/>
            <w:noWrap/>
            <w:vAlign w:val="center"/>
            <w:hideMark/>
          </w:tcPr>
          <w:p w14:paraId="1D5B62FD"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27,44%</w:t>
            </w:r>
          </w:p>
        </w:tc>
      </w:tr>
      <w:tr w:rsidR="00E91831" w:rsidRPr="008F5D99" w14:paraId="39E25E44" w14:textId="77777777" w:rsidTr="00436AEE">
        <w:trPr>
          <w:trHeight w:val="80"/>
          <w:jc w:val="center"/>
        </w:trPr>
        <w:tc>
          <w:tcPr>
            <w:tcW w:w="1260" w:type="dxa"/>
            <w:tcBorders>
              <w:top w:val="nil"/>
              <w:left w:val="nil"/>
              <w:bottom w:val="nil"/>
              <w:right w:val="nil"/>
            </w:tcBorders>
            <w:shd w:val="clear" w:color="auto" w:fill="auto"/>
            <w:noWrap/>
            <w:vAlign w:val="center"/>
            <w:hideMark/>
          </w:tcPr>
          <w:p w14:paraId="56CB278F"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2016</w:t>
            </w:r>
          </w:p>
        </w:tc>
        <w:tc>
          <w:tcPr>
            <w:tcW w:w="1580" w:type="dxa"/>
            <w:tcBorders>
              <w:top w:val="nil"/>
              <w:left w:val="nil"/>
              <w:bottom w:val="nil"/>
              <w:right w:val="nil"/>
            </w:tcBorders>
            <w:shd w:val="clear" w:color="auto" w:fill="auto"/>
            <w:noWrap/>
            <w:vAlign w:val="center"/>
            <w:hideMark/>
          </w:tcPr>
          <w:p w14:paraId="674FC085"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321 830</w:t>
            </w:r>
          </w:p>
        </w:tc>
        <w:tc>
          <w:tcPr>
            <w:tcW w:w="1680" w:type="dxa"/>
            <w:tcBorders>
              <w:top w:val="nil"/>
              <w:left w:val="nil"/>
              <w:bottom w:val="nil"/>
              <w:right w:val="nil"/>
            </w:tcBorders>
            <w:shd w:val="clear" w:color="auto" w:fill="auto"/>
            <w:noWrap/>
            <w:vAlign w:val="center"/>
            <w:hideMark/>
          </w:tcPr>
          <w:p w14:paraId="3D11F6E6"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1 066 939</w:t>
            </w:r>
          </w:p>
        </w:tc>
        <w:tc>
          <w:tcPr>
            <w:tcW w:w="1540" w:type="dxa"/>
            <w:tcBorders>
              <w:top w:val="nil"/>
              <w:left w:val="nil"/>
              <w:bottom w:val="nil"/>
              <w:right w:val="nil"/>
            </w:tcBorders>
            <w:shd w:val="clear" w:color="auto" w:fill="auto"/>
            <w:noWrap/>
            <w:vAlign w:val="center"/>
            <w:hideMark/>
          </w:tcPr>
          <w:p w14:paraId="28DB5954"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30,16%</w:t>
            </w:r>
          </w:p>
        </w:tc>
      </w:tr>
      <w:tr w:rsidR="00E91831" w:rsidRPr="008F5D99" w14:paraId="262343CD" w14:textId="77777777" w:rsidTr="00436AEE">
        <w:trPr>
          <w:trHeight w:val="80"/>
          <w:jc w:val="center"/>
        </w:trPr>
        <w:tc>
          <w:tcPr>
            <w:tcW w:w="1260" w:type="dxa"/>
            <w:tcBorders>
              <w:top w:val="nil"/>
              <w:left w:val="nil"/>
              <w:bottom w:val="nil"/>
              <w:right w:val="nil"/>
            </w:tcBorders>
            <w:shd w:val="clear" w:color="auto" w:fill="auto"/>
            <w:noWrap/>
            <w:vAlign w:val="center"/>
            <w:hideMark/>
          </w:tcPr>
          <w:p w14:paraId="675776CF"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2017</w:t>
            </w:r>
          </w:p>
        </w:tc>
        <w:tc>
          <w:tcPr>
            <w:tcW w:w="1580" w:type="dxa"/>
            <w:tcBorders>
              <w:top w:val="nil"/>
              <w:left w:val="nil"/>
              <w:bottom w:val="nil"/>
              <w:right w:val="nil"/>
            </w:tcBorders>
            <w:shd w:val="clear" w:color="auto" w:fill="auto"/>
            <w:noWrap/>
            <w:vAlign w:val="center"/>
            <w:hideMark/>
          </w:tcPr>
          <w:p w14:paraId="31E9BCE6"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306 168</w:t>
            </w:r>
          </w:p>
        </w:tc>
        <w:tc>
          <w:tcPr>
            <w:tcW w:w="1680" w:type="dxa"/>
            <w:tcBorders>
              <w:top w:val="nil"/>
              <w:left w:val="nil"/>
              <w:bottom w:val="nil"/>
              <w:right w:val="nil"/>
            </w:tcBorders>
            <w:shd w:val="clear" w:color="auto" w:fill="auto"/>
            <w:noWrap/>
            <w:vAlign w:val="center"/>
            <w:hideMark/>
          </w:tcPr>
          <w:p w14:paraId="00BC9F8C"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1 088 432</w:t>
            </w:r>
          </w:p>
        </w:tc>
        <w:tc>
          <w:tcPr>
            <w:tcW w:w="1540" w:type="dxa"/>
            <w:tcBorders>
              <w:top w:val="nil"/>
              <w:left w:val="nil"/>
              <w:bottom w:val="nil"/>
              <w:right w:val="nil"/>
            </w:tcBorders>
            <w:shd w:val="clear" w:color="auto" w:fill="auto"/>
            <w:noWrap/>
            <w:vAlign w:val="center"/>
            <w:hideMark/>
          </w:tcPr>
          <w:p w14:paraId="41C50738"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28,13%</w:t>
            </w:r>
          </w:p>
        </w:tc>
      </w:tr>
      <w:tr w:rsidR="00E91831" w:rsidRPr="008F5D99" w14:paraId="7A1CB707" w14:textId="77777777" w:rsidTr="00436AEE">
        <w:trPr>
          <w:trHeight w:val="80"/>
          <w:jc w:val="center"/>
        </w:trPr>
        <w:tc>
          <w:tcPr>
            <w:tcW w:w="1260" w:type="dxa"/>
            <w:tcBorders>
              <w:top w:val="nil"/>
              <w:left w:val="nil"/>
              <w:bottom w:val="single" w:sz="4" w:space="0" w:color="auto"/>
              <w:right w:val="nil"/>
            </w:tcBorders>
            <w:shd w:val="clear" w:color="auto" w:fill="auto"/>
            <w:noWrap/>
            <w:vAlign w:val="center"/>
            <w:hideMark/>
          </w:tcPr>
          <w:p w14:paraId="7A2F7051"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2018</w:t>
            </w:r>
          </w:p>
        </w:tc>
        <w:tc>
          <w:tcPr>
            <w:tcW w:w="1580" w:type="dxa"/>
            <w:tcBorders>
              <w:top w:val="nil"/>
              <w:left w:val="nil"/>
              <w:bottom w:val="single" w:sz="4" w:space="0" w:color="auto"/>
              <w:right w:val="nil"/>
            </w:tcBorders>
            <w:shd w:val="clear" w:color="auto" w:fill="auto"/>
            <w:noWrap/>
            <w:vAlign w:val="center"/>
            <w:hideMark/>
          </w:tcPr>
          <w:p w14:paraId="1EBBB3DE"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303 942</w:t>
            </w:r>
          </w:p>
        </w:tc>
        <w:tc>
          <w:tcPr>
            <w:tcW w:w="1680" w:type="dxa"/>
            <w:tcBorders>
              <w:top w:val="nil"/>
              <w:left w:val="nil"/>
              <w:bottom w:val="single" w:sz="4" w:space="0" w:color="auto"/>
              <w:right w:val="nil"/>
            </w:tcBorders>
            <w:shd w:val="clear" w:color="auto" w:fill="auto"/>
            <w:noWrap/>
            <w:vAlign w:val="center"/>
            <w:hideMark/>
          </w:tcPr>
          <w:p w14:paraId="64C9BCA5"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1 179 174</w:t>
            </w:r>
          </w:p>
        </w:tc>
        <w:tc>
          <w:tcPr>
            <w:tcW w:w="1540" w:type="dxa"/>
            <w:tcBorders>
              <w:top w:val="nil"/>
              <w:left w:val="nil"/>
              <w:bottom w:val="single" w:sz="4" w:space="0" w:color="auto"/>
              <w:right w:val="nil"/>
            </w:tcBorders>
            <w:shd w:val="clear" w:color="auto" w:fill="auto"/>
            <w:noWrap/>
            <w:vAlign w:val="center"/>
            <w:hideMark/>
          </w:tcPr>
          <w:p w14:paraId="081592D1" w14:textId="77777777" w:rsidR="00E91831" w:rsidRPr="008F5D99" w:rsidRDefault="00E91831" w:rsidP="00E91831">
            <w:pPr>
              <w:spacing w:after="0" w:line="240" w:lineRule="auto"/>
              <w:jc w:val="center"/>
              <w:rPr>
                <w:rFonts w:asciiTheme="majorHAnsi" w:eastAsia="Times New Roman" w:hAnsiTheme="majorHAnsi" w:cstheme="minorHAnsi"/>
                <w:color w:val="000000"/>
                <w:lang w:val="es-CR" w:eastAsia="es-CR"/>
              </w:rPr>
            </w:pPr>
            <w:r w:rsidRPr="008F5D99">
              <w:rPr>
                <w:rFonts w:asciiTheme="majorHAnsi" w:eastAsia="Times New Roman" w:hAnsiTheme="majorHAnsi" w:cstheme="minorHAnsi"/>
                <w:color w:val="000000"/>
                <w:lang w:val="es-CR" w:eastAsia="es-CR"/>
              </w:rPr>
              <w:t>25,78%</w:t>
            </w:r>
          </w:p>
        </w:tc>
      </w:tr>
    </w:tbl>
    <w:p w14:paraId="57AE734A" w14:textId="77777777" w:rsidR="00E91831" w:rsidRPr="009B7058" w:rsidRDefault="00E91831" w:rsidP="009B7058">
      <w:pPr>
        <w:spacing w:before="40" w:after="20" w:line="240" w:lineRule="auto"/>
        <w:ind w:left="1418" w:right="1325"/>
        <w:rPr>
          <w:rFonts w:asciiTheme="majorHAnsi" w:hAnsiTheme="majorHAnsi" w:cstheme="minorHAnsi"/>
          <w:sz w:val="20"/>
          <w:lang w:val="es-CR"/>
        </w:rPr>
      </w:pPr>
      <w:r w:rsidRPr="009B7058">
        <w:rPr>
          <w:rFonts w:asciiTheme="majorHAnsi" w:hAnsiTheme="majorHAnsi" w:cstheme="minorHAnsi"/>
          <w:sz w:val="20"/>
        </w:rPr>
        <w:t xml:space="preserve">Fuente: Elaboración </w:t>
      </w:r>
      <w:r w:rsidRPr="009B7058">
        <w:rPr>
          <w:rFonts w:asciiTheme="majorHAnsi" w:hAnsiTheme="majorHAnsi" w:cstheme="minorHAnsi"/>
          <w:sz w:val="20"/>
          <w:lang w:val="es-CR"/>
        </w:rPr>
        <w:t>propia con datos suministrados por las entidades</w:t>
      </w:r>
    </w:p>
    <w:p w14:paraId="1C0157D6" w14:textId="77777777" w:rsidR="00F2730C" w:rsidRPr="008F5D99" w:rsidRDefault="00F2730C" w:rsidP="00E91831">
      <w:pPr>
        <w:spacing w:before="40" w:after="20" w:line="240" w:lineRule="auto"/>
        <w:ind w:left="1418" w:right="1467"/>
        <w:rPr>
          <w:rFonts w:asciiTheme="majorHAnsi" w:hAnsiTheme="majorHAnsi" w:cstheme="minorHAnsi"/>
          <w:sz w:val="24"/>
          <w:lang w:val="es-CR"/>
        </w:rPr>
      </w:pPr>
    </w:p>
    <w:p w14:paraId="284AB0F0" w14:textId="77777777" w:rsidR="00496CC7" w:rsidRPr="008F5D99" w:rsidRDefault="00B81C37" w:rsidP="00D335F1">
      <w:pPr>
        <w:pStyle w:val="Ttulo1"/>
        <w:rPr>
          <w:rFonts w:asciiTheme="majorHAnsi" w:hAnsiTheme="majorHAnsi" w:cstheme="minorHAnsi"/>
        </w:rPr>
      </w:pPr>
      <w:bookmarkStart w:id="18" w:name="_Toc522026925"/>
      <w:bookmarkStart w:id="19" w:name="_Toc530737636"/>
      <w:bookmarkStart w:id="20" w:name="_Toc19518060"/>
      <w:r w:rsidRPr="008F5D99">
        <w:rPr>
          <w:rFonts w:asciiTheme="majorHAnsi" w:hAnsiTheme="majorHAnsi" w:cstheme="minorHAnsi"/>
        </w:rPr>
        <w:t>S</w:t>
      </w:r>
      <w:r w:rsidR="002024F6" w:rsidRPr="008F5D99">
        <w:rPr>
          <w:rFonts w:asciiTheme="majorHAnsi" w:hAnsiTheme="majorHAnsi" w:cstheme="minorHAnsi"/>
        </w:rPr>
        <w:t xml:space="preserve">upervisión </w:t>
      </w:r>
      <w:r w:rsidR="00496CC7" w:rsidRPr="008F5D99">
        <w:rPr>
          <w:rFonts w:asciiTheme="majorHAnsi" w:hAnsiTheme="majorHAnsi" w:cstheme="minorHAnsi"/>
        </w:rPr>
        <w:t>Basada en Riesgo</w:t>
      </w:r>
      <w:bookmarkEnd w:id="18"/>
      <w:bookmarkEnd w:id="19"/>
      <w:bookmarkEnd w:id="20"/>
    </w:p>
    <w:p w14:paraId="3691E7B2" w14:textId="77777777" w:rsidR="002024F6" w:rsidRPr="008F5D99" w:rsidRDefault="002024F6" w:rsidP="00AB1521">
      <w:pPr>
        <w:spacing w:after="0" w:line="240" w:lineRule="auto"/>
        <w:jc w:val="both"/>
        <w:rPr>
          <w:rFonts w:asciiTheme="majorHAnsi" w:hAnsiTheme="majorHAnsi" w:cstheme="minorHAnsi"/>
        </w:rPr>
      </w:pPr>
    </w:p>
    <w:p w14:paraId="4B9B8DB1" w14:textId="16330F6F" w:rsidR="00CC4C7B" w:rsidRPr="008F5D99" w:rsidRDefault="009C3567" w:rsidP="002024F6">
      <w:pPr>
        <w:spacing w:after="0" w:line="240" w:lineRule="auto"/>
        <w:jc w:val="both"/>
        <w:rPr>
          <w:rFonts w:asciiTheme="majorHAnsi" w:hAnsiTheme="majorHAnsi" w:cstheme="minorHAnsi"/>
        </w:rPr>
      </w:pPr>
      <w:r w:rsidRPr="008F5D99">
        <w:rPr>
          <w:rFonts w:asciiTheme="majorHAnsi" w:hAnsiTheme="majorHAnsi" w:cstheme="minorHAnsi"/>
        </w:rPr>
        <w:t>Con el apoyo del Toronto Centre l</w:t>
      </w:r>
      <w:r w:rsidR="002024F6" w:rsidRPr="008F5D99">
        <w:rPr>
          <w:rFonts w:asciiTheme="majorHAnsi" w:hAnsiTheme="majorHAnsi" w:cstheme="minorHAnsi"/>
        </w:rPr>
        <w:t xml:space="preserve">a </w:t>
      </w:r>
      <w:r w:rsidR="000C3F95" w:rsidRPr="008F5D99">
        <w:rPr>
          <w:rFonts w:asciiTheme="majorHAnsi" w:hAnsiTheme="majorHAnsi" w:cstheme="minorHAnsi"/>
        </w:rPr>
        <w:t>SUPEN</w:t>
      </w:r>
      <w:r w:rsidR="00CC4C7B" w:rsidRPr="008F5D99">
        <w:rPr>
          <w:rFonts w:asciiTheme="majorHAnsi" w:hAnsiTheme="majorHAnsi" w:cstheme="minorHAnsi"/>
        </w:rPr>
        <w:t xml:space="preserve"> </w:t>
      </w:r>
      <w:r w:rsidR="000C3F95" w:rsidRPr="008F5D99">
        <w:rPr>
          <w:rFonts w:asciiTheme="majorHAnsi" w:hAnsiTheme="majorHAnsi" w:cstheme="minorHAnsi"/>
        </w:rPr>
        <w:t xml:space="preserve">está </w:t>
      </w:r>
      <w:r w:rsidR="002024F6" w:rsidRPr="008F5D99">
        <w:rPr>
          <w:rFonts w:asciiTheme="majorHAnsi" w:hAnsiTheme="majorHAnsi" w:cstheme="minorHAnsi"/>
        </w:rPr>
        <w:t>des</w:t>
      </w:r>
      <w:r w:rsidR="000C3F95" w:rsidRPr="008F5D99">
        <w:rPr>
          <w:rFonts w:asciiTheme="majorHAnsi" w:hAnsiTheme="majorHAnsi" w:cstheme="minorHAnsi"/>
        </w:rPr>
        <w:t>arrollando un</w:t>
      </w:r>
      <w:r w:rsidR="002024F6" w:rsidRPr="008F5D99">
        <w:rPr>
          <w:rFonts w:asciiTheme="majorHAnsi" w:hAnsiTheme="majorHAnsi" w:cstheme="minorHAnsi"/>
        </w:rPr>
        <w:t xml:space="preserve"> Marco de Supervisión </w:t>
      </w:r>
      <w:r w:rsidR="000C3F95" w:rsidRPr="008F5D99">
        <w:rPr>
          <w:rFonts w:asciiTheme="majorHAnsi" w:hAnsiTheme="majorHAnsi" w:cstheme="minorHAnsi"/>
        </w:rPr>
        <w:t>Basa</w:t>
      </w:r>
      <w:r w:rsidR="007C759A">
        <w:rPr>
          <w:rFonts w:asciiTheme="majorHAnsi" w:hAnsiTheme="majorHAnsi" w:cstheme="minorHAnsi"/>
        </w:rPr>
        <w:t>da</w:t>
      </w:r>
      <w:r w:rsidR="000C3F95" w:rsidRPr="008F5D99">
        <w:rPr>
          <w:rFonts w:asciiTheme="majorHAnsi" w:hAnsiTheme="majorHAnsi" w:cstheme="minorHAnsi"/>
        </w:rPr>
        <w:t xml:space="preserve"> en Riesgo</w:t>
      </w:r>
      <w:r w:rsidR="007C759A">
        <w:rPr>
          <w:rFonts w:asciiTheme="majorHAnsi" w:hAnsiTheme="majorHAnsi" w:cstheme="minorHAnsi"/>
        </w:rPr>
        <w:t>s</w:t>
      </w:r>
      <w:r w:rsidR="002024F6" w:rsidRPr="008F5D99">
        <w:rPr>
          <w:rFonts w:asciiTheme="majorHAnsi" w:hAnsiTheme="majorHAnsi" w:cstheme="minorHAnsi"/>
        </w:rPr>
        <w:t xml:space="preserve"> y las guías de evaluación de actividades significativas</w:t>
      </w:r>
      <w:r w:rsidR="000C3F95" w:rsidRPr="008F5D99">
        <w:rPr>
          <w:rFonts w:asciiTheme="majorHAnsi" w:hAnsiTheme="majorHAnsi" w:cstheme="minorHAnsi"/>
        </w:rPr>
        <w:t>, así como</w:t>
      </w:r>
      <w:r w:rsidR="002024F6" w:rsidRPr="008F5D99">
        <w:rPr>
          <w:rFonts w:asciiTheme="majorHAnsi" w:hAnsiTheme="majorHAnsi" w:cstheme="minorHAnsi"/>
        </w:rPr>
        <w:t xml:space="preserve"> los criterios de evaluación de las funciones de control y supervisión.</w:t>
      </w:r>
      <w:r w:rsidR="00CC4C7B" w:rsidRPr="008F5D99">
        <w:rPr>
          <w:rFonts w:asciiTheme="majorHAnsi" w:hAnsiTheme="majorHAnsi" w:cstheme="minorHAnsi"/>
        </w:rPr>
        <w:t xml:space="preserve"> </w:t>
      </w:r>
    </w:p>
    <w:p w14:paraId="526770CE" w14:textId="77777777" w:rsidR="00CC4C7B" w:rsidRPr="008F5D99" w:rsidRDefault="00CC4C7B" w:rsidP="002024F6">
      <w:pPr>
        <w:spacing w:after="0" w:line="240" w:lineRule="auto"/>
        <w:jc w:val="both"/>
        <w:rPr>
          <w:rFonts w:asciiTheme="majorHAnsi" w:hAnsiTheme="majorHAnsi" w:cstheme="minorHAnsi"/>
        </w:rPr>
      </w:pPr>
    </w:p>
    <w:p w14:paraId="5FFE05D4" w14:textId="77777777" w:rsidR="002024F6" w:rsidRPr="00483A04" w:rsidRDefault="00CC4C7B" w:rsidP="002024F6">
      <w:pPr>
        <w:spacing w:after="0" w:line="240" w:lineRule="auto"/>
        <w:jc w:val="both"/>
        <w:rPr>
          <w:rFonts w:asciiTheme="majorHAnsi" w:hAnsiTheme="majorHAnsi" w:cstheme="minorHAnsi"/>
        </w:rPr>
      </w:pPr>
      <w:r w:rsidRPr="008F5D99">
        <w:rPr>
          <w:rFonts w:asciiTheme="majorHAnsi" w:hAnsiTheme="majorHAnsi" w:cstheme="minorHAnsi"/>
        </w:rPr>
        <w:t xml:space="preserve">Durante el 2018 se ha dado una transición que permite que las actividades significativas de cada </w:t>
      </w:r>
      <w:r w:rsidR="009C3567" w:rsidRPr="008F5D99">
        <w:rPr>
          <w:rFonts w:asciiTheme="majorHAnsi" w:hAnsiTheme="majorHAnsi" w:cstheme="minorHAnsi"/>
        </w:rPr>
        <w:t>f</w:t>
      </w:r>
      <w:r w:rsidRPr="008F5D99">
        <w:rPr>
          <w:rFonts w:asciiTheme="majorHAnsi" w:hAnsiTheme="majorHAnsi" w:cstheme="minorHAnsi"/>
        </w:rPr>
        <w:t xml:space="preserve">ondo sean evaluadas con este nuevo marco. </w:t>
      </w:r>
      <w:r w:rsidR="009C3567" w:rsidRPr="008F5D99">
        <w:rPr>
          <w:rFonts w:asciiTheme="majorHAnsi" w:hAnsiTheme="majorHAnsi" w:cstheme="minorHAnsi"/>
        </w:rPr>
        <w:t>Conforme lo establece</w:t>
      </w:r>
      <w:r w:rsidRPr="008F5D99">
        <w:rPr>
          <w:rFonts w:asciiTheme="majorHAnsi" w:hAnsiTheme="majorHAnsi" w:cstheme="minorHAnsi"/>
        </w:rPr>
        <w:t xml:space="preserve"> la </w:t>
      </w:r>
      <w:r w:rsidR="009C3567" w:rsidRPr="008F5D99">
        <w:rPr>
          <w:rFonts w:asciiTheme="majorHAnsi" w:hAnsiTheme="majorHAnsi" w:cstheme="minorHAnsi"/>
        </w:rPr>
        <w:t>legislación los</w:t>
      </w:r>
      <w:r w:rsidRPr="008F5D99">
        <w:rPr>
          <w:rFonts w:asciiTheme="majorHAnsi" w:hAnsiTheme="majorHAnsi" w:cstheme="minorHAnsi"/>
        </w:rPr>
        <w:t xml:space="preserve"> fondos </w:t>
      </w:r>
      <w:r w:rsidR="009C3567" w:rsidRPr="008F5D99">
        <w:rPr>
          <w:rFonts w:asciiTheme="majorHAnsi" w:hAnsiTheme="majorHAnsi" w:cstheme="minorHAnsi"/>
        </w:rPr>
        <w:t>se están</w:t>
      </w:r>
      <w:r w:rsidRPr="008F5D99">
        <w:rPr>
          <w:rFonts w:asciiTheme="majorHAnsi" w:hAnsiTheme="majorHAnsi" w:cstheme="minorHAnsi"/>
        </w:rPr>
        <w:t xml:space="preserve"> evalua</w:t>
      </w:r>
      <w:r w:rsidR="009C3567" w:rsidRPr="008F5D99">
        <w:rPr>
          <w:rFonts w:asciiTheme="majorHAnsi" w:hAnsiTheme="majorHAnsi" w:cstheme="minorHAnsi"/>
        </w:rPr>
        <w:t>ndo</w:t>
      </w:r>
      <w:r w:rsidR="001D64BE" w:rsidRPr="008F5D99">
        <w:rPr>
          <w:rFonts w:asciiTheme="majorHAnsi" w:hAnsiTheme="majorHAnsi" w:cstheme="minorHAnsi"/>
        </w:rPr>
        <w:t xml:space="preserve"> con la nueva metodología de forma integral</w:t>
      </w:r>
      <w:r w:rsidRPr="008F5D99">
        <w:rPr>
          <w:rFonts w:asciiTheme="majorHAnsi" w:hAnsiTheme="majorHAnsi" w:cstheme="minorHAnsi"/>
        </w:rPr>
        <w:t xml:space="preserve">, </w:t>
      </w:r>
      <w:r w:rsidR="001D64BE" w:rsidRPr="008F5D99">
        <w:rPr>
          <w:rFonts w:asciiTheme="majorHAnsi" w:hAnsiTheme="majorHAnsi" w:cstheme="minorHAnsi"/>
        </w:rPr>
        <w:t>sin embargo</w:t>
      </w:r>
      <w:r w:rsidR="00463D4C" w:rsidRPr="008F5D99">
        <w:rPr>
          <w:rFonts w:asciiTheme="majorHAnsi" w:hAnsiTheme="majorHAnsi" w:cstheme="minorHAnsi"/>
        </w:rPr>
        <w:t>,</w:t>
      </w:r>
      <w:r w:rsidR="001D64BE" w:rsidRPr="008F5D99">
        <w:rPr>
          <w:rFonts w:asciiTheme="majorHAnsi" w:hAnsiTheme="majorHAnsi" w:cstheme="minorHAnsi"/>
        </w:rPr>
        <w:t xml:space="preserve"> </w:t>
      </w:r>
      <w:r w:rsidR="009C3567" w:rsidRPr="008F5D99">
        <w:rPr>
          <w:rFonts w:asciiTheme="majorHAnsi" w:hAnsiTheme="majorHAnsi" w:cstheme="minorHAnsi"/>
        </w:rPr>
        <w:t xml:space="preserve">en </w:t>
      </w:r>
      <w:r w:rsidR="001D64BE" w:rsidRPr="008F5D99">
        <w:rPr>
          <w:rFonts w:asciiTheme="majorHAnsi" w:hAnsiTheme="majorHAnsi" w:cstheme="minorHAnsi"/>
        </w:rPr>
        <w:t xml:space="preserve">otros </w:t>
      </w:r>
      <w:r w:rsidR="009C3567" w:rsidRPr="008F5D99">
        <w:rPr>
          <w:rFonts w:asciiTheme="majorHAnsi" w:hAnsiTheme="majorHAnsi" w:cstheme="minorHAnsi"/>
        </w:rPr>
        <w:t xml:space="preserve">se </w:t>
      </w:r>
      <w:r w:rsidR="001D64BE" w:rsidRPr="008F5D99">
        <w:rPr>
          <w:rFonts w:asciiTheme="majorHAnsi" w:hAnsiTheme="majorHAnsi" w:cstheme="minorHAnsi"/>
        </w:rPr>
        <w:t xml:space="preserve">han evaluado algunas </w:t>
      </w:r>
      <w:r w:rsidRPr="008F5D99">
        <w:rPr>
          <w:rFonts w:asciiTheme="majorHAnsi" w:hAnsiTheme="majorHAnsi" w:cstheme="minorHAnsi"/>
        </w:rPr>
        <w:t xml:space="preserve">actividades significativas. </w:t>
      </w:r>
      <w:r w:rsidR="00295EC4" w:rsidRPr="00483A04">
        <w:rPr>
          <w:rFonts w:asciiTheme="majorHAnsi" w:hAnsiTheme="majorHAnsi" w:cstheme="minorHAnsi"/>
        </w:rPr>
        <w:t>Debido a</w:t>
      </w:r>
      <w:r w:rsidRPr="00483A04">
        <w:rPr>
          <w:rFonts w:asciiTheme="majorHAnsi" w:hAnsiTheme="majorHAnsi" w:cstheme="minorHAnsi"/>
        </w:rPr>
        <w:t xml:space="preserve"> lo anterior los detalles de la supervisión consignados en este informe en los </w:t>
      </w:r>
      <w:r w:rsidR="00483A04" w:rsidRPr="00483A04">
        <w:rPr>
          <w:rFonts w:asciiTheme="majorHAnsi" w:hAnsiTheme="majorHAnsi" w:cstheme="minorHAnsi"/>
        </w:rPr>
        <w:t>cuatro</w:t>
      </w:r>
      <w:r w:rsidRPr="00483A04">
        <w:rPr>
          <w:rFonts w:asciiTheme="majorHAnsi" w:hAnsiTheme="majorHAnsi" w:cstheme="minorHAnsi"/>
        </w:rPr>
        <w:t xml:space="preserve"> primeros casos obedece</w:t>
      </w:r>
      <w:r w:rsidR="009C3567" w:rsidRPr="00483A04">
        <w:rPr>
          <w:rFonts w:asciiTheme="majorHAnsi" w:hAnsiTheme="majorHAnsi" w:cstheme="minorHAnsi"/>
        </w:rPr>
        <w:t>n</w:t>
      </w:r>
      <w:r w:rsidRPr="00483A04">
        <w:rPr>
          <w:rFonts w:asciiTheme="majorHAnsi" w:hAnsiTheme="majorHAnsi" w:cstheme="minorHAnsi"/>
        </w:rPr>
        <w:t xml:space="preserve"> a una aplicación total de </w:t>
      </w:r>
      <w:r w:rsidR="009C3567" w:rsidRPr="00483A04">
        <w:rPr>
          <w:rFonts w:asciiTheme="majorHAnsi" w:hAnsiTheme="majorHAnsi" w:cstheme="minorHAnsi"/>
        </w:rPr>
        <w:t>dicho instrumento</w:t>
      </w:r>
      <w:r w:rsidRPr="00483A04">
        <w:rPr>
          <w:rFonts w:asciiTheme="majorHAnsi" w:hAnsiTheme="majorHAnsi" w:cstheme="minorHAnsi"/>
        </w:rPr>
        <w:t xml:space="preserve">, en el resto, </w:t>
      </w:r>
      <w:r w:rsidR="009C3567" w:rsidRPr="00483A04">
        <w:rPr>
          <w:rFonts w:asciiTheme="majorHAnsi" w:hAnsiTheme="majorHAnsi" w:cstheme="minorHAnsi"/>
        </w:rPr>
        <w:t xml:space="preserve">y conforme al plan de supervisión </w:t>
      </w:r>
      <w:r w:rsidRPr="00483A04">
        <w:rPr>
          <w:rFonts w:asciiTheme="majorHAnsi" w:hAnsiTheme="majorHAnsi" w:cstheme="minorHAnsi"/>
        </w:rPr>
        <w:t>se irán incluyendo en informes posteriores.</w:t>
      </w:r>
    </w:p>
    <w:p w14:paraId="7CBEED82" w14:textId="77777777" w:rsidR="002024F6" w:rsidRPr="008F5D99" w:rsidRDefault="002024F6" w:rsidP="002024F6">
      <w:pPr>
        <w:spacing w:after="0" w:line="240" w:lineRule="auto"/>
        <w:jc w:val="both"/>
        <w:rPr>
          <w:rFonts w:asciiTheme="majorHAnsi" w:hAnsiTheme="majorHAnsi" w:cstheme="minorHAnsi"/>
          <w:highlight w:val="yellow"/>
        </w:rPr>
      </w:pPr>
    </w:p>
    <w:p w14:paraId="42AC7A02" w14:textId="2914EFA7" w:rsidR="008059EB" w:rsidRPr="008F5D99" w:rsidRDefault="008059EB" w:rsidP="008059EB">
      <w:pPr>
        <w:pStyle w:val="Ttulo2"/>
        <w:rPr>
          <w:rFonts w:cstheme="minorHAnsi"/>
        </w:rPr>
      </w:pPr>
      <w:bookmarkStart w:id="21" w:name="_Toc445817384"/>
      <w:bookmarkStart w:id="22" w:name="_Toc530733774"/>
      <w:bookmarkStart w:id="23" w:name="_Toc445817383"/>
      <w:r w:rsidRPr="008F5D99">
        <w:rPr>
          <w:rFonts w:cstheme="minorHAnsi"/>
        </w:rPr>
        <w:t>Acuerdos del Superintendente aprobados</w:t>
      </w:r>
      <w:bookmarkEnd w:id="21"/>
      <w:bookmarkEnd w:id="22"/>
    </w:p>
    <w:p w14:paraId="5EB89DE8" w14:textId="77777777" w:rsidR="008059EB" w:rsidRPr="008F5D99" w:rsidRDefault="008059EB" w:rsidP="008059EB">
      <w:pPr>
        <w:spacing w:after="0" w:line="240" w:lineRule="auto"/>
        <w:jc w:val="both"/>
        <w:rPr>
          <w:rFonts w:asciiTheme="majorHAnsi" w:hAnsiTheme="majorHAnsi" w:cstheme="minorHAnsi"/>
        </w:rPr>
      </w:pPr>
    </w:p>
    <w:p w14:paraId="7613FDAD" w14:textId="77777777" w:rsidR="00C15EC0" w:rsidRPr="008F5D99" w:rsidRDefault="00C15EC0" w:rsidP="00C15EC0">
      <w:pPr>
        <w:spacing w:after="0" w:line="240" w:lineRule="auto"/>
        <w:jc w:val="both"/>
        <w:rPr>
          <w:rFonts w:asciiTheme="majorHAnsi" w:hAnsiTheme="majorHAnsi" w:cstheme="minorHAnsi"/>
          <w:b/>
        </w:rPr>
      </w:pPr>
      <w:r w:rsidRPr="008F5D99">
        <w:rPr>
          <w:rFonts w:asciiTheme="majorHAnsi" w:hAnsiTheme="majorHAnsi" w:cstheme="minorHAnsi"/>
          <w:b/>
        </w:rPr>
        <w:t>SP-A-203-2018</w:t>
      </w:r>
    </w:p>
    <w:p w14:paraId="7D62D461" w14:textId="77777777" w:rsidR="00C15EC0" w:rsidRPr="008F5D99" w:rsidRDefault="00C15EC0" w:rsidP="00C15EC0">
      <w:pPr>
        <w:spacing w:after="0" w:line="240" w:lineRule="auto"/>
        <w:jc w:val="both"/>
        <w:rPr>
          <w:rFonts w:asciiTheme="majorHAnsi" w:hAnsiTheme="majorHAnsi" w:cstheme="minorHAnsi"/>
          <w:b/>
        </w:rPr>
      </w:pPr>
    </w:p>
    <w:p w14:paraId="5458D5F1" w14:textId="77777777" w:rsidR="00C15EC0" w:rsidRPr="008F5D99" w:rsidRDefault="00C15EC0" w:rsidP="00C15EC0">
      <w:pPr>
        <w:spacing w:after="0" w:line="240" w:lineRule="auto"/>
        <w:jc w:val="both"/>
        <w:rPr>
          <w:rFonts w:asciiTheme="majorHAnsi" w:eastAsia="Calibri" w:hAnsiTheme="majorHAnsi" w:cstheme="minorHAnsi"/>
        </w:rPr>
      </w:pPr>
      <w:r w:rsidRPr="008F5D99">
        <w:rPr>
          <w:rFonts w:asciiTheme="majorHAnsi" w:eastAsia="Calibri" w:hAnsiTheme="majorHAnsi" w:cstheme="minorHAnsi"/>
        </w:rPr>
        <w:t>Al tenor del citado Acuerdo SP-A-137-2010, el proceso de registro y liquidación de operaciones a través del SEC ha sido diseñado para que los traslados de recursos se realicen en un plazo máximo de cinco días hábiles, según dispone el artículo 106 del RAF.</w:t>
      </w:r>
      <w:bookmarkStart w:id="24" w:name="_Hlk527634808"/>
    </w:p>
    <w:p w14:paraId="078B034E" w14:textId="77777777" w:rsidR="00C15EC0" w:rsidRPr="008F5D99" w:rsidRDefault="00C15EC0" w:rsidP="00C15EC0">
      <w:pPr>
        <w:spacing w:after="0" w:line="240" w:lineRule="auto"/>
        <w:jc w:val="both"/>
        <w:rPr>
          <w:rFonts w:asciiTheme="majorHAnsi" w:eastAsia="Calibri" w:hAnsiTheme="majorHAnsi" w:cstheme="minorHAnsi"/>
        </w:rPr>
      </w:pPr>
    </w:p>
    <w:p w14:paraId="492506DD" w14:textId="77777777" w:rsidR="00C15EC0" w:rsidRPr="008F5D99" w:rsidRDefault="00C15EC0" w:rsidP="00C15EC0">
      <w:pPr>
        <w:spacing w:after="0" w:line="240" w:lineRule="auto"/>
        <w:jc w:val="both"/>
        <w:rPr>
          <w:rFonts w:asciiTheme="majorHAnsi" w:eastAsia="Calibri" w:hAnsiTheme="majorHAnsi" w:cstheme="minorHAnsi"/>
        </w:rPr>
      </w:pPr>
    </w:p>
    <w:p w14:paraId="35FF66C4" w14:textId="77777777" w:rsidR="00C15EC0" w:rsidRPr="008F5D99" w:rsidRDefault="00C15EC0" w:rsidP="00C15EC0">
      <w:pPr>
        <w:spacing w:after="0" w:line="240" w:lineRule="auto"/>
        <w:jc w:val="both"/>
        <w:rPr>
          <w:rFonts w:asciiTheme="majorHAnsi" w:hAnsiTheme="majorHAnsi" w:cstheme="minorHAnsi"/>
          <w:b/>
        </w:rPr>
      </w:pPr>
      <w:r w:rsidRPr="008F5D99">
        <w:rPr>
          <w:rFonts w:asciiTheme="majorHAnsi" w:hAnsiTheme="majorHAnsi" w:cstheme="minorHAnsi"/>
          <w:b/>
        </w:rPr>
        <w:t xml:space="preserve"> SP-A-204-2018 </w:t>
      </w:r>
    </w:p>
    <w:p w14:paraId="31CD0C16" w14:textId="77777777" w:rsidR="00C15EC0" w:rsidRPr="008F5D99" w:rsidRDefault="00C15EC0" w:rsidP="00C15EC0">
      <w:pPr>
        <w:spacing w:after="0" w:line="240" w:lineRule="auto"/>
        <w:jc w:val="both"/>
        <w:rPr>
          <w:rFonts w:asciiTheme="majorHAnsi" w:hAnsiTheme="majorHAnsi" w:cstheme="minorHAnsi"/>
          <w:b/>
        </w:rPr>
      </w:pPr>
    </w:p>
    <w:bookmarkEnd w:id="24"/>
    <w:p w14:paraId="5FC921F4" w14:textId="77777777" w:rsidR="00C15EC0" w:rsidRPr="008F5D99" w:rsidRDefault="00C15EC0" w:rsidP="00C15EC0">
      <w:pPr>
        <w:spacing w:after="0" w:line="240" w:lineRule="auto"/>
        <w:jc w:val="both"/>
        <w:rPr>
          <w:rFonts w:asciiTheme="majorHAnsi" w:eastAsia="Calibri" w:hAnsiTheme="majorHAnsi" w:cstheme="minorHAnsi"/>
        </w:rPr>
      </w:pPr>
      <w:r w:rsidRPr="008F5D99">
        <w:rPr>
          <w:rFonts w:asciiTheme="majorHAnsi" w:eastAsia="Calibri" w:hAnsiTheme="majorHAnsi" w:cstheme="minorHAnsi"/>
        </w:rPr>
        <w:t>Se reforma íntegramente el acuerdo SP-A-159-2012 de las diez horas del día veintitrés de mayo de dos mil doce, “</w:t>
      </w:r>
      <w:r w:rsidRPr="008F5D99">
        <w:rPr>
          <w:rFonts w:asciiTheme="majorHAnsi" w:eastAsia="Calibri" w:hAnsiTheme="majorHAnsi" w:cstheme="minorHAnsi"/>
          <w:i/>
        </w:rPr>
        <w:t>Acceso a la Ventanilla Electrónica (VES)”,</w:t>
      </w:r>
      <w:r w:rsidRPr="008F5D99">
        <w:rPr>
          <w:rFonts w:asciiTheme="majorHAnsi" w:eastAsia="Calibri" w:hAnsiTheme="majorHAnsi" w:cstheme="minorHAnsi"/>
        </w:rPr>
        <w:t xml:space="preserve"> en lo siguiente: (i) el incremento de </w:t>
      </w:r>
      <w:r w:rsidRPr="008F5D99">
        <w:rPr>
          <w:rFonts w:asciiTheme="majorHAnsi" w:eastAsia="Calibri" w:hAnsiTheme="majorHAnsi" w:cstheme="minorHAnsi"/>
        </w:rPr>
        <w:lastRenderedPageBreak/>
        <w:t>la capacidad de los archivos que pueden recibirse y enviarse mediante el VES; (</w:t>
      </w:r>
      <w:proofErr w:type="spellStart"/>
      <w:r w:rsidRPr="008F5D99">
        <w:rPr>
          <w:rFonts w:asciiTheme="majorHAnsi" w:eastAsia="Calibri" w:hAnsiTheme="majorHAnsi" w:cstheme="minorHAnsi"/>
        </w:rPr>
        <w:t>ii</w:t>
      </w:r>
      <w:proofErr w:type="spellEnd"/>
      <w:r w:rsidRPr="008F5D99">
        <w:rPr>
          <w:rFonts w:asciiTheme="majorHAnsi" w:eastAsia="Calibri" w:hAnsiTheme="majorHAnsi" w:cstheme="minorHAnsi"/>
        </w:rPr>
        <w:t>) la confirmación del recibido de la información; y, (</w:t>
      </w:r>
      <w:proofErr w:type="spellStart"/>
      <w:r w:rsidRPr="008F5D99">
        <w:rPr>
          <w:rFonts w:asciiTheme="majorHAnsi" w:eastAsia="Calibri" w:hAnsiTheme="majorHAnsi" w:cstheme="minorHAnsi"/>
        </w:rPr>
        <w:t>iii</w:t>
      </w:r>
      <w:proofErr w:type="spellEnd"/>
      <w:r w:rsidRPr="008F5D99">
        <w:rPr>
          <w:rFonts w:asciiTheme="majorHAnsi" w:eastAsia="Calibri" w:hAnsiTheme="majorHAnsi" w:cstheme="minorHAnsi"/>
        </w:rPr>
        <w:t>) los horarios de atención habilitados para el VES, de manera que sean congruentes con el de la Superintendencia de Pensiones.</w:t>
      </w:r>
    </w:p>
    <w:p w14:paraId="7F59A962" w14:textId="77777777" w:rsidR="00F752C7" w:rsidRDefault="00F752C7" w:rsidP="00C15EC0">
      <w:pPr>
        <w:spacing w:after="0" w:line="240" w:lineRule="auto"/>
        <w:jc w:val="both"/>
        <w:rPr>
          <w:rFonts w:asciiTheme="majorHAnsi" w:hAnsiTheme="majorHAnsi" w:cstheme="minorHAnsi"/>
          <w:b/>
        </w:rPr>
      </w:pPr>
    </w:p>
    <w:p w14:paraId="288FF917" w14:textId="764CE77D" w:rsidR="00C15EC0" w:rsidRPr="008F5D99" w:rsidRDefault="00C15EC0" w:rsidP="00C15EC0">
      <w:pPr>
        <w:spacing w:after="0" w:line="240" w:lineRule="auto"/>
        <w:jc w:val="both"/>
        <w:rPr>
          <w:rFonts w:asciiTheme="majorHAnsi" w:hAnsiTheme="majorHAnsi" w:cstheme="minorHAnsi"/>
          <w:b/>
        </w:rPr>
      </w:pPr>
      <w:r w:rsidRPr="008F5D99">
        <w:rPr>
          <w:rFonts w:asciiTheme="majorHAnsi" w:hAnsiTheme="majorHAnsi" w:cstheme="minorHAnsi"/>
          <w:b/>
        </w:rPr>
        <w:t>SP-A-202-2018</w:t>
      </w:r>
    </w:p>
    <w:p w14:paraId="7FD8715F" w14:textId="77777777" w:rsidR="00C15EC0" w:rsidRPr="008F5D99" w:rsidRDefault="00C15EC0" w:rsidP="00C15EC0">
      <w:pPr>
        <w:spacing w:after="0" w:line="240" w:lineRule="auto"/>
        <w:jc w:val="both"/>
        <w:rPr>
          <w:rFonts w:asciiTheme="majorHAnsi" w:hAnsiTheme="majorHAnsi" w:cstheme="minorHAnsi"/>
          <w:b/>
        </w:rPr>
      </w:pPr>
    </w:p>
    <w:p w14:paraId="2E67F7DF" w14:textId="77777777" w:rsidR="00C15EC0" w:rsidRPr="008F5D99" w:rsidRDefault="00C15EC0" w:rsidP="00C15EC0">
      <w:pPr>
        <w:spacing w:after="0" w:line="240" w:lineRule="auto"/>
        <w:jc w:val="both"/>
        <w:rPr>
          <w:rFonts w:asciiTheme="majorHAnsi" w:eastAsia="Calibri" w:hAnsiTheme="majorHAnsi" w:cstheme="minorHAnsi"/>
        </w:rPr>
      </w:pPr>
      <w:r w:rsidRPr="008F5D99">
        <w:rPr>
          <w:rFonts w:asciiTheme="majorHAnsi" w:eastAsia="Calibri" w:hAnsiTheme="majorHAnsi" w:cstheme="minorHAnsi"/>
        </w:rPr>
        <w:t>La regulación relativa a la contratación y la prestación de los servicios de auditoría externa está contenida en el Reglamento General de Auditores Externos, publicado en La Gaceta N°121 del 22 de junio del 2012, por lo que, de acuerdo con el modelo de supervisión adoptado por la Superintendencia de Pensiones, no resulta necesario mantener lineamientos adicionales o complementarios a dicho reglamento.</w:t>
      </w:r>
      <w:r w:rsidRPr="008F5D99">
        <w:rPr>
          <w:rFonts w:asciiTheme="majorHAnsi" w:eastAsia="Calibri" w:hAnsiTheme="majorHAnsi" w:cstheme="minorHAnsi"/>
        </w:rPr>
        <w:tab/>
      </w:r>
    </w:p>
    <w:p w14:paraId="6BDFDFC2" w14:textId="77777777" w:rsidR="00C15EC0" w:rsidRPr="008F5D99" w:rsidRDefault="00C15EC0" w:rsidP="00C15EC0">
      <w:pPr>
        <w:spacing w:after="0" w:line="240" w:lineRule="auto"/>
        <w:jc w:val="both"/>
        <w:rPr>
          <w:rFonts w:asciiTheme="majorHAnsi" w:eastAsia="Calibri" w:hAnsiTheme="majorHAnsi" w:cstheme="minorHAnsi"/>
        </w:rPr>
      </w:pPr>
    </w:p>
    <w:p w14:paraId="0E176C58" w14:textId="77777777" w:rsidR="00C15EC0" w:rsidRDefault="00C15EC0" w:rsidP="00C15EC0">
      <w:pPr>
        <w:spacing w:after="0" w:line="240" w:lineRule="auto"/>
        <w:jc w:val="both"/>
        <w:rPr>
          <w:rFonts w:asciiTheme="majorHAnsi" w:eastAsia="Calibri" w:hAnsiTheme="majorHAnsi" w:cstheme="minorHAnsi"/>
        </w:rPr>
      </w:pPr>
      <w:r w:rsidRPr="008F5D99">
        <w:rPr>
          <w:rFonts w:asciiTheme="majorHAnsi" w:eastAsia="Calibri" w:hAnsiTheme="majorHAnsi" w:cstheme="minorHAnsi"/>
        </w:rPr>
        <w:t>En virtud de lo anterior, se eliminaron los acuerdos (i) SP-A-053 del 8 de julio de 2004,</w:t>
      </w:r>
      <w:r w:rsidRPr="008F5D99">
        <w:rPr>
          <w:rFonts w:asciiTheme="majorHAnsi" w:eastAsia="Calibri" w:hAnsiTheme="majorHAnsi" w:cstheme="minorHAnsi"/>
          <w:i/>
        </w:rPr>
        <w:t xml:space="preserve"> “Disposiciones sobre los informes de las auditorías internas de las operadoras de pensiones”;  </w:t>
      </w:r>
      <w:r w:rsidRPr="008F5D99">
        <w:rPr>
          <w:rFonts w:asciiTheme="majorHAnsi" w:eastAsia="Calibri" w:hAnsiTheme="majorHAnsi" w:cstheme="minorHAnsi"/>
        </w:rPr>
        <w:t>(</w:t>
      </w:r>
      <w:proofErr w:type="spellStart"/>
      <w:r w:rsidRPr="008F5D99">
        <w:rPr>
          <w:rFonts w:asciiTheme="majorHAnsi" w:eastAsia="Calibri" w:hAnsiTheme="majorHAnsi" w:cstheme="minorHAnsi"/>
        </w:rPr>
        <w:t>ii</w:t>
      </w:r>
      <w:proofErr w:type="spellEnd"/>
      <w:r w:rsidRPr="008F5D99">
        <w:rPr>
          <w:rFonts w:asciiTheme="majorHAnsi" w:eastAsia="Calibri" w:hAnsiTheme="majorHAnsi" w:cstheme="minorHAnsi"/>
        </w:rPr>
        <w:t xml:space="preserve">) SP-A-060 del 14 de enero del 2005, </w:t>
      </w:r>
      <w:r w:rsidRPr="008F5D99">
        <w:rPr>
          <w:rFonts w:asciiTheme="majorHAnsi" w:eastAsia="Calibri" w:hAnsiTheme="majorHAnsi" w:cstheme="minorHAnsi"/>
          <w:i/>
        </w:rPr>
        <w:t>“Circular sobre los trabajos que deben realizar los auditores externos de las operadoras de pensiones”</w:t>
      </w:r>
      <w:r w:rsidRPr="008F5D99">
        <w:rPr>
          <w:rFonts w:asciiTheme="majorHAnsi" w:eastAsia="Calibri" w:hAnsiTheme="majorHAnsi" w:cstheme="minorHAnsi"/>
        </w:rPr>
        <w:t xml:space="preserve"> y, (</w:t>
      </w:r>
      <w:proofErr w:type="spellStart"/>
      <w:r w:rsidRPr="008F5D99">
        <w:rPr>
          <w:rFonts w:asciiTheme="majorHAnsi" w:eastAsia="Calibri" w:hAnsiTheme="majorHAnsi" w:cstheme="minorHAnsi"/>
        </w:rPr>
        <w:t>iii</w:t>
      </w:r>
      <w:proofErr w:type="spellEnd"/>
      <w:r w:rsidRPr="008F5D99">
        <w:rPr>
          <w:rFonts w:asciiTheme="majorHAnsi" w:eastAsia="Calibri" w:hAnsiTheme="majorHAnsi" w:cstheme="minorHAnsi"/>
        </w:rPr>
        <w:t xml:space="preserve">) SP-A-074 del 18 de abril del 2006, </w:t>
      </w:r>
      <w:r w:rsidRPr="008F5D99">
        <w:rPr>
          <w:rFonts w:asciiTheme="majorHAnsi" w:eastAsia="Calibri" w:hAnsiTheme="majorHAnsi" w:cstheme="minorHAnsi"/>
          <w:i/>
        </w:rPr>
        <w:t xml:space="preserve">“Disposiciones sobre los informes de las auditorías internas de las operadoras de pensiones”, </w:t>
      </w:r>
      <w:r w:rsidRPr="008F5D99">
        <w:rPr>
          <w:rFonts w:asciiTheme="majorHAnsi" w:eastAsia="Calibri" w:hAnsiTheme="majorHAnsi" w:cstheme="minorHAnsi"/>
        </w:rPr>
        <w:t>con el objetivo de armonizar la regulación con la normativa y supervisión basada en riesgos adoptada por la Superintendencia de Pensiones.</w:t>
      </w:r>
    </w:p>
    <w:p w14:paraId="4B6CB70D" w14:textId="77777777" w:rsidR="00F752C7" w:rsidRDefault="00F752C7" w:rsidP="00C215C6">
      <w:pPr>
        <w:pStyle w:val="Ttulo1"/>
        <w:rPr>
          <w:rFonts w:asciiTheme="majorHAnsi" w:hAnsiTheme="majorHAnsi" w:cstheme="minorHAnsi"/>
        </w:rPr>
      </w:pPr>
      <w:bookmarkStart w:id="25" w:name="_Toc530737638"/>
      <w:bookmarkStart w:id="26" w:name="_GoBack"/>
      <w:bookmarkEnd w:id="26"/>
    </w:p>
    <w:p w14:paraId="79400213" w14:textId="0A2F1607" w:rsidR="00671016" w:rsidRPr="008F5D99" w:rsidRDefault="00671016" w:rsidP="00C215C6">
      <w:pPr>
        <w:pStyle w:val="Ttulo1"/>
        <w:rPr>
          <w:rFonts w:asciiTheme="majorHAnsi" w:hAnsiTheme="majorHAnsi" w:cstheme="minorHAnsi"/>
        </w:rPr>
      </w:pPr>
      <w:bookmarkStart w:id="27" w:name="_Toc19518061"/>
      <w:r w:rsidRPr="008F5D99">
        <w:rPr>
          <w:rFonts w:asciiTheme="majorHAnsi" w:hAnsiTheme="majorHAnsi" w:cstheme="minorHAnsi"/>
        </w:rPr>
        <w:t xml:space="preserve">Normativa </w:t>
      </w:r>
      <w:bookmarkEnd w:id="23"/>
      <w:r w:rsidRPr="008F5D99">
        <w:rPr>
          <w:rFonts w:asciiTheme="majorHAnsi" w:hAnsiTheme="majorHAnsi" w:cstheme="minorHAnsi"/>
        </w:rPr>
        <w:t>en Proceso</w:t>
      </w:r>
      <w:bookmarkEnd w:id="25"/>
      <w:r w:rsidR="008059EB" w:rsidRPr="008F5D99">
        <w:rPr>
          <w:rFonts w:asciiTheme="majorHAnsi" w:hAnsiTheme="majorHAnsi" w:cstheme="minorHAnsi"/>
        </w:rPr>
        <w:t xml:space="preserve"> para aprobación del </w:t>
      </w:r>
      <w:r w:rsidR="002C4C2E" w:rsidRPr="008F5D99">
        <w:rPr>
          <w:rFonts w:asciiTheme="majorHAnsi" w:hAnsiTheme="majorHAnsi" w:cstheme="minorHAnsi"/>
        </w:rPr>
        <w:t>Superintendente</w:t>
      </w:r>
      <w:bookmarkEnd w:id="27"/>
    </w:p>
    <w:p w14:paraId="5ABF93C4" w14:textId="77777777" w:rsidR="00671016" w:rsidRPr="008F5D99" w:rsidRDefault="00671016" w:rsidP="00AB1521">
      <w:pPr>
        <w:spacing w:after="0" w:line="240" w:lineRule="auto"/>
        <w:jc w:val="both"/>
        <w:rPr>
          <w:rFonts w:asciiTheme="majorHAnsi" w:hAnsiTheme="majorHAnsi" w:cstheme="minorHAnsi"/>
        </w:rPr>
      </w:pPr>
    </w:p>
    <w:p w14:paraId="340B6631" w14:textId="77777777" w:rsidR="00671016" w:rsidRPr="008F5D99" w:rsidRDefault="00671016" w:rsidP="00C215C6">
      <w:pPr>
        <w:pStyle w:val="Ttulo2"/>
        <w:rPr>
          <w:rFonts w:cstheme="minorHAnsi"/>
        </w:rPr>
      </w:pPr>
      <w:bookmarkStart w:id="28" w:name="_Toc530733777"/>
      <w:r w:rsidRPr="008F5D99">
        <w:rPr>
          <w:rFonts w:cstheme="minorHAnsi"/>
        </w:rPr>
        <w:t>Acuerdos del Superintendente en trámite</w:t>
      </w:r>
      <w:bookmarkEnd w:id="28"/>
    </w:p>
    <w:p w14:paraId="71DCB018" w14:textId="77777777" w:rsidR="00671016" w:rsidRPr="008F5D99" w:rsidRDefault="00671016" w:rsidP="00AB1521">
      <w:pPr>
        <w:spacing w:after="0" w:line="240" w:lineRule="auto"/>
        <w:jc w:val="both"/>
        <w:rPr>
          <w:rFonts w:asciiTheme="majorHAnsi" w:hAnsiTheme="majorHAnsi" w:cstheme="minorHAnsi"/>
          <w:highlight w:val="yellow"/>
        </w:rPr>
      </w:pPr>
    </w:p>
    <w:p w14:paraId="09F8A5BE" w14:textId="77777777" w:rsidR="00C15EC0" w:rsidRPr="008F5D99" w:rsidRDefault="00C15EC0" w:rsidP="00C15EC0">
      <w:pPr>
        <w:spacing w:after="0" w:line="240" w:lineRule="auto"/>
        <w:jc w:val="both"/>
        <w:rPr>
          <w:rFonts w:asciiTheme="majorHAnsi" w:hAnsiTheme="majorHAnsi" w:cstheme="minorHAnsi"/>
          <w:b/>
        </w:rPr>
      </w:pPr>
      <w:r w:rsidRPr="008F5D99">
        <w:rPr>
          <w:rFonts w:asciiTheme="majorHAnsi" w:hAnsiTheme="majorHAnsi" w:cstheme="minorHAnsi"/>
          <w:b/>
        </w:rPr>
        <w:t>Modificación al Manual de Información de los Regímenes de Capitalización Colectiva y del acuerdo SP-A-142-2010</w:t>
      </w:r>
    </w:p>
    <w:p w14:paraId="4B644A8D" w14:textId="77777777" w:rsidR="00C15EC0" w:rsidRPr="008F5D99" w:rsidRDefault="00C15EC0" w:rsidP="00C15EC0">
      <w:pPr>
        <w:spacing w:after="0" w:line="240" w:lineRule="auto"/>
        <w:jc w:val="both"/>
        <w:rPr>
          <w:rFonts w:asciiTheme="majorHAnsi" w:hAnsiTheme="majorHAnsi" w:cstheme="minorHAnsi"/>
          <w:b/>
        </w:rPr>
      </w:pPr>
    </w:p>
    <w:p w14:paraId="49857E7A" w14:textId="77777777" w:rsidR="00C15EC0" w:rsidRPr="008F5D99" w:rsidRDefault="00C15EC0" w:rsidP="00C15EC0">
      <w:pPr>
        <w:spacing w:after="0" w:line="240" w:lineRule="auto"/>
        <w:jc w:val="both"/>
        <w:rPr>
          <w:rFonts w:asciiTheme="majorHAnsi" w:eastAsia="Calibri" w:hAnsiTheme="majorHAnsi" w:cstheme="minorHAnsi"/>
        </w:rPr>
      </w:pPr>
      <w:r w:rsidRPr="008F5D99">
        <w:rPr>
          <w:rFonts w:asciiTheme="majorHAnsi" w:eastAsia="Calibri" w:hAnsiTheme="majorHAnsi" w:cstheme="minorHAnsi"/>
        </w:rPr>
        <w:t xml:space="preserve">Mediante el artículo 7 del acta de la Sesión 1332-2017, celebrada el 16 de mayo del 2017, el Consejo Nacional de Supervisión del Sistema Financiero aprobó el Reglamento de Riesgos. Dicho reglamento fue publicado en el Diario Oficial La Gaceta N°118 del 23 de junio de 2017. Este reglamento derogó el Capítulo VII </w:t>
      </w:r>
      <w:r w:rsidRPr="008F5D99">
        <w:rPr>
          <w:rFonts w:asciiTheme="majorHAnsi" w:eastAsia="Calibri" w:hAnsiTheme="majorHAnsi" w:cstheme="minorHAnsi"/>
          <w:i/>
        </w:rPr>
        <w:t>“Suficiencia patrimonial de la entidad autorizada”</w:t>
      </w:r>
      <w:r w:rsidRPr="008F5D99">
        <w:rPr>
          <w:rFonts w:asciiTheme="majorHAnsi" w:eastAsia="Calibri" w:hAnsiTheme="majorHAnsi" w:cstheme="minorHAnsi"/>
        </w:rPr>
        <w:t xml:space="preserve"> del Reglamento sobre la Apertura y Funcionamiento de las Entidades Autorizadas y el Funcionamiento de los Fondos de Pensiones, Capitalización Laboral y Ahorro Voluntario Previstos en la Ley de Protección al Trabajador. </w:t>
      </w:r>
    </w:p>
    <w:p w14:paraId="082C48EB" w14:textId="77777777" w:rsidR="00C15EC0" w:rsidRPr="008F5D99" w:rsidRDefault="00C15EC0" w:rsidP="00C15EC0">
      <w:pPr>
        <w:spacing w:after="0" w:line="240" w:lineRule="auto"/>
        <w:jc w:val="both"/>
        <w:rPr>
          <w:rFonts w:asciiTheme="majorHAnsi" w:eastAsia="Calibri" w:hAnsiTheme="majorHAnsi" w:cstheme="minorHAnsi"/>
        </w:rPr>
      </w:pPr>
    </w:p>
    <w:p w14:paraId="6D8DDDEB" w14:textId="77777777" w:rsidR="00C15EC0" w:rsidRPr="008F5D99" w:rsidRDefault="00C15EC0" w:rsidP="00C15EC0">
      <w:pPr>
        <w:spacing w:after="0" w:line="240" w:lineRule="auto"/>
        <w:jc w:val="both"/>
        <w:rPr>
          <w:rFonts w:asciiTheme="majorHAnsi" w:eastAsia="Calibri" w:hAnsiTheme="majorHAnsi" w:cstheme="minorHAnsi"/>
        </w:rPr>
      </w:pPr>
      <w:r w:rsidRPr="008F5D99">
        <w:rPr>
          <w:rFonts w:asciiTheme="majorHAnsi" w:eastAsia="Calibri" w:hAnsiTheme="majorHAnsi" w:cstheme="minorHAnsi"/>
        </w:rPr>
        <w:t>Con motivo de la promulgación del Reglamento de Riesgos, quedó sin efecto el cálculo de la suficiencia patrimonial y, por ende, la necesidad de remitir el archivo de depósitos de las entidades. Considerando lo anterior, debe modificarse la programación del sistema de inversiones para que no se solicite, previo a la carga del archivo de saldos contables de las entidades (SE), el archivo de depósitos, eliminándose la correspondiente validación.</w:t>
      </w:r>
    </w:p>
    <w:p w14:paraId="2677290C" w14:textId="77777777" w:rsidR="00C15EC0" w:rsidRPr="008F5D99" w:rsidRDefault="00C15EC0" w:rsidP="008F5D99">
      <w:pPr>
        <w:spacing w:after="0" w:line="240" w:lineRule="auto"/>
        <w:jc w:val="both"/>
        <w:rPr>
          <w:rFonts w:asciiTheme="majorHAnsi" w:hAnsiTheme="majorHAnsi" w:cstheme="minorHAnsi"/>
          <w:b/>
        </w:rPr>
      </w:pPr>
    </w:p>
    <w:p w14:paraId="44827D74" w14:textId="77777777" w:rsidR="00C15EC0" w:rsidRPr="008F5D99" w:rsidRDefault="00C15EC0" w:rsidP="008F5D99">
      <w:pPr>
        <w:spacing w:after="0" w:line="240" w:lineRule="auto"/>
        <w:jc w:val="both"/>
        <w:rPr>
          <w:rFonts w:asciiTheme="majorHAnsi" w:hAnsiTheme="majorHAnsi" w:cstheme="minorHAnsi"/>
          <w:b/>
        </w:rPr>
      </w:pPr>
      <w:r w:rsidRPr="008F5D99">
        <w:rPr>
          <w:rFonts w:asciiTheme="majorHAnsi" w:hAnsiTheme="majorHAnsi" w:cstheme="minorHAnsi"/>
          <w:b/>
        </w:rPr>
        <w:t>Modificación del acuerdo SP-A-0049-2004</w:t>
      </w:r>
    </w:p>
    <w:p w14:paraId="249BF8C6" w14:textId="77777777" w:rsidR="008F5D99" w:rsidRPr="008F5D99" w:rsidRDefault="008F5D99" w:rsidP="008F5D99">
      <w:pPr>
        <w:spacing w:after="0" w:line="240" w:lineRule="auto"/>
        <w:jc w:val="both"/>
        <w:rPr>
          <w:rFonts w:asciiTheme="majorHAnsi" w:hAnsiTheme="majorHAnsi" w:cstheme="minorHAnsi"/>
          <w:b/>
        </w:rPr>
      </w:pPr>
    </w:p>
    <w:p w14:paraId="3CE7AB11" w14:textId="77777777" w:rsidR="00671016" w:rsidRPr="008F5D99" w:rsidRDefault="00C15EC0" w:rsidP="008F5D99">
      <w:pPr>
        <w:spacing w:after="0" w:line="240" w:lineRule="auto"/>
        <w:jc w:val="both"/>
        <w:rPr>
          <w:rFonts w:asciiTheme="majorHAnsi" w:hAnsiTheme="majorHAnsi" w:cstheme="minorHAnsi"/>
        </w:rPr>
      </w:pPr>
      <w:r w:rsidRPr="008F5D99">
        <w:rPr>
          <w:rFonts w:asciiTheme="majorHAnsi" w:eastAsia="Calibri" w:hAnsiTheme="majorHAnsi" w:cstheme="minorHAnsi"/>
        </w:rPr>
        <w:t xml:space="preserve">Se reforman las disposiciones aplicables a las entidades autorizadas sobre excesos o faltantes de inversión en los fondos administrados y pérdida de requisitos de los valores adquiridos, en particular las disposiciones relativas a la violación de límites de inversión. </w:t>
      </w:r>
    </w:p>
    <w:p w14:paraId="0EF46479" w14:textId="77777777" w:rsidR="004001BB" w:rsidRDefault="004001BB" w:rsidP="00AB1521">
      <w:pPr>
        <w:spacing w:after="0" w:line="240" w:lineRule="auto"/>
        <w:jc w:val="both"/>
        <w:rPr>
          <w:rFonts w:asciiTheme="majorHAnsi" w:hAnsiTheme="majorHAnsi" w:cstheme="minorHAnsi"/>
          <w:color w:val="FF0000"/>
        </w:rPr>
      </w:pPr>
    </w:p>
    <w:p w14:paraId="3AB58C42" w14:textId="77777777" w:rsidR="002C1167" w:rsidRPr="008F5D99" w:rsidRDefault="002C1167" w:rsidP="00AB1521">
      <w:pPr>
        <w:spacing w:after="0" w:line="240" w:lineRule="auto"/>
        <w:jc w:val="both"/>
        <w:rPr>
          <w:rFonts w:asciiTheme="majorHAnsi" w:hAnsiTheme="majorHAnsi" w:cstheme="minorHAnsi"/>
          <w:color w:val="FF0000"/>
        </w:rPr>
      </w:pPr>
    </w:p>
    <w:sectPr w:rsidR="002C1167" w:rsidRPr="008F5D99" w:rsidSect="00D166B6">
      <w:footerReference w:type="default" r:id="rId2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26F5" w14:textId="77777777" w:rsidR="00427EF1" w:rsidRDefault="00427EF1" w:rsidP="00081470">
      <w:pPr>
        <w:spacing w:after="0" w:line="240" w:lineRule="auto"/>
      </w:pPr>
      <w:r>
        <w:separator/>
      </w:r>
    </w:p>
  </w:endnote>
  <w:endnote w:type="continuationSeparator" w:id="0">
    <w:p w14:paraId="3E7F4148" w14:textId="77777777" w:rsidR="00427EF1" w:rsidRDefault="00427EF1" w:rsidP="00081470">
      <w:pPr>
        <w:spacing w:after="0" w:line="240" w:lineRule="auto"/>
      </w:pPr>
      <w:r>
        <w:continuationSeparator/>
      </w:r>
    </w:p>
  </w:endnote>
  <w:endnote w:type="continuationNotice" w:id="1">
    <w:p w14:paraId="756FD002" w14:textId="77777777" w:rsidR="00427EF1" w:rsidRDefault="00427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82683"/>
      <w:docPartObj>
        <w:docPartGallery w:val="Page Numbers (Bottom of Page)"/>
        <w:docPartUnique/>
      </w:docPartObj>
    </w:sdtPr>
    <w:sdtEndPr/>
    <w:sdtContent>
      <w:p w14:paraId="2BF9B61B" w14:textId="77777777" w:rsidR="00734BA3" w:rsidRDefault="00734BA3">
        <w:pPr>
          <w:pStyle w:val="Piedepgina"/>
          <w:jc w:val="center"/>
        </w:pPr>
        <w:r>
          <w:fldChar w:fldCharType="begin"/>
        </w:r>
        <w:r>
          <w:instrText>PAGE   \* MERGEFORMAT</w:instrText>
        </w:r>
        <w:r>
          <w:fldChar w:fldCharType="separate"/>
        </w:r>
        <w:r>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2108" w14:textId="77777777" w:rsidR="00427EF1" w:rsidRDefault="00427EF1" w:rsidP="00081470">
      <w:pPr>
        <w:spacing w:after="0" w:line="240" w:lineRule="auto"/>
      </w:pPr>
      <w:r>
        <w:separator/>
      </w:r>
    </w:p>
  </w:footnote>
  <w:footnote w:type="continuationSeparator" w:id="0">
    <w:p w14:paraId="446394F4" w14:textId="77777777" w:rsidR="00427EF1" w:rsidRDefault="00427EF1" w:rsidP="00081470">
      <w:pPr>
        <w:spacing w:after="0" w:line="240" w:lineRule="auto"/>
      </w:pPr>
      <w:r>
        <w:continuationSeparator/>
      </w:r>
    </w:p>
  </w:footnote>
  <w:footnote w:type="continuationNotice" w:id="1">
    <w:p w14:paraId="7150D83C" w14:textId="77777777" w:rsidR="00427EF1" w:rsidRDefault="00427EF1">
      <w:pPr>
        <w:spacing w:after="0" w:line="240" w:lineRule="auto"/>
      </w:pPr>
    </w:p>
  </w:footnote>
  <w:footnote w:id="2">
    <w:p w14:paraId="059991C7" w14:textId="77777777" w:rsidR="00734BA3" w:rsidRPr="00B46253" w:rsidRDefault="00734BA3" w:rsidP="00B46253">
      <w:pPr>
        <w:pStyle w:val="Textonotapie"/>
        <w:jc w:val="both"/>
        <w:rPr>
          <w:rFonts w:ascii="Cambria" w:hAnsi="Cambria"/>
          <w:lang w:val="es-CR"/>
        </w:rPr>
      </w:pPr>
      <w:r w:rsidRPr="00B46253">
        <w:rPr>
          <w:rStyle w:val="Refdenotaalpie"/>
          <w:rFonts w:ascii="Cambria" w:hAnsi="Cambria"/>
        </w:rPr>
        <w:footnoteRef/>
      </w:r>
      <w:r w:rsidRPr="00B46253">
        <w:rPr>
          <w:rFonts w:ascii="Cambria" w:hAnsi="Cambria"/>
        </w:rPr>
        <w:t xml:space="preserve"> Producto Interno Bruto a precios de mercado</w:t>
      </w:r>
      <w:r>
        <w:rPr>
          <w:rFonts w:ascii="Cambria" w:hAnsi="Cambria"/>
        </w:rPr>
        <w:t>,</w:t>
      </w:r>
      <w:r w:rsidRPr="00B46253">
        <w:rPr>
          <w:rFonts w:ascii="Cambria" w:hAnsi="Cambria"/>
        </w:rPr>
        <w:t xml:space="preserve"> publicado en la página web del Banco Central de Costa Rica.</w:t>
      </w:r>
    </w:p>
  </w:footnote>
  <w:footnote w:id="3">
    <w:p w14:paraId="5656AF23" w14:textId="77777777" w:rsidR="00734BA3" w:rsidRPr="004C63EC" w:rsidRDefault="00734BA3">
      <w:pPr>
        <w:pStyle w:val="Textonotapie"/>
      </w:pPr>
      <w:r>
        <w:rPr>
          <w:rStyle w:val="Refdenotaalpie"/>
        </w:rPr>
        <w:footnoteRef/>
      </w:r>
      <w:r>
        <w:t xml:space="preserve"> </w:t>
      </w:r>
      <w:r w:rsidRPr="004C63EC">
        <w:rPr>
          <w:rFonts w:asciiTheme="majorHAnsi" w:hAnsiTheme="majorHAnsi"/>
        </w:rPr>
        <w:t>El cual vence el 02 de mayo del 2019.</w:t>
      </w:r>
    </w:p>
  </w:footnote>
  <w:footnote w:id="4">
    <w:p w14:paraId="0753DB5B" w14:textId="77777777" w:rsidR="00734BA3" w:rsidRPr="00E15415" w:rsidRDefault="00734BA3" w:rsidP="007D0BC7">
      <w:pPr>
        <w:pStyle w:val="Textonotapie"/>
        <w:jc w:val="both"/>
        <w:rPr>
          <w:rFonts w:asciiTheme="majorHAnsi" w:hAnsiTheme="majorHAnsi" w:cstheme="minorHAnsi"/>
        </w:rPr>
      </w:pPr>
      <w:r w:rsidRPr="00E15415">
        <w:rPr>
          <w:rStyle w:val="Refdenotaalpie"/>
          <w:rFonts w:asciiTheme="majorHAnsi" w:hAnsiTheme="majorHAnsi" w:cstheme="minorHAnsi"/>
        </w:rPr>
        <w:footnoteRef/>
      </w:r>
      <w:r w:rsidRPr="00E15415">
        <w:rPr>
          <w:rFonts w:asciiTheme="majorHAnsi" w:hAnsiTheme="majorHAnsi" w:cstheme="minorHAnsi"/>
        </w:rPr>
        <w:t xml:space="preserve"> Son instrumentos de deuda no estandarizados, emitidos por instituciones financieras supervisadas por la Superintendencia de Entidades Financieras. </w:t>
      </w:r>
    </w:p>
  </w:footnote>
  <w:footnote w:id="5">
    <w:p w14:paraId="5864093D" w14:textId="77777777" w:rsidR="00734BA3" w:rsidRPr="00B46B1B" w:rsidRDefault="00734BA3">
      <w:pPr>
        <w:pStyle w:val="Textonotapie"/>
        <w:rPr>
          <w:lang w:val="es-CR"/>
        </w:rPr>
      </w:pPr>
      <w:r>
        <w:rPr>
          <w:rStyle w:val="Refdenotaalpie"/>
        </w:rPr>
        <w:footnoteRef/>
      </w:r>
      <w:r>
        <w:t xml:space="preserve"> </w:t>
      </w:r>
      <w:r w:rsidRPr="00613B2C">
        <w:rPr>
          <w:rFonts w:asciiTheme="majorHAnsi" w:hAnsiTheme="majorHAnsi"/>
        </w:rPr>
        <w:t>Las cifras reportadas incluyen pensionados que pese a cumplir el derecho antes del 2010 lo pospusieron hasta el año reportado.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3BA"/>
    <w:multiLevelType w:val="hybridMultilevel"/>
    <w:tmpl w:val="E66A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68DE"/>
    <w:multiLevelType w:val="hybridMultilevel"/>
    <w:tmpl w:val="D1A6875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B8822E2"/>
    <w:multiLevelType w:val="hybridMultilevel"/>
    <w:tmpl w:val="4EDA9334"/>
    <w:lvl w:ilvl="0" w:tplc="595477D2">
      <w:start w:val="1"/>
      <w:numFmt w:val="decimal"/>
      <w:lvlText w:val="%1."/>
      <w:lvlJc w:val="left"/>
      <w:pPr>
        <w:ind w:left="0" w:firstLine="0"/>
      </w:pPr>
      <w:rPr>
        <w:rFonts w:hint="default"/>
        <w:color w:val="auto"/>
      </w:rPr>
    </w:lvl>
    <w:lvl w:ilvl="1" w:tplc="1368EBB6">
      <w:numFmt w:val="bullet"/>
      <w:lvlText w:val="-"/>
      <w:lvlJc w:val="left"/>
      <w:pPr>
        <w:ind w:left="1080" w:hanging="360"/>
      </w:pPr>
      <w:rPr>
        <w:rFonts w:ascii="Times New Roman" w:eastAsiaTheme="minorHAnsi" w:hAnsi="Times New Roman" w:cs="Times New Roman"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CC45EF2"/>
    <w:multiLevelType w:val="multilevel"/>
    <w:tmpl w:val="C74E79C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F42D2"/>
    <w:multiLevelType w:val="hybridMultilevel"/>
    <w:tmpl w:val="8E40CD16"/>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ED1AC6"/>
    <w:multiLevelType w:val="hybridMultilevel"/>
    <w:tmpl w:val="898892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D62C5"/>
    <w:multiLevelType w:val="hybridMultilevel"/>
    <w:tmpl w:val="D85E250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DD245B"/>
    <w:multiLevelType w:val="hybridMultilevel"/>
    <w:tmpl w:val="E18674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C8312C4"/>
    <w:multiLevelType w:val="hybridMultilevel"/>
    <w:tmpl w:val="E66A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02B57"/>
    <w:multiLevelType w:val="hybridMultilevel"/>
    <w:tmpl w:val="4E3232EA"/>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0" w15:restartNumberingAfterBreak="0">
    <w:nsid w:val="1E4E553D"/>
    <w:multiLevelType w:val="hybridMultilevel"/>
    <w:tmpl w:val="9E4C64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E695A89"/>
    <w:multiLevelType w:val="hybridMultilevel"/>
    <w:tmpl w:val="7B34F27E"/>
    <w:lvl w:ilvl="0" w:tplc="66AE83B0">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60635A"/>
    <w:multiLevelType w:val="hybridMultilevel"/>
    <w:tmpl w:val="E66A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F544D"/>
    <w:multiLevelType w:val="hybridMultilevel"/>
    <w:tmpl w:val="A1909584"/>
    <w:lvl w:ilvl="0" w:tplc="54F01254">
      <w:start w:val="1"/>
      <w:numFmt w:val="bullet"/>
      <w:lvlText w:val="•"/>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8D80F01"/>
    <w:multiLevelType w:val="hybridMultilevel"/>
    <w:tmpl w:val="4DB8FB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2082045"/>
    <w:multiLevelType w:val="hybridMultilevel"/>
    <w:tmpl w:val="0C961F90"/>
    <w:lvl w:ilvl="0" w:tplc="140A000F">
      <w:start w:val="1"/>
      <w:numFmt w:val="decimal"/>
      <w:lvlText w:val="%1."/>
      <w:lvlJc w:val="left"/>
      <w:pPr>
        <w:ind w:left="2880" w:hanging="360"/>
      </w:pPr>
    </w:lvl>
    <w:lvl w:ilvl="1" w:tplc="140A0019">
      <w:start w:val="1"/>
      <w:numFmt w:val="lowerLetter"/>
      <w:lvlText w:val="%2."/>
      <w:lvlJc w:val="left"/>
      <w:pPr>
        <w:ind w:left="3600" w:hanging="360"/>
      </w:pPr>
    </w:lvl>
    <w:lvl w:ilvl="2" w:tplc="140A001B">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6" w15:restartNumberingAfterBreak="0">
    <w:nsid w:val="37474F60"/>
    <w:multiLevelType w:val="hybridMultilevel"/>
    <w:tmpl w:val="B4CA30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3F6DDB"/>
    <w:multiLevelType w:val="hybridMultilevel"/>
    <w:tmpl w:val="0E066BDA"/>
    <w:lvl w:ilvl="0" w:tplc="F22888A0">
      <w:start w:val="1"/>
      <w:numFmt w:val="decimal"/>
      <w:lvlText w:val="%1."/>
      <w:lvlJc w:val="left"/>
      <w:pPr>
        <w:ind w:left="644" w:hanging="360"/>
      </w:pPr>
      <w:rPr>
        <w:rFonts w:hint="default"/>
        <w:b w:val="0"/>
        <w:color w:val="000000" w:themeColor="text1"/>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45AD40EA"/>
    <w:multiLevelType w:val="hybridMultilevel"/>
    <w:tmpl w:val="2EE6B5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DA75587"/>
    <w:multiLevelType w:val="hybridMultilevel"/>
    <w:tmpl w:val="D4A8DFD2"/>
    <w:lvl w:ilvl="0" w:tplc="140A0001">
      <w:start w:val="1"/>
      <w:numFmt w:val="bullet"/>
      <w:lvlText w:val=""/>
      <w:lvlJc w:val="left"/>
      <w:pPr>
        <w:ind w:left="644" w:hanging="360"/>
      </w:pPr>
      <w:rPr>
        <w:rFonts w:ascii="Symbol" w:hAnsi="Symbol" w:hint="default"/>
        <w:b w:val="0"/>
        <w:color w:val="000000" w:themeColor="text1"/>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17D74F9"/>
    <w:multiLevelType w:val="hybridMultilevel"/>
    <w:tmpl w:val="65CCD1CE"/>
    <w:lvl w:ilvl="0" w:tplc="140A0001">
      <w:start w:val="1"/>
      <w:numFmt w:val="bullet"/>
      <w:lvlText w:val=""/>
      <w:lvlJc w:val="left"/>
      <w:pPr>
        <w:ind w:left="1428" w:hanging="360"/>
      </w:pPr>
      <w:rPr>
        <w:rFonts w:ascii="Symbol" w:hAnsi="Symbol" w:hint="default"/>
      </w:rPr>
    </w:lvl>
    <w:lvl w:ilvl="1" w:tplc="140A000D">
      <w:start w:val="1"/>
      <w:numFmt w:val="bullet"/>
      <w:lvlText w:val=""/>
      <w:lvlJc w:val="left"/>
      <w:pPr>
        <w:ind w:left="2148" w:hanging="360"/>
      </w:pPr>
      <w:rPr>
        <w:rFonts w:ascii="Wingdings" w:hAnsi="Wingdings" w:hint="default"/>
      </w:rPr>
    </w:lvl>
    <w:lvl w:ilvl="2" w:tplc="140A001B">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1" w15:restartNumberingAfterBreak="0">
    <w:nsid w:val="5BB20B31"/>
    <w:multiLevelType w:val="hybridMultilevel"/>
    <w:tmpl w:val="0180EE70"/>
    <w:lvl w:ilvl="0" w:tplc="289EA63E">
      <w:numFmt w:val="bullet"/>
      <w:lvlText w:val="-"/>
      <w:lvlJc w:val="left"/>
      <w:pPr>
        <w:ind w:left="720" w:hanging="360"/>
      </w:pPr>
      <w:rPr>
        <w:rFonts w:ascii="Cambria" w:eastAsiaTheme="minorHAnsi" w:hAnsi="Cambri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EB20FB5"/>
    <w:multiLevelType w:val="hybridMultilevel"/>
    <w:tmpl w:val="65C84AF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4F433DE"/>
    <w:multiLevelType w:val="hybridMultilevel"/>
    <w:tmpl w:val="C974F1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3D09F7"/>
    <w:multiLevelType w:val="hybridMultilevel"/>
    <w:tmpl w:val="A34C1522"/>
    <w:lvl w:ilvl="0" w:tplc="31CE1038">
      <w:start w:val="1"/>
      <w:numFmt w:val="decimal"/>
      <w:lvlText w:val="%1."/>
      <w:lvlJc w:val="left"/>
      <w:pPr>
        <w:ind w:left="644"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6903E4"/>
    <w:multiLevelType w:val="hybridMultilevel"/>
    <w:tmpl w:val="9356D7AE"/>
    <w:lvl w:ilvl="0" w:tplc="F3A0F1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8B35F98"/>
    <w:multiLevelType w:val="hybridMultilevel"/>
    <w:tmpl w:val="1E8684CE"/>
    <w:lvl w:ilvl="0" w:tplc="2DCC37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8D0CDF"/>
    <w:multiLevelType w:val="hybridMultilevel"/>
    <w:tmpl w:val="29C27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004406"/>
    <w:multiLevelType w:val="hybridMultilevel"/>
    <w:tmpl w:val="C8DC3E48"/>
    <w:lvl w:ilvl="0" w:tplc="66AE83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21EC7"/>
    <w:multiLevelType w:val="hybridMultilevel"/>
    <w:tmpl w:val="44D03AA2"/>
    <w:lvl w:ilvl="0" w:tplc="D3C4C4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5219C"/>
    <w:multiLevelType w:val="hybridMultilevel"/>
    <w:tmpl w:val="1B1422CC"/>
    <w:lvl w:ilvl="0" w:tplc="FE4C7070">
      <w:start w:val="1"/>
      <w:numFmt w:val="decimal"/>
      <w:lvlText w:val="%1."/>
      <w:lvlJc w:val="left"/>
      <w:pPr>
        <w:ind w:left="360" w:hanging="360"/>
      </w:pPr>
      <w:rPr>
        <w:color w:val="auto"/>
      </w:rPr>
    </w:lvl>
    <w:lvl w:ilvl="1" w:tplc="140A0001">
      <w:start w:val="1"/>
      <w:numFmt w:val="bullet"/>
      <w:lvlText w:val=""/>
      <w:lvlJc w:val="left"/>
      <w:pPr>
        <w:ind w:left="1080" w:hanging="360"/>
      </w:pPr>
      <w:rPr>
        <w:rFonts w:ascii="Symbol" w:hAnsi="Symbol"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7DF5678C"/>
    <w:multiLevelType w:val="hybridMultilevel"/>
    <w:tmpl w:val="75CC8F98"/>
    <w:lvl w:ilvl="0" w:tplc="B6D82E48">
      <w:start w:val="1"/>
      <w:numFmt w:val="decimal"/>
      <w:lvlText w:val="%1."/>
      <w:lvlJc w:val="left"/>
      <w:pPr>
        <w:ind w:left="644" w:hanging="360"/>
      </w:pPr>
      <w:rPr>
        <w:rFonts w:hint="default"/>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E40258B"/>
    <w:multiLevelType w:val="hybridMultilevel"/>
    <w:tmpl w:val="0A3E4834"/>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33" w15:restartNumberingAfterBreak="0">
    <w:nsid w:val="7F960444"/>
    <w:multiLevelType w:val="hybridMultilevel"/>
    <w:tmpl w:val="B72A7E2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23"/>
  </w:num>
  <w:num w:numId="3">
    <w:abstractNumId w:val="25"/>
  </w:num>
  <w:num w:numId="4">
    <w:abstractNumId w:val="32"/>
  </w:num>
  <w:num w:numId="5">
    <w:abstractNumId w:val="13"/>
  </w:num>
  <w:num w:numId="6">
    <w:abstractNumId w:val="5"/>
  </w:num>
  <w:num w:numId="7">
    <w:abstractNumId w:val="7"/>
  </w:num>
  <w:num w:numId="8">
    <w:abstractNumId w:val="20"/>
  </w:num>
  <w:num w:numId="9">
    <w:abstractNumId w:val="30"/>
  </w:num>
  <w:num w:numId="10">
    <w:abstractNumId w:val="22"/>
  </w:num>
  <w:num w:numId="11">
    <w:abstractNumId w:val="4"/>
  </w:num>
  <w:num w:numId="12">
    <w:abstractNumId w:val="6"/>
  </w:num>
  <w:num w:numId="13">
    <w:abstractNumId w:val="0"/>
  </w:num>
  <w:num w:numId="14">
    <w:abstractNumId w:val="8"/>
  </w:num>
  <w:num w:numId="15">
    <w:abstractNumId w:val="12"/>
  </w:num>
  <w:num w:numId="16">
    <w:abstractNumId w:val="16"/>
  </w:num>
  <w:num w:numId="17">
    <w:abstractNumId w:val="10"/>
  </w:num>
  <w:num w:numId="18">
    <w:abstractNumId w:val="11"/>
  </w:num>
  <w:num w:numId="19">
    <w:abstractNumId w:val="28"/>
  </w:num>
  <w:num w:numId="20">
    <w:abstractNumId w:val="2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17"/>
  </w:num>
  <w:num w:numId="28">
    <w:abstractNumId w:val="19"/>
  </w:num>
  <w:num w:numId="29">
    <w:abstractNumId w:val="3"/>
  </w:num>
  <w:num w:numId="30">
    <w:abstractNumId w:val="24"/>
  </w:num>
  <w:num w:numId="31">
    <w:abstractNumId w:val="9"/>
  </w:num>
  <w:num w:numId="32">
    <w:abstractNumId w:val="31"/>
  </w:num>
  <w:num w:numId="33">
    <w:abstractNumId w:val="1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proofState w:spelling="clean" w:grammar="clean"/>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60"/>
    <w:rsid w:val="00000198"/>
    <w:rsid w:val="000013D2"/>
    <w:rsid w:val="00001FFC"/>
    <w:rsid w:val="0000443C"/>
    <w:rsid w:val="0000610F"/>
    <w:rsid w:val="00006E79"/>
    <w:rsid w:val="000074A5"/>
    <w:rsid w:val="0000774F"/>
    <w:rsid w:val="000102FC"/>
    <w:rsid w:val="00012842"/>
    <w:rsid w:val="00014443"/>
    <w:rsid w:val="00014599"/>
    <w:rsid w:val="000154F0"/>
    <w:rsid w:val="00015F11"/>
    <w:rsid w:val="0001622A"/>
    <w:rsid w:val="00016D35"/>
    <w:rsid w:val="0002056C"/>
    <w:rsid w:val="00021515"/>
    <w:rsid w:val="00022675"/>
    <w:rsid w:val="00022C1D"/>
    <w:rsid w:val="00022F9D"/>
    <w:rsid w:val="000232CD"/>
    <w:rsid w:val="00024112"/>
    <w:rsid w:val="000242C4"/>
    <w:rsid w:val="000252B1"/>
    <w:rsid w:val="00025B09"/>
    <w:rsid w:val="00025D30"/>
    <w:rsid w:val="00026199"/>
    <w:rsid w:val="000271FD"/>
    <w:rsid w:val="00027413"/>
    <w:rsid w:val="000274D4"/>
    <w:rsid w:val="00027C1E"/>
    <w:rsid w:val="0003105B"/>
    <w:rsid w:val="00031298"/>
    <w:rsid w:val="0003279B"/>
    <w:rsid w:val="000327C1"/>
    <w:rsid w:val="00032E7E"/>
    <w:rsid w:val="000333F6"/>
    <w:rsid w:val="00033BAE"/>
    <w:rsid w:val="000345F4"/>
    <w:rsid w:val="000369BA"/>
    <w:rsid w:val="00037484"/>
    <w:rsid w:val="00037E95"/>
    <w:rsid w:val="00041126"/>
    <w:rsid w:val="00041D06"/>
    <w:rsid w:val="000434CA"/>
    <w:rsid w:val="000449EC"/>
    <w:rsid w:val="00046F51"/>
    <w:rsid w:val="00050D86"/>
    <w:rsid w:val="00050F2A"/>
    <w:rsid w:val="000511E4"/>
    <w:rsid w:val="000512C9"/>
    <w:rsid w:val="00052A16"/>
    <w:rsid w:val="00052FDE"/>
    <w:rsid w:val="00053155"/>
    <w:rsid w:val="00053E97"/>
    <w:rsid w:val="000541FB"/>
    <w:rsid w:val="00054F06"/>
    <w:rsid w:val="00055084"/>
    <w:rsid w:val="00055AD5"/>
    <w:rsid w:val="00056B11"/>
    <w:rsid w:val="00056F0F"/>
    <w:rsid w:val="00060952"/>
    <w:rsid w:val="00060BE8"/>
    <w:rsid w:val="00060F6E"/>
    <w:rsid w:val="000614C2"/>
    <w:rsid w:val="000614D6"/>
    <w:rsid w:val="00062271"/>
    <w:rsid w:val="000622DE"/>
    <w:rsid w:val="00064E8E"/>
    <w:rsid w:val="000652C6"/>
    <w:rsid w:val="000658B4"/>
    <w:rsid w:val="00065C51"/>
    <w:rsid w:val="00067AC7"/>
    <w:rsid w:val="00070879"/>
    <w:rsid w:val="00071977"/>
    <w:rsid w:val="00071A6D"/>
    <w:rsid w:val="000721F3"/>
    <w:rsid w:val="00072DC4"/>
    <w:rsid w:val="0007521A"/>
    <w:rsid w:val="00076BF6"/>
    <w:rsid w:val="00076EDB"/>
    <w:rsid w:val="000800EE"/>
    <w:rsid w:val="000803A6"/>
    <w:rsid w:val="0008065F"/>
    <w:rsid w:val="00080BB0"/>
    <w:rsid w:val="00081470"/>
    <w:rsid w:val="00082124"/>
    <w:rsid w:val="00083D40"/>
    <w:rsid w:val="00083E97"/>
    <w:rsid w:val="00084815"/>
    <w:rsid w:val="00084993"/>
    <w:rsid w:val="00085E49"/>
    <w:rsid w:val="000862C1"/>
    <w:rsid w:val="00086922"/>
    <w:rsid w:val="0009006F"/>
    <w:rsid w:val="0009055A"/>
    <w:rsid w:val="0009100B"/>
    <w:rsid w:val="000922B0"/>
    <w:rsid w:val="00092E23"/>
    <w:rsid w:val="00093B4D"/>
    <w:rsid w:val="00094E70"/>
    <w:rsid w:val="00096E89"/>
    <w:rsid w:val="000970BC"/>
    <w:rsid w:val="00097EBB"/>
    <w:rsid w:val="00097FF2"/>
    <w:rsid w:val="000A06E4"/>
    <w:rsid w:val="000A0D86"/>
    <w:rsid w:val="000A1C35"/>
    <w:rsid w:val="000A2D47"/>
    <w:rsid w:val="000A343E"/>
    <w:rsid w:val="000A417E"/>
    <w:rsid w:val="000A724A"/>
    <w:rsid w:val="000B0223"/>
    <w:rsid w:val="000B27D7"/>
    <w:rsid w:val="000B2ADE"/>
    <w:rsid w:val="000B411E"/>
    <w:rsid w:val="000B4B1D"/>
    <w:rsid w:val="000B5D8C"/>
    <w:rsid w:val="000C00B4"/>
    <w:rsid w:val="000C1A53"/>
    <w:rsid w:val="000C24FD"/>
    <w:rsid w:val="000C33DE"/>
    <w:rsid w:val="000C3D44"/>
    <w:rsid w:val="000C3F95"/>
    <w:rsid w:val="000C4597"/>
    <w:rsid w:val="000C466A"/>
    <w:rsid w:val="000C6854"/>
    <w:rsid w:val="000D062C"/>
    <w:rsid w:val="000D06C9"/>
    <w:rsid w:val="000D158B"/>
    <w:rsid w:val="000D18EE"/>
    <w:rsid w:val="000D1A49"/>
    <w:rsid w:val="000D1F7E"/>
    <w:rsid w:val="000D2642"/>
    <w:rsid w:val="000D282B"/>
    <w:rsid w:val="000D322E"/>
    <w:rsid w:val="000D365F"/>
    <w:rsid w:val="000D3D20"/>
    <w:rsid w:val="000D4C2F"/>
    <w:rsid w:val="000D4EFD"/>
    <w:rsid w:val="000D5616"/>
    <w:rsid w:val="000D6235"/>
    <w:rsid w:val="000E02CD"/>
    <w:rsid w:val="000E0B57"/>
    <w:rsid w:val="000E1F98"/>
    <w:rsid w:val="000E26F9"/>
    <w:rsid w:val="000E46BE"/>
    <w:rsid w:val="000E52D2"/>
    <w:rsid w:val="000E52FD"/>
    <w:rsid w:val="000E538B"/>
    <w:rsid w:val="000E60D5"/>
    <w:rsid w:val="000E7C28"/>
    <w:rsid w:val="000F1770"/>
    <w:rsid w:val="000F1BC9"/>
    <w:rsid w:val="000F21F3"/>
    <w:rsid w:val="000F25A8"/>
    <w:rsid w:val="000F2F6E"/>
    <w:rsid w:val="000F30AE"/>
    <w:rsid w:val="000F3F65"/>
    <w:rsid w:val="000F4700"/>
    <w:rsid w:val="000F47C8"/>
    <w:rsid w:val="000F512E"/>
    <w:rsid w:val="000F6383"/>
    <w:rsid w:val="000F65AD"/>
    <w:rsid w:val="000F690D"/>
    <w:rsid w:val="000F7997"/>
    <w:rsid w:val="001000E8"/>
    <w:rsid w:val="0010023D"/>
    <w:rsid w:val="001005B3"/>
    <w:rsid w:val="00100C49"/>
    <w:rsid w:val="00101CDB"/>
    <w:rsid w:val="001025A6"/>
    <w:rsid w:val="00102610"/>
    <w:rsid w:val="001027B8"/>
    <w:rsid w:val="00102B98"/>
    <w:rsid w:val="001031FA"/>
    <w:rsid w:val="001044EA"/>
    <w:rsid w:val="00104861"/>
    <w:rsid w:val="00104CC6"/>
    <w:rsid w:val="00106918"/>
    <w:rsid w:val="00106EE4"/>
    <w:rsid w:val="00107761"/>
    <w:rsid w:val="00107C27"/>
    <w:rsid w:val="00110689"/>
    <w:rsid w:val="00110808"/>
    <w:rsid w:val="00110AEE"/>
    <w:rsid w:val="00110DF9"/>
    <w:rsid w:val="00111AED"/>
    <w:rsid w:val="001122AD"/>
    <w:rsid w:val="001125B3"/>
    <w:rsid w:val="00113471"/>
    <w:rsid w:val="00114132"/>
    <w:rsid w:val="00116A67"/>
    <w:rsid w:val="001174D1"/>
    <w:rsid w:val="00117A3B"/>
    <w:rsid w:val="00120AE0"/>
    <w:rsid w:val="00120D36"/>
    <w:rsid w:val="00122100"/>
    <w:rsid w:val="0012296A"/>
    <w:rsid w:val="00122B3F"/>
    <w:rsid w:val="00123473"/>
    <w:rsid w:val="00123E6E"/>
    <w:rsid w:val="001246FC"/>
    <w:rsid w:val="00125D9B"/>
    <w:rsid w:val="0012779A"/>
    <w:rsid w:val="00127B63"/>
    <w:rsid w:val="00127E00"/>
    <w:rsid w:val="00130211"/>
    <w:rsid w:val="00130609"/>
    <w:rsid w:val="00131849"/>
    <w:rsid w:val="00132019"/>
    <w:rsid w:val="00132D30"/>
    <w:rsid w:val="001336C4"/>
    <w:rsid w:val="00133DE9"/>
    <w:rsid w:val="001345C6"/>
    <w:rsid w:val="00137859"/>
    <w:rsid w:val="00141888"/>
    <w:rsid w:val="00141B46"/>
    <w:rsid w:val="00144677"/>
    <w:rsid w:val="0014477C"/>
    <w:rsid w:val="00146BB0"/>
    <w:rsid w:val="0015033E"/>
    <w:rsid w:val="001507CD"/>
    <w:rsid w:val="00152782"/>
    <w:rsid w:val="001536C7"/>
    <w:rsid w:val="00155996"/>
    <w:rsid w:val="00156DBA"/>
    <w:rsid w:val="001575D4"/>
    <w:rsid w:val="00160AD3"/>
    <w:rsid w:val="00162C3A"/>
    <w:rsid w:val="001636EB"/>
    <w:rsid w:val="0016383F"/>
    <w:rsid w:val="00164B75"/>
    <w:rsid w:val="00164FCA"/>
    <w:rsid w:val="00166173"/>
    <w:rsid w:val="00166ACA"/>
    <w:rsid w:val="00166E7F"/>
    <w:rsid w:val="00167211"/>
    <w:rsid w:val="00170142"/>
    <w:rsid w:val="00170A62"/>
    <w:rsid w:val="00170F7E"/>
    <w:rsid w:val="001716FF"/>
    <w:rsid w:val="00171A2D"/>
    <w:rsid w:val="00171A72"/>
    <w:rsid w:val="00171B95"/>
    <w:rsid w:val="00171F29"/>
    <w:rsid w:val="0017203C"/>
    <w:rsid w:val="00174659"/>
    <w:rsid w:val="00174F62"/>
    <w:rsid w:val="00174FCB"/>
    <w:rsid w:val="001757CE"/>
    <w:rsid w:val="00176D3B"/>
    <w:rsid w:val="00177B92"/>
    <w:rsid w:val="00177C2C"/>
    <w:rsid w:val="00180123"/>
    <w:rsid w:val="00180B2B"/>
    <w:rsid w:val="001813D4"/>
    <w:rsid w:val="00181EF7"/>
    <w:rsid w:val="001826FE"/>
    <w:rsid w:val="0018298B"/>
    <w:rsid w:val="0018415C"/>
    <w:rsid w:val="0018432B"/>
    <w:rsid w:val="00185082"/>
    <w:rsid w:val="001853AE"/>
    <w:rsid w:val="00187AD6"/>
    <w:rsid w:val="00190560"/>
    <w:rsid w:val="00190D2C"/>
    <w:rsid w:val="00192517"/>
    <w:rsid w:val="001930D1"/>
    <w:rsid w:val="00195F39"/>
    <w:rsid w:val="001961EC"/>
    <w:rsid w:val="0019705A"/>
    <w:rsid w:val="001971DF"/>
    <w:rsid w:val="001A024C"/>
    <w:rsid w:val="001A089A"/>
    <w:rsid w:val="001A2D43"/>
    <w:rsid w:val="001A4823"/>
    <w:rsid w:val="001A4B5A"/>
    <w:rsid w:val="001A7B42"/>
    <w:rsid w:val="001A7F94"/>
    <w:rsid w:val="001B060F"/>
    <w:rsid w:val="001B3919"/>
    <w:rsid w:val="001B4139"/>
    <w:rsid w:val="001B435F"/>
    <w:rsid w:val="001B45FA"/>
    <w:rsid w:val="001B47D0"/>
    <w:rsid w:val="001B52BD"/>
    <w:rsid w:val="001B5652"/>
    <w:rsid w:val="001B5790"/>
    <w:rsid w:val="001B5965"/>
    <w:rsid w:val="001B5D58"/>
    <w:rsid w:val="001B6EEF"/>
    <w:rsid w:val="001B76DC"/>
    <w:rsid w:val="001C03A5"/>
    <w:rsid w:val="001C104F"/>
    <w:rsid w:val="001C1D31"/>
    <w:rsid w:val="001C28F8"/>
    <w:rsid w:val="001C5E6A"/>
    <w:rsid w:val="001C75D3"/>
    <w:rsid w:val="001C7AB8"/>
    <w:rsid w:val="001D3578"/>
    <w:rsid w:val="001D372E"/>
    <w:rsid w:val="001D39B5"/>
    <w:rsid w:val="001D40DE"/>
    <w:rsid w:val="001D64BE"/>
    <w:rsid w:val="001D6722"/>
    <w:rsid w:val="001D7E41"/>
    <w:rsid w:val="001E1BFC"/>
    <w:rsid w:val="001E1F55"/>
    <w:rsid w:val="001E35D3"/>
    <w:rsid w:val="001E3945"/>
    <w:rsid w:val="001E5576"/>
    <w:rsid w:val="001E5DF5"/>
    <w:rsid w:val="001E6CC4"/>
    <w:rsid w:val="001E709E"/>
    <w:rsid w:val="001E7D74"/>
    <w:rsid w:val="001F2037"/>
    <w:rsid w:val="001F3EFD"/>
    <w:rsid w:val="001F42A9"/>
    <w:rsid w:val="001F689A"/>
    <w:rsid w:val="001F6D56"/>
    <w:rsid w:val="001F757E"/>
    <w:rsid w:val="001F7E5B"/>
    <w:rsid w:val="002001B5"/>
    <w:rsid w:val="002015A2"/>
    <w:rsid w:val="002024F6"/>
    <w:rsid w:val="0020365D"/>
    <w:rsid w:val="00204267"/>
    <w:rsid w:val="00204811"/>
    <w:rsid w:val="00205B61"/>
    <w:rsid w:val="00205DB3"/>
    <w:rsid w:val="00206C0A"/>
    <w:rsid w:val="00206EC5"/>
    <w:rsid w:val="002079A7"/>
    <w:rsid w:val="0021036C"/>
    <w:rsid w:val="00211328"/>
    <w:rsid w:val="0021166B"/>
    <w:rsid w:val="002120CD"/>
    <w:rsid w:val="0021229D"/>
    <w:rsid w:val="00212702"/>
    <w:rsid w:val="002127B9"/>
    <w:rsid w:val="00214042"/>
    <w:rsid w:val="002140D0"/>
    <w:rsid w:val="002151E8"/>
    <w:rsid w:val="00215A0F"/>
    <w:rsid w:val="002164E2"/>
    <w:rsid w:val="00216DAB"/>
    <w:rsid w:val="00217942"/>
    <w:rsid w:val="00220685"/>
    <w:rsid w:val="00220C8F"/>
    <w:rsid w:val="00220E06"/>
    <w:rsid w:val="00221290"/>
    <w:rsid w:val="00221EE3"/>
    <w:rsid w:val="00222102"/>
    <w:rsid w:val="0022343C"/>
    <w:rsid w:val="00223562"/>
    <w:rsid w:val="00224860"/>
    <w:rsid w:val="00224DE2"/>
    <w:rsid w:val="002259FD"/>
    <w:rsid w:val="00225AA6"/>
    <w:rsid w:val="00226165"/>
    <w:rsid w:val="00227C80"/>
    <w:rsid w:val="00230BDE"/>
    <w:rsid w:val="00231CF1"/>
    <w:rsid w:val="002325A2"/>
    <w:rsid w:val="002329C5"/>
    <w:rsid w:val="0023324B"/>
    <w:rsid w:val="00233729"/>
    <w:rsid w:val="00233948"/>
    <w:rsid w:val="00233D51"/>
    <w:rsid w:val="002341E2"/>
    <w:rsid w:val="0023517C"/>
    <w:rsid w:val="002364B3"/>
    <w:rsid w:val="00240BBD"/>
    <w:rsid w:val="00241747"/>
    <w:rsid w:val="00242FF6"/>
    <w:rsid w:val="00244026"/>
    <w:rsid w:val="002446B3"/>
    <w:rsid w:val="00244C0F"/>
    <w:rsid w:val="00244C7C"/>
    <w:rsid w:val="00245667"/>
    <w:rsid w:val="00245998"/>
    <w:rsid w:val="0024669E"/>
    <w:rsid w:val="002503DA"/>
    <w:rsid w:val="002510C1"/>
    <w:rsid w:val="0025247D"/>
    <w:rsid w:val="002524E4"/>
    <w:rsid w:val="00252606"/>
    <w:rsid w:val="0025283C"/>
    <w:rsid w:val="00254A69"/>
    <w:rsid w:val="00255955"/>
    <w:rsid w:val="00255DA5"/>
    <w:rsid w:val="002565F5"/>
    <w:rsid w:val="00256752"/>
    <w:rsid w:val="00260CF6"/>
    <w:rsid w:val="00261470"/>
    <w:rsid w:val="002623F6"/>
    <w:rsid w:val="002629F6"/>
    <w:rsid w:val="0026304B"/>
    <w:rsid w:val="00263730"/>
    <w:rsid w:val="002658BF"/>
    <w:rsid w:val="00266605"/>
    <w:rsid w:val="00270235"/>
    <w:rsid w:val="00270766"/>
    <w:rsid w:val="00270D91"/>
    <w:rsid w:val="0027115A"/>
    <w:rsid w:val="002719C0"/>
    <w:rsid w:val="00271E22"/>
    <w:rsid w:val="002721AA"/>
    <w:rsid w:val="00272370"/>
    <w:rsid w:val="00272590"/>
    <w:rsid w:val="002729E2"/>
    <w:rsid w:val="00273916"/>
    <w:rsid w:val="00273F69"/>
    <w:rsid w:val="0027448D"/>
    <w:rsid w:val="00274556"/>
    <w:rsid w:val="00276507"/>
    <w:rsid w:val="002769E4"/>
    <w:rsid w:val="00276B37"/>
    <w:rsid w:val="00276CEF"/>
    <w:rsid w:val="002802A5"/>
    <w:rsid w:val="002814C3"/>
    <w:rsid w:val="00282A44"/>
    <w:rsid w:val="002867BC"/>
    <w:rsid w:val="00287205"/>
    <w:rsid w:val="0029103F"/>
    <w:rsid w:val="002917CE"/>
    <w:rsid w:val="00292AFB"/>
    <w:rsid w:val="00293A6A"/>
    <w:rsid w:val="002944C9"/>
    <w:rsid w:val="00294D77"/>
    <w:rsid w:val="00295B37"/>
    <w:rsid w:val="00295EC4"/>
    <w:rsid w:val="00296500"/>
    <w:rsid w:val="002A15B1"/>
    <w:rsid w:val="002A2FF2"/>
    <w:rsid w:val="002A3ACC"/>
    <w:rsid w:val="002A3B0D"/>
    <w:rsid w:val="002A5E5C"/>
    <w:rsid w:val="002A6544"/>
    <w:rsid w:val="002A701A"/>
    <w:rsid w:val="002A7D07"/>
    <w:rsid w:val="002B039B"/>
    <w:rsid w:val="002B1D77"/>
    <w:rsid w:val="002B39D1"/>
    <w:rsid w:val="002B3AD3"/>
    <w:rsid w:val="002B4103"/>
    <w:rsid w:val="002B4294"/>
    <w:rsid w:val="002B4DA8"/>
    <w:rsid w:val="002B4EB6"/>
    <w:rsid w:val="002B6B9D"/>
    <w:rsid w:val="002B6EA9"/>
    <w:rsid w:val="002B7C13"/>
    <w:rsid w:val="002B7CEF"/>
    <w:rsid w:val="002C042E"/>
    <w:rsid w:val="002C1167"/>
    <w:rsid w:val="002C196B"/>
    <w:rsid w:val="002C1E09"/>
    <w:rsid w:val="002C286E"/>
    <w:rsid w:val="002C3562"/>
    <w:rsid w:val="002C4C2E"/>
    <w:rsid w:val="002D0668"/>
    <w:rsid w:val="002D2A0F"/>
    <w:rsid w:val="002D330B"/>
    <w:rsid w:val="002D48CD"/>
    <w:rsid w:val="002D50D3"/>
    <w:rsid w:val="002D5B0E"/>
    <w:rsid w:val="002E0886"/>
    <w:rsid w:val="002E146D"/>
    <w:rsid w:val="002E2A7E"/>
    <w:rsid w:val="002E2F68"/>
    <w:rsid w:val="002E3157"/>
    <w:rsid w:val="002E3FEA"/>
    <w:rsid w:val="002E46F2"/>
    <w:rsid w:val="002E54CE"/>
    <w:rsid w:val="002E611F"/>
    <w:rsid w:val="002E63DD"/>
    <w:rsid w:val="002E7A97"/>
    <w:rsid w:val="002F0718"/>
    <w:rsid w:val="002F11A5"/>
    <w:rsid w:val="002F2658"/>
    <w:rsid w:val="002F3A4D"/>
    <w:rsid w:val="002F4825"/>
    <w:rsid w:val="002F5285"/>
    <w:rsid w:val="002F5B3C"/>
    <w:rsid w:val="0030064C"/>
    <w:rsid w:val="00300CB6"/>
    <w:rsid w:val="003020C1"/>
    <w:rsid w:val="003029A8"/>
    <w:rsid w:val="00303699"/>
    <w:rsid w:val="00303763"/>
    <w:rsid w:val="00306C23"/>
    <w:rsid w:val="00307D9E"/>
    <w:rsid w:val="0031069F"/>
    <w:rsid w:val="003122B0"/>
    <w:rsid w:val="003130D4"/>
    <w:rsid w:val="00313A0F"/>
    <w:rsid w:val="00314A23"/>
    <w:rsid w:val="00316569"/>
    <w:rsid w:val="00316F50"/>
    <w:rsid w:val="00316F90"/>
    <w:rsid w:val="00317250"/>
    <w:rsid w:val="003203CB"/>
    <w:rsid w:val="00320746"/>
    <w:rsid w:val="00321052"/>
    <w:rsid w:val="00321FA3"/>
    <w:rsid w:val="00322D46"/>
    <w:rsid w:val="00325B32"/>
    <w:rsid w:val="00326BFA"/>
    <w:rsid w:val="00327DA7"/>
    <w:rsid w:val="00330022"/>
    <w:rsid w:val="003302A1"/>
    <w:rsid w:val="00330AAC"/>
    <w:rsid w:val="00330AD7"/>
    <w:rsid w:val="00330BA8"/>
    <w:rsid w:val="00331F65"/>
    <w:rsid w:val="00332150"/>
    <w:rsid w:val="0033378E"/>
    <w:rsid w:val="003341A4"/>
    <w:rsid w:val="00334512"/>
    <w:rsid w:val="0033496E"/>
    <w:rsid w:val="00334BC4"/>
    <w:rsid w:val="00334DBC"/>
    <w:rsid w:val="00336247"/>
    <w:rsid w:val="0033676D"/>
    <w:rsid w:val="00337483"/>
    <w:rsid w:val="00337559"/>
    <w:rsid w:val="00340D6D"/>
    <w:rsid w:val="00340DE0"/>
    <w:rsid w:val="0034126B"/>
    <w:rsid w:val="00341A75"/>
    <w:rsid w:val="00343544"/>
    <w:rsid w:val="0034367C"/>
    <w:rsid w:val="00345E63"/>
    <w:rsid w:val="00346880"/>
    <w:rsid w:val="00347210"/>
    <w:rsid w:val="0035052D"/>
    <w:rsid w:val="0035169E"/>
    <w:rsid w:val="003528ED"/>
    <w:rsid w:val="00352E99"/>
    <w:rsid w:val="0035353F"/>
    <w:rsid w:val="00353A30"/>
    <w:rsid w:val="00353AD2"/>
    <w:rsid w:val="00353E05"/>
    <w:rsid w:val="003548B5"/>
    <w:rsid w:val="00354AEE"/>
    <w:rsid w:val="003563A2"/>
    <w:rsid w:val="003574E4"/>
    <w:rsid w:val="003578EF"/>
    <w:rsid w:val="00357946"/>
    <w:rsid w:val="0036017A"/>
    <w:rsid w:val="00360593"/>
    <w:rsid w:val="003607BD"/>
    <w:rsid w:val="003629D2"/>
    <w:rsid w:val="00363690"/>
    <w:rsid w:val="00363D05"/>
    <w:rsid w:val="00364131"/>
    <w:rsid w:val="00364532"/>
    <w:rsid w:val="00364753"/>
    <w:rsid w:val="00364C3F"/>
    <w:rsid w:val="00365468"/>
    <w:rsid w:val="0036552D"/>
    <w:rsid w:val="00365D02"/>
    <w:rsid w:val="0036715D"/>
    <w:rsid w:val="0036727F"/>
    <w:rsid w:val="00367A92"/>
    <w:rsid w:val="003708C9"/>
    <w:rsid w:val="003710FC"/>
    <w:rsid w:val="0037139A"/>
    <w:rsid w:val="00371980"/>
    <w:rsid w:val="00371F47"/>
    <w:rsid w:val="003723A4"/>
    <w:rsid w:val="0037268E"/>
    <w:rsid w:val="00373C01"/>
    <w:rsid w:val="00374049"/>
    <w:rsid w:val="003742A4"/>
    <w:rsid w:val="003745E3"/>
    <w:rsid w:val="0037529A"/>
    <w:rsid w:val="00375367"/>
    <w:rsid w:val="00375A8E"/>
    <w:rsid w:val="00376E84"/>
    <w:rsid w:val="00376FA1"/>
    <w:rsid w:val="00377138"/>
    <w:rsid w:val="003771FA"/>
    <w:rsid w:val="003772D3"/>
    <w:rsid w:val="00381555"/>
    <w:rsid w:val="00381BEC"/>
    <w:rsid w:val="00381F09"/>
    <w:rsid w:val="003822D3"/>
    <w:rsid w:val="0038230A"/>
    <w:rsid w:val="00383433"/>
    <w:rsid w:val="00383A37"/>
    <w:rsid w:val="00384982"/>
    <w:rsid w:val="00384E97"/>
    <w:rsid w:val="00386AC5"/>
    <w:rsid w:val="00386B12"/>
    <w:rsid w:val="00386F06"/>
    <w:rsid w:val="003905BA"/>
    <w:rsid w:val="00391AD5"/>
    <w:rsid w:val="003926AC"/>
    <w:rsid w:val="00393B21"/>
    <w:rsid w:val="00393B67"/>
    <w:rsid w:val="00394291"/>
    <w:rsid w:val="00394C16"/>
    <w:rsid w:val="003967D9"/>
    <w:rsid w:val="00397CE7"/>
    <w:rsid w:val="00397E1C"/>
    <w:rsid w:val="003A10EA"/>
    <w:rsid w:val="003A26FF"/>
    <w:rsid w:val="003A51AF"/>
    <w:rsid w:val="003A58F9"/>
    <w:rsid w:val="003A61B5"/>
    <w:rsid w:val="003A7CEE"/>
    <w:rsid w:val="003B0161"/>
    <w:rsid w:val="003B04D6"/>
    <w:rsid w:val="003B11E7"/>
    <w:rsid w:val="003B17C0"/>
    <w:rsid w:val="003B24BA"/>
    <w:rsid w:val="003B2705"/>
    <w:rsid w:val="003B35C2"/>
    <w:rsid w:val="003B4EF8"/>
    <w:rsid w:val="003B50C3"/>
    <w:rsid w:val="003B53E9"/>
    <w:rsid w:val="003B5745"/>
    <w:rsid w:val="003B7B9E"/>
    <w:rsid w:val="003C0B90"/>
    <w:rsid w:val="003C1420"/>
    <w:rsid w:val="003C2694"/>
    <w:rsid w:val="003C289E"/>
    <w:rsid w:val="003C3870"/>
    <w:rsid w:val="003C41D8"/>
    <w:rsid w:val="003C5577"/>
    <w:rsid w:val="003C5FD8"/>
    <w:rsid w:val="003C644F"/>
    <w:rsid w:val="003C6544"/>
    <w:rsid w:val="003C6E17"/>
    <w:rsid w:val="003C729C"/>
    <w:rsid w:val="003C7707"/>
    <w:rsid w:val="003D0163"/>
    <w:rsid w:val="003D098C"/>
    <w:rsid w:val="003D0E45"/>
    <w:rsid w:val="003D0FD1"/>
    <w:rsid w:val="003D2156"/>
    <w:rsid w:val="003D252F"/>
    <w:rsid w:val="003D29C0"/>
    <w:rsid w:val="003D327D"/>
    <w:rsid w:val="003D3A8F"/>
    <w:rsid w:val="003D3CE0"/>
    <w:rsid w:val="003D3DE2"/>
    <w:rsid w:val="003D40AB"/>
    <w:rsid w:val="003D6788"/>
    <w:rsid w:val="003D6B7C"/>
    <w:rsid w:val="003D7C25"/>
    <w:rsid w:val="003E150F"/>
    <w:rsid w:val="003E18DD"/>
    <w:rsid w:val="003E1DEF"/>
    <w:rsid w:val="003E267B"/>
    <w:rsid w:val="003E2A13"/>
    <w:rsid w:val="003E2A99"/>
    <w:rsid w:val="003E2BBF"/>
    <w:rsid w:val="003E2CA1"/>
    <w:rsid w:val="003E3001"/>
    <w:rsid w:val="003E3E0B"/>
    <w:rsid w:val="003E4E6C"/>
    <w:rsid w:val="003E5243"/>
    <w:rsid w:val="003E5DFE"/>
    <w:rsid w:val="003E6890"/>
    <w:rsid w:val="003E7707"/>
    <w:rsid w:val="003F0391"/>
    <w:rsid w:val="003F15B5"/>
    <w:rsid w:val="003F5DA8"/>
    <w:rsid w:val="004001BB"/>
    <w:rsid w:val="00400803"/>
    <w:rsid w:val="0040090D"/>
    <w:rsid w:val="00401E1A"/>
    <w:rsid w:val="00403376"/>
    <w:rsid w:val="0040390E"/>
    <w:rsid w:val="00404093"/>
    <w:rsid w:val="004045D4"/>
    <w:rsid w:val="00404626"/>
    <w:rsid w:val="004052EE"/>
    <w:rsid w:val="00405E5B"/>
    <w:rsid w:val="00406144"/>
    <w:rsid w:val="00407122"/>
    <w:rsid w:val="00407E6E"/>
    <w:rsid w:val="00410539"/>
    <w:rsid w:val="00411F43"/>
    <w:rsid w:val="004128B2"/>
    <w:rsid w:val="00412A77"/>
    <w:rsid w:val="00412B61"/>
    <w:rsid w:val="00412CAF"/>
    <w:rsid w:val="0041320C"/>
    <w:rsid w:val="004141F6"/>
    <w:rsid w:val="004145C3"/>
    <w:rsid w:val="004147BF"/>
    <w:rsid w:val="004150EB"/>
    <w:rsid w:val="00415CCD"/>
    <w:rsid w:val="0041619C"/>
    <w:rsid w:val="004177A4"/>
    <w:rsid w:val="00417DAE"/>
    <w:rsid w:val="00420660"/>
    <w:rsid w:val="00421D90"/>
    <w:rsid w:val="004228BA"/>
    <w:rsid w:val="0042383B"/>
    <w:rsid w:val="00423CB7"/>
    <w:rsid w:val="0042564D"/>
    <w:rsid w:val="004263FF"/>
    <w:rsid w:val="004270EB"/>
    <w:rsid w:val="00427EF1"/>
    <w:rsid w:val="004300E1"/>
    <w:rsid w:val="00431270"/>
    <w:rsid w:val="0043173F"/>
    <w:rsid w:val="00431A36"/>
    <w:rsid w:val="004321B9"/>
    <w:rsid w:val="00432975"/>
    <w:rsid w:val="00433EA5"/>
    <w:rsid w:val="0043423B"/>
    <w:rsid w:val="00434671"/>
    <w:rsid w:val="00435978"/>
    <w:rsid w:val="00436033"/>
    <w:rsid w:val="004365A9"/>
    <w:rsid w:val="00436AEE"/>
    <w:rsid w:val="00436E41"/>
    <w:rsid w:val="00436FB1"/>
    <w:rsid w:val="004372C4"/>
    <w:rsid w:val="00437B6A"/>
    <w:rsid w:val="00437CCF"/>
    <w:rsid w:val="00440660"/>
    <w:rsid w:val="00441E5B"/>
    <w:rsid w:val="00444888"/>
    <w:rsid w:val="0044686A"/>
    <w:rsid w:val="00447435"/>
    <w:rsid w:val="004478E3"/>
    <w:rsid w:val="00450ED1"/>
    <w:rsid w:val="004519B0"/>
    <w:rsid w:val="00452A23"/>
    <w:rsid w:val="00452F23"/>
    <w:rsid w:val="0045438C"/>
    <w:rsid w:val="00455840"/>
    <w:rsid w:val="00456029"/>
    <w:rsid w:val="00457C4D"/>
    <w:rsid w:val="00460610"/>
    <w:rsid w:val="00460E5B"/>
    <w:rsid w:val="004617DD"/>
    <w:rsid w:val="0046229A"/>
    <w:rsid w:val="00463D4C"/>
    <w:rsid w:val="0046479E"/>
    <w:rsid w:val="00464915"/>
    <w:rsid w:val="00466948"/>
    <w:rsid w:val="00466C8E"/>
    <w:rsid w:val="004672AB"/>
    <w:rsid w:val="00467734"/>
    <w:rsid w:val="004679D0"/>
    <w:rsid w:val="0047063F"/>
    <w:rsid w:val="00470CD4"/>
    <w:rsid w:val="0047125E"/>
    <w:rsid w:val="00471E3D"/>
    <w:rsid w:val="00473126"/>
    <w:rsid w:val="00473759"/>
    <w:rsid w:val="00473A10"/>
    <w:rsid w:val="0047440D"/>
    <w:rsid w:val="004744C1"/>
    <w:rsid w:val="00474CDD"/>
    <w:rsid w:val="00476D96"/>
    <w:rsid w:val="00477494"/>
    <w:rsid w:val="0047761D"/>
    <w:rsid w:val="00480E7D"/>
    <w:rsid w:val="00482E0B"/>
    <w:rsid w:val="0048366F"/>
    <w:rsid w:val="00483842"/>
    <w:rsid w:val="00483A04"/>
    <w:rsid w:val="00483E74"/>
    <w:rsid w:val="004867AB"/>
    <w:rsid w:val="0048721D"/>
    <w:rsid w:val="0048792B"/>
    <w:rsid w:val="004920C2"/>
    <w:rsid w:val="00492821"/>
    <w:rsid w:val="00493579"/>
    <w:rsid w:val="00493D61"/>
    <w:rsid w:val="00494193"/>
    <w:rsid w:val="00496594"/>
    <w:rsid w:val="00496CC7"/>
    <w:rsid w:val="00497712"/>
    <w:rsid w:val="004A1CE9"/>
    <w:rsid w:val="004A2BDA"/>
    <w:rsid w:val="004A2D28"/>
    <w:rsid w:val="004A6964"/>
    <w:rsid w:val="004B1084"/>
    <w:rsid w:val="004B1430"/>
    <w:rsid w:val="004B255B"/>
    <w:rsid w:val="004B64C7"/>
    <w:rsid w:val="004C0D34"/>
    <w:rsid w:val="004C1329"/>
    <w:rsid w:val="004C277C"/>
    <w:rsid w:val="004C4B7A"/>
    <w:rsid w:val="004C5B85"/>
    <w:rsid w:val="004C61F7"/>
    <w:rsid w:val="004C63EC"/>
    <w:rsid w:val="004C7597"/>
    <w:rsid w:val="004C7AE6"/>
    <w:rsid w:val="004C7C65"/>
    <w:rsid w:val="004C7D2D"/>
    <w:rsid w:val="004D2473"/>
    <w:rsid w:val="004D347B"/>
    <w:rsid w:val="004D354C"/>
    <w:rsid w:val="004D3CF9"/>
    <w:rsid w:val="004D459E"/>
    <w:rsid w:val="004D477C"/>
    <w:rsid w:val="004D6882"/>
    <w:rsid w:val="004D6A1E"/>
    <w:rsid w:val="004D781F"/>
    <w:rsid w:val="004D7B7D"/>
    <w:rsid w:val="004E1415"/>
    <w:rsid w:val="004E147E"/>
    <w:rsid w:val="004E1C42"/>
    <w:rsid w:val="004E3D8F"/>
    <w:rsid w:val="004E48AA"/>
    <w:rsid w:val="004E49EC"/>
    <w:rsid w:val="004E5AB8"/>
    <w:rsid w:val="004E6220"/>
    <w:rsid w:val="004E6C09"/>
    <w:rsid w:val="004E7679"/>
    <w:rsid w:val="004E797A"/>
    <w:rsid w:val="004F0235"/>
    <w:rsid w:val="004F0B5C"/>
    <w:rsid w:val="004F0DEB"/>
    <w:rsid w:val="004F172A"/>
    <w:rsid w:val="004F37D7"/>
    <w:rsid w:val="004F385E"/>
    <w:rsid w:val="004F3D7A"/>
    <w:rsid w:val="004F6313"/>
    <w:rsid w:val="004F6BE5"/>
    <w:rsid w:val="004F74AC"/>
    <w:rsid w:val="00500A11"/>
    <w:rsid w:val="005016AF"/>
    <w:rsid w:val="00502195"/>
    <w:rsid w:val="0050274B"/>
    <w:rsid w:val="00503746"/>
    <w:rsid w:val="005041A2"/>
    <w:rsid w:val="00504751"/>
    <w:rsid w:val="00504B38"/>
    <w:rsid w:val="00505A22"/>
    <w:rsid w:val="00507E74"/>
    <w:rsid w:val="00507FA8"/>
    <w:rsid w:val="00511F71"/>
    <w:rsid w:val="0051285B"/>
    <w:rsid w:val="005129DD"/>
    <w:rsid w:val="00513541"/>
    <w:rsid w:val="00516E0B"/>
    <w:rsid w:val="00517441"/>
    <w:rsid w:val="00517CC8"/>
    <w:rsid w:val="005207C4"/>
    <w:rsid w:val="00521456"/>
    <w:rsid w:val="00521918"/>
    <w:rsid w:val="00521F75"/>
    <w:rsid w:val="00521F8A"/>
    <w:rsid w:val="00522385"/>
    <w:rsid w:val="00522596"/>
    <w:rsid w:val="00523BBE"/>
    <w:rsid w:val="00523C46"/>
    <w:rsid w:val="00523FB5"/>
    <w:rsid w:val="0052465D"/>
    <w:rsid w:val="00524E0A"/>
    <w:rsid w:val="00525CB9"/>
    <w:rsid w:val="005260EF"/>
    <w:rsid w:val="00526DE0"/>
    <w:rsid w:val="00526FAD"/>
    <w:rsid w:val="0052714D"/>
    <w:rsid w:val="005272F9"/>
    <w:rsid w:val="00527BC3"/>
    <w:rsid w:val="0053253D"/>
    <w:rsid w:val="005328CA"/>
    <w:rsid w:val="0053370E"/>
    <w:rsid w:val="005338C5"/>
    <w:rsid w:val="00533C1D"/>
    <w:rsid w:val="00534065"/>
    <w:rsid w:val="00534301"/>
    <w:rsid w:val="00534427"/>
    <w:rsid w:val="0053522F"/>
    <w:rsid w:val="00535BBF"/>
    <w:rsid w:val="005370D9"/>
    <w:rsid w:val="00537DD4"/>
    <w:rsid w:val="0054078A"/>
    <w:rsid w:val="00541D21"/>
    <w:rsid w:val="00541D88"/>
    <w:rsid w:val="005447D6"/>
    <w:rsid w:val="00545004"/>
    <w:rsid w:val="00546E36"/>
    <w:rsid w:val="00547862"/>
    <w:rsid w:val="005500D6"/>
    <w:rsid w:val="005502D3"/>
    <w:rsid w:val="00550D60"/>
    <w:rsid w:val="00550EEE"/>
    <w:rsid w:val="00551192"/>
    <w:rsid w:val="00551237"/>
    <w:rsid w:val="00554F92"/>
    <w:rsid w:val="00555061"/>
    <w:rsid w:val="00555CF8"/>
    <w:rsid w:val="00557631"/>
    <w:rsid w:val="00560DC9"/>
    <w:rsid w:val="00561558"/>
    <w:rsid w:val="0056271D"/>
    <w:rsid w:val="0056425A"/>
    <w:rsid w:val="00564A2F"/>
    <w:rsid w:val="005662ED"/>
    <w:rsid w:val="005671B3"/>
    <w:rsid w:val="00570935"/>
    <w:rsid w:val="00571C9A"/>
    <w:rsid w:val="00571EC8"/>
    <w:rsid w:val="00572CF0"/>
    <w:rsid w:val="00572EC6"/>
    <w:rsid w:val="005737DC"/>
    <w:rsid w:val="00573B76"/>
    <w:rsid w:val="005766DD"/>
    <w:rsid w:val="005770EA"/>
    <w:rsid w:val="00577D7B"/>
    <w:rsid w:val="00577E8B"/>
    <w:rsid w:val="00580F83"/>
    <w:rsid w:val="005814B1"/>
    <w:rsid w:val="00582519"/>
    <w:rsid w:val="005825D2"/>
    <w:rsid w:val="005829E8"/>
    <w:rsid w:val="005830B8"/>
    <w:rsid w:val="0058352F"/>
    <w:rsid w:val="00583BE4"/>
    <w:rsid w:val="00583CA1"/>
    <w:rsid w:val="005867C7"/>
    <w:rsid w:val="00586BE4"/>
    <w:rsid w:val="00586E3D"/>
    <w:rsid w:val="00587FB2"/>
    <w:rsid w:val="005907A1"/>
    <w:rsid w:val="00590EA7"/>
    <w:rsid w:val="005926F2"/>
    <w:rsid w:val="005948E0"/>
    <w:rsid w:val="00595A16"/>
    <w:rsid w:val="005964A0"/>
    <w:rsid w:val="005964D5"/>
    <w:rsid w:val="00596ABA"/>
    <w:rsid w:val="00596E6A"/>
    <w:rsid w:val="005A06F3"/>
    <w:rsid w:val="005A1BE8"/>
    <w:rsid w:val="005A2B23"/>
    <w:rsid w:val="005A3741"/>
    <w:rsid w:val="005A3ADF"/>
    <w:rsid w:val="005A4DCE"/>
    <w:rsid w:val="005A5D9B"/>
    <w:rsid w:val="005A685D"/>
    <w:rsid w:val="005A7A80"/>
    <w:rsid w:val="005A7B4D"/>
    <w:rsid w:val="005B10AA"/>
    <w:rsid w:val="005B29BF"/>
    <w:rsid w:val="005B3188"/>
    <w:rsid w:val="005B35AF"/>
    <w:rsid w:val="005B377F"/>
    <w:rsid w:val="005B40AE"/>
    <w:rsid w:val="005B5C11"/>
    <w:rsid w:val="005B5D28"/>
    <w:rsid w:val="005B5E29"/>
    <w:rsid w:val="005B652F"/>
    <w:rsid w:val="005B772B"/>
    <w:rsid w:val="005B799E"/>
    <w:rsid w:val="005B7C08"/>
    <w:rsid w:val="005C072A"/>
    <w:rsid w:val="005C11AE"/>
    <w:rsid w:val="005C1976"/>
    <w:rsid w:val="005C2182"/>
    <w:rsid w:val="005C3586"/>
    <w:rsid w:val="005C3E9B"/>
    <w:rsid w:val="005C4683"/>
    <w:rsid w:val="005C565D"/>
    <w:rsid w:val="005C5E30"/>
    <w:rsid w:val="005C6130"/>
    <w:rsid w:val="005C6476"/>
    <w:rsid w:val="005C69B2"/>
    <w:rsid w:val="005C7206"/>
    <w:rsid w:val="005C75B3"/>
    <w:rsid w:val="005D14A9"/>
    <w:rsid w:val="005D1C6D"/>
    <w:rsid w:val="005D2805"/>
    <w:rsid w:val="005D2B59"/>
    <w:rsid w:val="005D498D"/>
    <w:rsid w:val="005D4BB2"/>
    <w:rsid w:val="005D5264"/>
    <w:rsid w:val="005D68CA"/>
    <w:rsid w:val="005D70F7"/>
    <w:rsid w:val="005D736B"/>
    <w:rsid w:val="005D755E"/>
    <w:rsid w:val="005D7FD5"/>
    <w:rsid w:val="005E0A6C"/>
    <w:rsid w:val="005E1180"/>
    <w:rsid w:val="005E219B"/>
    <w:rsid w:val="005E3EF1"/>
    <w:rsid w:val="005E424E"/>
    <w:rsid w:val="005F24AE"/>
    <w:rsid w:val="005F29DF"/>
    <w:rsid w:val="005F3135"/>
    <w:rsid w:val="005F3B74"/>
    <w:rsid w:val="005F4D09"/>
    <w:rsid w:val="005F501E"/>
    <w:rsid w:val="005F544A"/>
    <w:rsid w:val="005F583B"/>
    <w:rsid w:val="006003D1"/>
    <w:rsid w:val="006016A6"/>
    <w:rsid w:val="00601AD4"/>
    <w:rsid w:val="00602D30"/>
    <w:rsid w:val="00603A04"/>
    <w:rsid w:val="00604547"/>
    <w:rsid w:val="006049FA"/>
    <w:rsid w:val="00605E96"/>
    <w:rsid w:val="006062AD"/>
    <w:rsid w:val="00606EF0"/>
    <w:rsid w:val="00607A1B"/>
    <w:rsid w:val="00610A4F"/>
    <w:rsid w:val="00613B2C"/>
    <w:rsid w:val="00616706"/>
    <w:rsid w:val="00616FB3"/>
    <w:rsid w:val="0061735F"/>
    <w:rsid w:val="00617BC4"/>
    <w:rsid w:val="00622F42"/>
    <w:rsid w:val="0062407C"/>
    <w:rsid w:val="00625525"/>
    <w:rsid w:val="00627479"/>
    <w:rsid w:val="006305CE"/>
    <w:rsid w:val="00631E4B"/>
    <w:rsid w:val="00632F44"/>
    <w:rsid w:val="006337D3"/>
    <w:rsid w:val="0063408F"/>
    <w:rsid w:val="00634479"/>
    <w:rsid w:val="00634BDD"/>
    <w:rsid w:val="00634C20"/>
    <w:rsid w:val="00635D11"/>
    <w:rsid w:val="0063635E"/>
    <w:rsid w:val="006365AB"/>
    <w:rsid w:val="006365FA"/>
    <w:rsid w:val="006405C2"/>
    <w:rsid w:val="006418E1"/>
    <w:rsid w:val="00641B72"/>
    <w:rsid w:val="00643ADE"/>
    <w:rsid w:val="00647689"/>
    <w:rsid w:val="00647AF8"/>
    <w:rsid w:val="00647FCD"/>
    <w:rsid w:val="00650060"/>
    <w:rsid w:val="00652096"/>
    <w:rsid w:val="00654172"/>
    <w:rsid w:val="006547EA"/>
    <w:rsid w:val="006559C5"/>
    <w:rsid w:val="00655F30"/>
    <w:rsid w:val="00656837"/>
    <w:rsid w:val="00656F6B"/>
    <w:rsid w:val="006578A9"/>
    <w:rsid w:val="006610E8"/>
    <w:rsid w:val="00661B82"/>
    <w:rsid w:val="00662638"/>
    <w:rsid w:val="00662753"/>
    <w:rsid w:val="00664385"/>
    <w:rsid w:val="006643B9"/>
    <w:rsid w:val="00664846"/>
    <w:rsid w:val="006648B8"/>
    <w:rsid w:val="00666A49"/>
    <w:rsid w:val="00666BBD"/>
    <w:rsid w:val="0066712D"/>
    <w:rsid w:val="0066717B"/>
    <w:rsid w:val="00667A14"/>
    <w:rsid w:val="00670290"/>
    <w:rsid w:val="006703D3"/>
    <w:rsid w:val="00671016"/>
    <w:rsid w:val="00671530"/>
    <w:rsid w:val="0067184E"/>
    <w:rsid w:val="00671913"/>
    <w:rsid w:val="0067199C"/>
    <w:rsid w:val="00671E89"/>
    <w:rsid w:val="006720A4"/>
    <w:rsid w:val="00672719"/>
    <w:rsid w:val="00672C8A"/>
    <w:rsid w:val="006739D2"/>
    <w:rsid w:val="0067473C"/>
    <w:rsid w:val="00674767"/>
    <w:rsid w:val="00675395"/>
    <w:rsid w:val="00675BB2"/>
    <w:rsid w:val="00676149"/>
    <w:rsid w:val="0067695B"/>
    <w:rsid w:val="0067725F"/>
    <w:rsid w:val="006801E5"/>
    <w:rsid w:val="00680BF9"/>
    <w:rsid w:val="0068190D"/>
    <w:rsid w:val="00682410"/>
    <w:rsid w:val="00682C79"/>
    <w:rsid w:val="00683A5B"/>
    <w:rsid w:val="00683AEB"/>
    <w:rsid w:val="006847AA"/>
    <w:rsid w:val="0068617F"/>
    <w:rsid w:val="00686326"/>
    <w:rsid w:val="0068688B"/>
    <w:rsid w:val="006877A9"/>
    <w:rsid w:val="006910D0"/>
    <w:rsid w:val="0069118B"/>
    <w:rsid w:val="00691C6F"/>
    <w:rsid w:val="006920CB"/>
    <w:rsid w:val="00692532"/>
    <w:rsid w:val="00692B43"/>
    <w:rsid w:val="0069304F"/>
    <w:rsid w:val="00693C1F"/>
    <w:rsid w:val="00693CF7"/>
    <w:rsid w:val="00693D35"/>
    <w:rsid w:val="0069470C"/>
    <w:rsid w:val="0069491C"/>
    <w:rsid w:val="00695A4A"/>
    <w:rsid w:val="00695BDF"/>
    <w:rsid w:val="00695F60"/>
    <w:rsid w:val="006967D8"/>
    <w:rsid w:val="00696871"/>
    <w:rsid w:val="00696B64"/>
    <w:rsid w:val="006A0099"/>
    <w:rsid w:val="006A0521"/>
    <w:rsid w:val="006A08F7"/>
    <w:rsid w:val="006A0C43"/>
    <w:rsid w:val="006A1B0E"/>
    <w:rsid w:val="006A4789"/>
    <w:rsid w:val="006A4D11"/>
    <w:rsid w:val="006A5C6F"/>
    <w:rsid w:val="006A5EF9"/>
    <w:rsid w:val="006A62EA"/>
    <w:rsid w:val="006B14AD"/>
    <w:rsid w:val="006B17E5"/>
    <w:rsid w:val="006B1E62"/>
    <w:rsid w:val="006B2DAB"/>
    <w:rsid w:val="006B3185"/>
    <w:rsid w:val="006B43FF"/>
    <w:rsid w:val="006B50F2"/>
    <w:rsid w:val="006B52FA"/>
    <w:rsid w:val="006B5A97"/>
    <w:rsid w:val="006B5EE6"/>
    <w:rsid w:val="006B73ED"/>
    <w:rsid w:val="006B76B9"/>
    <w:rsid w:val="006B7C43"/>
    <w:rsid w:val="006C074C"/>
    <w:rsid w:val="006C0C7F"/>
    <w:rsid w:val="006C5635"/>
    <w:rsid w:val="006C65D0"/>
    <w:rsid w:val="006C6C90"/>
    <w:rsid w:val="006C6DD9"/>
    <w:rsid w:val="006C6E36"/>
    <w:rsid w:val="006D03FF"/>
    <w:rsid w:val="006D1C66"/>
    <w:rsid w:val="006D217F"/>
    <w:rsid w:val="006D24E2"/>
    <w:rsid w:val="006D2BF8"/>
    <w:rsid w:val="006D435A"/>
    <w:rsid w:val="006D47C8"/>
    <w:rsid w:val="006D4D38"/>
    <w:rsid w:val="006D4FC4"/>
    <w:rsid w:val="006D59D8"/>
    <w:rsid w:val="006E09EA"/>
    <w:rsid w:val="006E0FFE"/>
    <w:rsid w:val="006E1D63"/>
    <w:rsid w:val="006E1FCE"/>
    <w:rsid w:val="006E3C61"/>
    <w:rsid w:val="006E4010"/>
    <w:rsid w:val="006E485D"/>
    <w:rsid w:val="006E513A"/>
    <w:rsid w:val="006E6D75"/>
    <w:rsid w:val="006E7116"/>
    <w:rsid w:val="006E7476"/>
    <w:rsid w:val="006F08E5"/>
    <w:rsid w:val="006F2F17"/>
    <w:rsid w:val="006F3599"/>
    <w:rsid w:val="006F4256"/>
    <w:rsid w:val="006F45B7"/>
    <w:rsid w:val="006F4ACA"/>
    <w:rsid w:val="006F4EFE"/>
    <w:rsid w:val="006F6060"/>
    <w:rsid w:val="006F668F"/>
    <w:rsid w:val="006F70ED"/>
    <w:rsid w:val="006F7B14"/>
    <w:rsid w:val="0070085E"/>
    <w:rsid w:val="007033BB"/>
    <w:rsid w:val="007042B2"/>
    <w:rsid w:val="00704776"/>
    <w:rsid w:val="00704D86"/>
    <w:rsid w:val="00710C1D"/>
    <w:rsid w:val="0071178D"/>
    <w:rsid w:val="00712BCF"/>
    <w:rsid w:val="00712D34"/>
    <w:rsid w:val="007131A9"/>
    <w:rsid w:val="00713B2A"/>
    <w:rsid w:val="00713EC6"/>
    <w:rsid w:val="00715669"/>
    <w:rsid w:val="0071572F"/>
    <w:rsid w:val="00716A65"/>
    <w:rsid w:val="0071750E"/>
    <w:rsid w:val="00720285"/>
    <w:rsid w:val="00720355"/>
    <w:rsid w:val="00721503"/>
    <w:rsid w:val="00722FB7"/>
    <w:rsid w:val="00723423"/>
    <w:rsid w:val="00723E72"/>
    <w:rsid w:val="00724F59"/>
    <w:rsid w:val="00726AAA"/>
    <w:rsid w:val="007279F5"/>
    <w:rsid w:val="00727A42"/>
    <w:rsid w:val="00731021"/>
    <w:rsid w:val="00731A75"/>
    <w:rsid w:val="00732B23"/>
    <w:rsid w:val="00732D3D"/>
    <w:rsid w:val="00732D46"/>
    <w:rsid w:val="00734BA3"/>
    <w:rsid w:val="00735D7C"/>
    <w:rsid w:val="007361D7"/>
    <w:rsid w:val="007365A0"/>
    <w:rsid w:val="00736B67"/>
    <w:rsid w:val="0073740D"/>
    <w:rsid w:val="00737534"/>
    <w:rsid w:val="00737930"/>
    <w:rsid w:val="00740396"/>
    <w:rsid w:val="007415F2"/>
    <w:rsid w:val="00742629"/>
    <w:rsid w:val="007429F2"/>
    <w:rsid w:val="00743C50"/>
    <w:rsid w:val="007443EF"/>
    <w:rsid w:val="00745AFB"/>
    <w:rsid w:val="00746164"/>
    <w:rsid w:val="00746B98"/>
    <w:rsid w:val="00746DA0"/>
    <w:rsid w:val="00747A5D"/>
    <w:rsid w:val="00747D16"/>
    <w:rsid w:val="00753243"/>
    <w:rsid w:val="00753610"/>
    <w:rsid w:val="0075390D"/>
    <w:rsid w:val="00753ABD"/>
    <w:rsid w:val="007543DE"/>
    <w:rsid w:val="007565E7"/>
    <w:rsid w:val="00756D8C"/>
    <w:rsid w:val="00757A82"/>
    <w:rsid w:val="007610B5"/>
    <w:rsid w:val="00761198"/>
    <w:rsid w:val="00761A7B"/>
    <w:rsid w:val="00762E39"/>
    <w:rsid w:val="00763409"/>
    <w:rsid w:val="00764214"/>
    <w:rsid w:val="00765D2F"/>
    <w:rsid w:val="007668B5"/>
    <w:rsid w:val="0077075F"/>
    <w:rsid w:val="007710FB"/>
    <w:rsid w:val="00771511"/>
    <w:rsid w:val="00771753"/>
    <w:rsid w:val="00771AAB"/>
    <w:rsid w:val="00771E22"/>
    <w:rsid w:val="00772258"/>
    <w:rsid w:val="00772349"/>
    <w:rsid w:val="00772F91"/>
    <w:rsid w:val="00773AFC"/>
    <w:rsid w:val="00774C60"/>
    <w:rsid w:val="007754A2"/>
    <w:rsid w:val="00775DC7"/>
    <w:rsid w:val="00775F04"/>
    <w:rsid w:val="00776C6F"/>
    <w:rsid w:val="00777EF2"/>
    <w:rsid w:val="007810D3"/>
    <w:rsid w:val="00781E3E"/>
    <w:rsid w:val="00782663"/>
    <w:rsid w:val="00783407"/>
    <w:rsid w:val="0078497E"/>
    <w:rsid w:val="00784D1B"/>
    <w:rsid w:val="0078552F"/>
    <w:rsid w:val="00785814"/>
    <w:rsid w:val="007862F9"/>
    <w:rsid w:val="00786558"/>
    <w:rsid w:val="00786913"/>
    <w:rsid w:val="00786BCD"/>
    <w:rsid w:val="0079062E"/>
    <w:rsid w:val="00790860"/>
    <w:rsid w:val="00790D0E"/>
    <w:rsid w:val="0079183D"/>
    <w:rsid w:val="00791BA5"/>
    <w:rsid w:val="00792B5C"/>
    <w:rsid w:val="00795925"/>
    <w:rsid w:val="00796920"/>
    <w:rsid w:val="00796A2A"/>
    <w:rsid w:val="007A0717"/>
    <w:rsid w:val="007A0D27"/>
    <w:rsid w:val="007A1517"/>
    <w:rsid w:val="007A1685"/>
    <w:rsid w:val="007A1C4B"/>
    <w:rsid w:val="007A2188"/>
    <w:rsid w:val="007A79D4"/>
    <w:rsid w:val="007B0B32"/>
    <w:rsid w:val="007B0DA7"/>
    <w:rsid w:val="007B1C29"/>
    <w:rsid w:val="007B2FE2"/>
    <w:rsid w:val="007B4082"/>
    <w:rsid w:val="007B6167"/>
    <w:rsid w:val="007B63CF"/>
    <w:rsid w:val="007B6FB3"/>
    <w:rsid w:val="007B7281"/>
    <w:rsid w:val="007B7CA3"/>
    <w:rsid w:val="007C0A10"/>
    <w:rsid w:val="007C0E11"/>
    <w:rsid w:val="007C1F39"/>
    <w:rsid w:val="007C29FC"/>
    <w:rsid w:val="007C2C22"/>
    <w:rsid w:val="007C3A59"/>
    <w:rsid w:val="007C4FB1"/>
    <w:rsid w:val="007C7191"/>
    <w:rsid w:val="007C759A"/>
    <w:rsid w:val="007D0BC7"/>
    <w:rsid w:val="007D0E82"/>
    <w:rsid w:val="007D2050"/>
    <w:rsid w:val="007D210C"/>
    <w:rsid w:val="007D2F2F"/>
    <w:rsid w:val="007D4030"/>
    <w:rsid w:val="007D46E9"/>
    <w:rsid w:val="007D5D66"/>
    <w:rsid w:val="007D61B6"/>
    <w:rsid w:val="007D675B"/>
    <w:rsid w:val="007E05A2"/>
    <w:rsid w:val="007E084E"/>
    <w:rsid w:val="007E140A"/>
    <w:rsid w:val="007E1A57"/>
    <w:rsid w:val="007E35BD"/>
    <w:rsid w:val="007E46D9"/>
    <w:rsid w:val="007E4882"/>
    <w:rsid w:val="007E4C1A"/>
    <w:rsid w:val="007E5C2F"/>
    <w:rsid w:val="007E758F"/>
    <w:rsid w:val="007E763F"/>
    <w:rsid w:val="007F07C1"/>
    <w:rsid w:val="007F1428"/>
    <w:rsid w:val="007F235A"/>
    <w:rsid w:val="007F2FE3"/>
    <w:rsid w:val="007F351F"/>
    <w:rsid w:val="007F4271"/>
    <w:rsid w:val="007F48C7"/>
    <w:rsid w:val="007F6129"/>
    <w:rsid w:val="007F712D"/>
    <w:rsid w:val="007F71E4"/>
    <w:rsid w:val="007F74A1"/>
    <w:rsid w:val="007F7D07"/>
    <w:rsid w:val="007F7D6E"/>
    <w:rsid w:val="008034E4"/>
    <w:rsid w:val="0080521A"/>
    <w:rsid w:val="008059EB"/>
    <w:rsid w:val="00807EDD"/>
    <w:rsid w:val="008108AF"/>
    <w:rsid w:val="0081151C"/>
    <w:rsid w:val="00811850"/>
    <w:rsid w:val="00812D4C"/>
    <w:rsid w:val="00812DD1"/>
    <w:rsid w:val="00813FD5"/>
    <w:rsid w:val="00814400"/>
    <w:rsid w:val="00815DD9"/>
    <w:rsid w:val="0081715C"/>
    <w:rsid w:val="00817CC5"/>
    <w:rsid w:val="0082106A"/>
    <w:rsid w:val="00821568"/>
    <w:rsid w:val="00821E10"/>
    <w:rsid w:val="00822434"/>
    <w:rsid w:val="00822872"/>
    <w:rsid w:val="008230A1"/>
    <w:rsid w:val="00823DA4"/>
    <w:rsid w:val="00825267"/>
    <w:rsid w:val="00825C60"/>
    <w:rsid w:val="00827E45"/>
    <w:rsid w:val="00830110"/>
    <w:rsid w:val="0083065B"/>
    <w:rsid w:val="008323FA"/>
    <w:rsid w:val="00832676"/>
    <w:rsid w:val="0083690D"/>
    <w:rsid w:val="008375F3"/>
    <w:rsid w:val="00837BC6"/>
    <w:rsid w:val="00840235"/>
    <w:rsid w:val="008407B7"/>
    <w:rsid w:val="008411CC"/>
    <w:rsid w:val="00841F05"/>
    <w:rsid w:val="00843246"/>
    <w:rsid w:val="0084334B"/>
    <w:rsid w:val="0084335D"/>
    <w:rsid w:val="00844144"/>
    <w:rsid w:val="0084435A"/>
    <w:rsid w:val="00845C51"/>
    <w:rsid w:val="00847921"/>
    <w:rsid w:val="0085076C"/>
    <w:rsid w:val="00850B12"/>
    <w:rsid w:val="00851AEC"/>
    <w:rsid w:val="0085283D"/>
    <w:rsid w:val="008528F3"/>
    <w:rsid w:val="008529FF"/>
    <w:rsid w:val="00852DD8"/>
    <w:rsid w:val="00852E1E"/>
    <w:rsid w:val="00853346"/>
    <w:rsid w:val="0085537E"/>
    <w:rsid w:val="008562DE"/>
    <w:rsid w:val="00856992"/>
    <w:rsid w:val="00856D7A"/>
    <w:rsid w:val="00860D37"/>
    <w:rsid w:val="00863B44"/>
    <w:rsid w:val="00865B1F"/>
    <w:rsid w:val="00865B3B"/>
    <w:rsid w:val="00866C15"/>
    <w:rsid w:val="00867A1A"/>
    <w:rsid w:val="008704DE"/>
    <w:rsid w:val="0087056A"/>
    <w:rsid w:val="00870AD2"/>
    <w:rsid w:val="008713D4"/>
    <w:rsid w:val="00871617"/>
    <w:rsid w:val="00871AA8"/>
    <w:rsid w:val="008738CB"/>
    <w:rsid w:val="00873BE0"/>
    <w:rsid w:val="00874A7F"/>
    <w:rsid w:val="00875656"/>
    <w:rsid w:val="00875BA6"/>
    <w:rsid w:val="008760FD"/>
    <w:rsid w:val="00877364"/>
    <w:rsid w:val="00877868"/>
    <w:rsid w:val="00877FE9"/>
    <w:rsid w:val="008808B4"/>
    <w:rsid w:val="00884937"/>
    <w:rsid w:val="00884C70"/>
    <w:rsid w:val="00884E29"/>
    <w:rsid w:val="00885002"/>
    <w:rsid w:val="0088553D"/>
    <w:rsid w:val="00885CBA"/>
    <w:rsid w:val="00886C04"/>
    <w:rsid w:val="00886F44"/>
    <w:rsid w:val="008876F9"/>
    <w:rsid w:val="0089013B"/>
    <w:rsid w:val="00891D23"/>
    <w:rsid w:val="00892F9F"/>
    <w:rsid w:val="008952D6"/>
    <w:rsid w:val="0089705F"/>
    <w:rsid w:val="008974BD"/>
    <w:rsid w:val="00897700"/>
    <w:rsid w:val="008A0E1B"/>
    <w:rsid w:val="008A0E3E"/>
    <w:rsid w:val="008A2097"/>
    <w:rsid w:val="008A3CFB"/>
    <w:rsid w:val="008A4375"/>
    <w:rsid w:val="008A492B"/>
    <w:rsid w:val="008A4D62"/>
    <w:rsid w:val="008A5C96"/>
    <w:rsid w:val="008A6A51"/>
    <w:rsid w:val="008B005D"/>
    <w:rsid w:val="008B0690"/>
    <w:rsid w:val="008B0A8D"/>
    <w:rsid w:val="008B1361"/>
    <w:rsid w:val="008B18D4"/>
    <w:rsid w:val="008B2057"/>
    <w:rsid w:val="008B26B0"/>
    <w:rsid w:val="008B3185"/>
    <w:rsid w:val="008B3A0A"/>
    <w:rsid w:val="008B3D1E"/>
    <w:rsid w:val="008B473B"/>
    <w:rsid w:val="008B516D"/>
    <w:rsid w:val="008B67ED"/>
    <w:rsid w:val="008B71F2"/>
    <w:rsid w:val="008C09F7"/>
    <w:rsid w:val="008C0E5A"/>
    <w:rsid w:val="008C1C45"/>
    <w:rsid w:val="008C2726"/>
    <w:rsid w:val="008C35EC"/>
    <w:rsid w:val="008C3D73"/>
    <w:rsid w:val="008C65C6"/>
    <w:rsid w:val="008C72F7"/>
    <w:rsid w:val="008C7747"/>
    <w:rsid w:val="008C78E6"/>
    <w:rsid w:val="008C7BDE"/>
    <w:rsid w:val="008D003F"/>
    <w:rsid w:val="008D06B2"/>
    <w:rsid w:val="008D0926"/>
    <w:rsid w:val="008D2305"/>
    <w:rsid w:val="008D4088"/>
    <w:rsid w:val="008D40BE"/>
    <w:rsid w:val="008D413A"/>
    <w:rsid w:val="008D4DC7"/>
    <w:rsid w:val="008D6C15"/>
    <w:rsid w:val="008E0430"/>
    <w:rsid w:val="008E135F"/>
    <w:rsid w:val="008E2B75"/>
    <w:rsid w:val="008E3F9E"/>
    <w:rsid w:val="008E4486"/>
    <w:rsid w:val="008E5C46"/>
    <w:rsid w:val="008E5D84"/>
    <w:rsid w:val="008E61F0"/>
    <w:rsid w:val="008E621D"/>
    <w:rsid w:val="008E6554"/>
    <w:rsid w:val="008E693C"/>
    <w:rsid w:val="008E6D5E"/>
    <w:rsid w:val="008E74EA"/>
    <w:rsid w:val="008E7FE9"/>
    <w:rsid w:val="008F2373"/>
    <w:rsid w:val="008F2B59"/>
    <w:rsid w:val="008F31F4"/>
    <w:rsid w:val="008F32A2"/>
    <w:rsid w:val="008F3438"/>
    <w:rsid w:val="008F356F"/>
    <w:rsid w:val="008F37D0"/>
    <w:rsid w:val="008F3E53"/>
    <w:rsid w:val="008F5D99"/>
    <w:rsid w:val="008F6110"/>
    <w:rsid w:val="008F6155"/>
    <w:rsid w:val="008F61CD"/>
    <w:rsid w:val="008F6223"/>
    <w:rsid w:val="008F7C65"/>
    <w:rsid w:val="0090053D"/>
    <w:rsid w:val="00900928"/>
    <w:rsid w:val="0090179E"/>
    <w:rsid w:val="00901D71"/>
    <w:rsid w:val="0090623F"/>
    <w:rsid w:val="00907830"/>
    <w:rsid w:val="00907FA2"/>
    <w:rsid w:val="0091186C"/>
    <w:rsid w:val="009127BE"/>
    <w:rsid w:val="009151DB"/>
    <w:rsid w:val="00915C6D"/>
    <w:rsid w:val="00915FE6"/>
    <w:rsid w:val="00921C1A"/>
    <w:rsid w:val="00921D13"/>
    <w:rsid w:val="00922D6B"/>
    <w:rsid w:val="009230FF"/>
    <w:rsid w:val="00923115"/>
    <w:rsid w:val="009234A7"/>
    <w:rsid w:val="00923D7F"/>
    <w:rsid w:val="0092476C"/>
    <w:rsid w:val="00924965"/>
    <w:rsid w:val="00926693"/>
    <w:rsid w:val="00930926"/>
    <w:rsid w:val="00930E3A"/>
    <w:rsid w:val="009315DE"/>
    <w:rsid w:val="00932273"/>
    <w:rsid w:val="00932593"/>
    <w:rsid w:val="00932BBF"/>
    <w:rsid w:val="009348AD"/>
    <w:rsid w:val="00935431"/>
    <w:rsid w:val="00936156"/>
    <w:rsid w:val="009409FB"/>
    <w:rsid w:val="00941388"/>
    <w:rsid w:val="009415D3"/>
    <w:rsid w:val="009427AD"/>
    <w:rsid w:val="009429B0"/>
    <w:rsid w:val="009435EF"/>
    <w:rsid w:val="00945C1E"/>
    <w:rsid w:val="00945F2A"/>
    <w:rsid w:val="00945F4D"/>
    <w:rsid w:val="00946CE2"/>
    <w:rsid w:val="00947859"/>
    <w:rsid w:val="00947FD6"/>
    <w:rsid w:val="0095057D"/>
    <w:rsid w:val="00951F80"/>
    <w:rsid w:val="00953683"/>
    <w:rsid w:val="00953C65"/>
    <w:rsid w:val="00953E6C"/>
    <w:rsid w:val="00953E94"/>
    <w:rsid w:val="009555B4"/>
    <w:rsid w:val="00955F51"/>
    <w:rsid w:val="009563A9"/>
    <w:rsid w:val="009563F8"/>
    <w:rsid w:val="0095684E"/>
    <w:rsid w:val="00956952"/>
    <w:rsid w:val="00956C0C"/>
    <w:rsid w:val="00957D7D"/>
    <w:rsid w:val="00957DD5"/>
    <w:rsid w:val="0096016C"/>
    <w:rsid w:val="009608EA"/>
    <w:rsid w:val="00961E22"/>
    <w:rsid w:val="009622B3"/>
    <w:rsid w:val="009622EA"/>
    <w:rsid w:val="0096258F"/>
    <w:rsid w:val="00962E2D"/>
    <w:rsid w:val="00963610"/>
    <w:rsid w:val="00963EE2"/>
    <w:rsid w:val="00964A2D"/>
    <w:rsid w:val="009654DF"/>
    <w:rsid w:val="0096593E"/>
    <w:rsid w:val="00965A5A"/>
    <w:rsid w:val="00965D17"/>
    <w:rsid w:val="00966CDD"/>
    <w:rsid w:val="00967591"/>
    <w:rsid w:val="00967A9A"/>
    <w:rsid w:val="009703B3"/>
    <w:rsid w:val="009705AC"/>
    <w:rsid w:val="00973237"/>
    <w:rsid w:val="009735E8"/>
    <w:rsid w:val="00974014"/>
    <w:rsid w:val="0097582C"/>
    <w:rsid w:val="00981602"/>
    <w:rsid w:val="00982E44"/>
    <w:rsid w:val="00983103"/>
    <w:rsid w:val="00984D51"/>
    <w:rsid w:val="00985C4B"/>
    <w:rsid w:val="00986B23"/>
    <w:rsid w:val="009873C6"/>
    <w:rsid w:val="009876D6"/>
    <w:rsid w:val="0099007D"/>
    <w:rsid w:val="009904AC"/>
    <w:rsid w:val="009917F6"/>
    <w:rsid w:val="00991DEF"/>
    <w:rsid w:val="00991E29"/>
    <w:rsid w:val="0099447B"/>
    <w:rsid w:val="00994A6F"/>
    <w:rsid w:val="009966B8"/>
    <w:rsid w:val="009A01EB"/>
    <w:rsid w:val="009A111A"/>
    <w:rsid w:val="009A1203"/>
    <w:rsid w:val="009A1CA9"/>
    <w:rsid w:val="009A2B69"/>
    <w:rsid w:val="009A3688"/>
    <w:rsid w:val="009A5697"/>
    <w:rsid w:val="009A5CB9"/>
    <w:rsid w:val="009A799F"/>
    <w:rsid w:val="009B09B5"/>
    <w:rsid w:val="009B0BA4"/>
    <w:rsid w:val="009B2852"/>
    <w:rsid w:val="009B36A2"/>
    <w:rsid w:val="009B3991"/>
    <w:rsid w:val="009B3AA7"/>
    <w:rsid w:val="009B5584"/>
    <w:rsid w:val="009B5667"/>
    <w:rsid w:val="009B57D1"/>
    <w:rsid w:val="009B7058"/>
    <w:rsid w:val="009C0442"/>
    <w:rsid w:val="009C0E21"/>
    <w:rsid w:val="009C12EF"/>
    <w:rsid w:val="009C181C"/>
    <w:rsid w:val="009C3567"/>
    <w:rsid w:val="009C3C49"/>
    <w:rsid w:val="009C535C"/>
    <w:rsid w:val="009C5A16"/>
    <w:rsid w:val="009C5FAC"/>
    <w:rsid w:val="009C6DEA"/>
    <w:rsid w:val="009C7C64"/>
    <w:rsid w:val="009D24F9"/>
    <w:rsid w:val="009D298E"/>
    <w:rsid w:val="009D2E2C"/>
    <w:rsid w:val="009D2E33"/>
    <w:rsid w:val="009D311F"/>
    <w:rsid w:val="009D459E"/>
    <w:rsid w:val="009D4E03"/>
    <w:rsid w:val="009D5C27"/>
    <w:rsid w:val="009D6F8A"/>
    <w:rsid w:val="009D799F"/>
    <w:rsid w:val="009D7F74"/>
    <w:rsid w:val="009D7F79"/>
    <w:rsid w:val="009E06D9"/>
    <w:rsid w:val="009E24BD"/>
    <w:rsid w:val="009E26B6"/>
    <w:rsid w:val="009E2E4B"/>
    <w:rsid w:val="009E3538"/>
    <w:rsid w:val="009E4008"/>
    <w:rsid w:val="009E49FF"/>
    <w:rsid w:val="009E5FCD"/>
    <w:rsid w:val="009F0F2D"/>
    <w:rsid w:val="009F186F"/>
    <w:rsid w:val="009F1A04"/>
    <w:rsid w:val="009F2E1D"/>
    <w:rsid w:val="009F2EA4"/>
    <w:rsid w:val="009F4264"/>
    <w:rsid w:val="009F5C8E"/>
    <w:rsid w:val="009F7898"/>
    <w:rsid w:val="00A0031D"/>
    <w:rsid w:val="00A015C3"/>
    <w:rsid w:val="00A01824"/>
    <w:rsid w:val="00A0256C"/>
    <w:rsid w:val="00A02BBD"/>
    <w:rsid w:val="00A04081"/>
    <w:rsid w:val="00A04979"/>
    <w:rsid w:val="00A0610D"/>
    <w:rsid w:val="00A064E5"/>
    <w:rsid w:val="00A07A89"/>
    <w:rsid w:val="00A07EFA"/>
    <w:rsid w:val="00A1009E"/>
    <w:rsid w:val="00A10183"/>
    <w:rsid w:val="00A10867"/>
    <w:rsid w:val="00A12DEB"/>
    <w:rsid w:val="00A143CC"/>
    <w:rsid w:val="00A15466"/>
    <w:rsid w:val="00A15717"/>
    <w:rsid w:val="00A16358"/>
    <w:rsid w:val="00A16376"/>
    <w:rsid w:val="00A1651E"/>
    <w:rsid w:val="00A20742"/>
    <w:rsid w:val="00A22360"/>
    <w:rsid w:val="00A22A60"/>
    <w:rsid w:val="00A2458C"/>
    <w:rsid w:val="00A24CA5"/>
    <w:rsid w:val="00A250A8"/>
    <w:rsid w:val="00A2647E"/>
    <w:rsid w:val="00A264F8"/>
    <w:rsid w:val="00A2758A"/>
    <w:rsid w:val="00A27D51"/>
    <w:rsid w:val="00A31090"/>
    <w:rsid w:val="00A3140E"/>
    <w:rsid w:val="00A31F93"/>
    <w:rsid w:val="00A3265E"/>
    <w:rsid w:val="00A328BE"/>
    <w:rsid w:val="00A3420A"/>
    <w:rsid w:val="00A357E7"/>
    <w:rsid w:val="00A378E0"/>
    <w:rsid w:val="00A37BAB"/>
    <w:rsid w:val="00A37E3E"/>
    <w:rsid w:val="00A400CE"/>
    <w:rsid w:val="00A418BD"/>
    <w:rsid w:val="00A41A2F"/>
    <w:rsid w:val="00A451B3"/>
    <w:rsid w:val="00A45E15"/>
    <w:rsid w:val="00A460A1"/>
    <w:rsid w:val="00A4621C"/>
    <w:rsid w:val="00A50AE3"/>
    <w:rsid w:val="00A50F50"/>
    <w:rsid w:val="00A51CC2"/>
    <w:rsid w:val="00A52E3E"/>
    <w:rsid w:val="00A54F69"/>
    <w:rsid w:val="00A55650"/>
    <w:rsid w:val="00A563DC"/>
    <w:rsid w:val="00A56499"/>
    <w:rsid w:val="00A567DB"/>
    <w:rsid w:val="00A57737"/>
    <w:rsid w:val="00A577B7"/>
    <w:rsid w:val="00A60C49"/>
    <w:rsid w:val="00A6155A"/>
    <w:rsid w:val="00A61D98"/>
    <w:rsid w:val="00A61F95"/>
    <w:rsid w:val="00A63282"/>
    <w:rsid w:val="00A642BE"/>
    <w:rsid w:val="00A6631E"/>
    <w:rsid w:val="00A6718E"/>
    <w:rsid w:val="00A677E1"/>
    <w:rsid w:val="00A67E2F"/>
    <w:rsid w:val="00A7049A"/>
    <w:rsid w:val="00A70F09"/>
    <w:rsid w:val="00A71E1B"/>
    <w:rsid w:val="00A71E25"/>
    <w:rsid w:val="00A720D6"/>
    <w:rsid w:val="00A72AF1"/>
    <w:rsid w:val="00A749DC"/>
    <w:rsid w:val="00A75F16"/>
    <w:rsid w:val="00A76F8E"/>
    <w:rsid w:val="00A771F2"/>
    <w:rsid w:val="00A77214"/>
    <w:rsid w:val="00A80BFC"/>
    <w:rsid w:val="00A80FE4"/>
    <w:rsid w:val="00A829DC"/>
    <w:rsid w:val="00A84DD5"/>
    <w:rsid w:val="00A85878"/>
    <w:rsid w:val="00A86D04"/>
    <w:rsid w:val="00A86E14"/>
    <w:rsid w:val="00A873F0"/>
    <w:rsid w:val="00A876F7"/>
    <w:rsid w:val="00A87E3F"/>
    <w:rsid w:val="00A9092B"/>
    <w:rsid w:val="00A90E3B"/>
    <w:rsid w:val="00A9104C"/>
    <w:rsid w:val="00A911F0"/>
    <w:rsid w:val="00A91477"/>
    <w:rsid w:val="00A9165F"/>
    <w:rsid w:val="00A91F1D"/>
    <w:rsid w:val="00A92066"/>
    <w:rsid w:val="00A92084"/>
    <w:rsid w:val="00A92B42"/>
    <w:rsid w:val="00A947A5"/>
    <w:rsid w:val="00A95E37"/>
    <w:rsid w:val="00A96035"/>
    <w:rsid w:val="00A97B8A"/>
    <w:rsid w:val="00A97E6C"/>
    <w:rsid w:val="00AA0BB8"/>
    <w:rsid w:val="00AA2773"/>
    <w:rsid w:val="00AA37E5"/>
    <w:rsid w:val="00AA3DF5"/>
    <w:rsid w:val="00AA430E"/>
    <w:rsid w:val="00AA45BE"/>
    <w:rsid w:val="00AA476D"/>
    <w:rsid w:val="00AA54E9"/>
    <w:rsid w:val="00AA61CF"/>
    <w:rsid w:val="00AA69FF"/>
    <w:rsid w:val="00AA6FBE"/>
    <w:rsid w:val="00AA771C"/>
    <w:rsid w:val="00AA7E36"/>
    <w:rsid w:val="00AB0302"/>
    <w:rsid w:val="00AB0423"/>
    <w:rsid w:val="00AB1093"/>
    <w:rsid w:val="00AB1111"/>
    <w:rsid w:val="00AB1521"/>
    <w:rsid w:val="00AB2065"/>
    <w:rsid w:val="00AB23C3"/>
    <w:rsid w:val="00AB50B3"/>
    <w:rsid w:val="00AB58EE"/>
    <w:rsid w:val="00AB59B3"/>
    <w:rsid w:val="00AB5EE8"/>
    <w:rsid w:val="00AB6CEA"/>
    <w:rsid w:val="00AB72C3"/>
    <w:rsid w:val="00AB7DFF"/>
    <w:rsid w:val="00AB7E1E"/>
    <w:rsid w:val="00AB7F61"/>
    <w:rsid w:val="00AC0EC0"/>
    <w:rsid w:val="00AC1D41"/>
    <w:rsid w:val="00AC2538"/>
    <w:rsid w:val="00AC3DE0"/>
    <w:rsid w:val="00AC478D"/>
    <w:rsid w:val="00AC4B98"/>
    <w:rsid w:val="00AC523D"/>
    <w:rsid w:val="00AC6334"/>
    <w:rsid w:val="00AC7278"/>
    <w:rsid w:val="00AC74E0"/>
    <w:rsid w:val="00AC79D1"/>
    <w:rsid w:val="00AD0BB2"/>
    <w:rsid w:val="00AD19A8"/>
    <w:rsid w:val="00AD1FCC"/>
    <w:rsid w:val="00AD298E"/>
    <w:rsid w:val="00AD327C"/>
    <w:rsid w:val="00AD4CF4"/>
    <w:rsid w:val="00AD4F63"/>
    <w:rsid w:val="00AD678D"/>
    <w:rsid w:val="00AD6B5A"/>
    <w:rsid w:val="00AE1A78"/>
    <w:rsid w:val="00AE1CBA"/>
    <w:rsid w:val="00AE3573"/>
    <w:rsid w:val="00AE3B97"/>
    <w:rsid w:val="00AE4277"/>
    <w:rsid w:val="00AE50C2"/>
    <w:rsid w:val="00AE5D6C"/>
    <w:rsid w:val="00AE630A"/>
    <w:rsid w:val="00AE648F"/>
    <w:rsid w:val="00AE7031"/>
    <w:rsid w:val="00AF020E"/>
    <w:rsid w:val="00AF125B"/>
    <w:rsid w:val="00AF1AAB"/>
    <w:rsid w:val="00AF1B87"/>
    <w:rsid w:val="00AF1BAA"/>
    <w:rsid w:val="00AF22ED"/>
    <w:rsid w:val="00AF2641"/>
    <w:rsid w:val="00AF286D"/>
    <w:rsid w:val="00AF2C8D"/>
    <w:rsid w:val="00AF3E6D"/>
    <w:rsid w:val="00AF4068"/>
    <w:rsid w:val="00AF420B"/>
    <w:rsid w:val="00AF4D6A"/>
    <w:rsid w:val="00AF59E1"/>
    <w:rsid w:val="00AF5BAD"/>
    <w:rsid w:val="00AF66E8"/>
    <w:rsid w:val="00AF7D03"/>
    <w:rsid w:val="00B02C45"/>
    <w:rsid w:val="00B063AC"/>
    <w:rsid w:val="00B0703E"/>
    <w:rsid w:val="00B077B0"/>
    <w:rsid w:val="00B10B0A"/>
    <w:rsid w:val="00B11132"/>
    <w:rsid w:val="00B14592"/>
    <w:rsid w:val="00B1526D"/>
    <w:rsid w:val="00B15727"/>
    <w:rsid w:val="00B15917"/>
    <w:rsid w:val="00B16AB1"/>
    <w:rsid w:val="00B20E91"/>
    <w:rsid w:val="00B21F7C"/>
    <w:rsid w:val="00B23ABA"/>
    <w:rsid w:val="00B23DC4"/>
    <w:rsid w:val="00B248BB"/>
    <w:rsid w:val="00B252AE"/>
    <w:rsid w:val="00B30EF2"/>
    <w:rsid w:val="00B3126C"/>
    <w:rsid w:val="00B32080"/>
    <w:rsid w:val="00B32370"/>
    <w:rsid w:val="00B34B4B"/>
    <w:rsid w:val="00B357F7"/>
    <w:rsid w:val="00B35C98"/>
    <w:rsid w:val="00B36527"/>
    <w:rsid w:val="00B3670C"/>
    <w:rsid w:val="00B36C5B"/>
    <w:rsid w:val="00B371E5"/>
    <w:rsid w:val="00B40BD3"/>
    <w:rsid w:val="00B42DE7"/>
    <w:rsid w:val="00B43328"/>
    <w:rsid w:val="00B438ED"/>
    <w:rsid w:val="00B43C6B"/>
    <w:rsid w:val="00B44994"/>
    <w:rsid w:val="00B45037"/>
    <w:rsid w:val="00B45405"/>
    <w:rsid w:val="00B456D2"/>
    <w:rsid w:val="00B45850"/>
    <w:rsid w:val="00B45DA6"/>
    <w:rsid w:val="00B45E21"/>
    <w:rsid w:val="00B46253"/>
    <w:rsid w:val="00B465A0"/>
    <w:rsid w:val="00B46B1B"/>
    <w:rsid w:val="00B47B31"/>
    <w:rsid w:val="00B47CCF"/>
    <w:rsid w:val="00B50F98"/>
    <w:rsid w:val="00B5256B"/>
    <w:rsid w:val="00B53028"/>
    <w:rsid w:val="00B544A7"/>
    <w:rsid w:val="00B552B9"/>
    <w:rsid w:val="00B55382"/>
    <w:rsid w:val="00B568FA"/>
    <w:rsid w:val="00B57745"/>
    <w:rsid w:val="00B63FBD"/>
    <w:rsid w:val="00B661CC"/>
    <w:rsid w:val="00B6701C"/>
    <w:rsid w:val="00B67602"/>
    <w:rsid w:val="00B67889"/>
    <w:rsid w:val="00B67DA3"/>
    <w:rsid w:val="00B711D1"/>
    <w:rsid w:val="00B71205"/>
    <w:rsid w:val="00B71C17"/>
    <w:rsid w:val="00B72A57"/>
    <w:rsid w:val="00B7421D"/>
    <w:rsid w:val="00B752B8"/>
    <w:rsid w:val="00B75DF3"/>
    <w:rsid w:val="00B76CFE"/>
    <w:rsid w:val="00B76FEC"/>
    <w:rsid w:val="00B80AD5"/>
    <w:rsid w:val="00B81265"/>
    <w:rsid w:val="00B81C37"/>
    <w:rsid w:val="00B8208C"/>
    <w:rsid w:val="00B82454"/>
    <w:rsid w:val="00B838C1"/>
    <w:rsid w:val="00B83B08"/>
    <w:rsid w:val="00B8486D"/>
    <w:rsid w:val="00B90263"/>
    <w:rsid w:val="00B9062B"/>
    <w:rsid w:val="00B90D4A"/>
    <w:rsid w:val="00B911AC"/>
    <w:rsid w:val="00B91690"/>
    <w:rsid w:val="00B91858"/>
    <w:rsid w:val="00B9217F"/>
    <w:rsid w:val="00B92595"/>
    <w:rsid w:val="00B92909"/>
    <w:rsid w:val="00B92941"/>
    <w:rsid w:val="00B93409"/>
    <w:rsid w:val="00B93B57"/>
    <w:rsid w:val="00B93F91"/>
    <w:rsid w:val="00B94B96"/>
    <w:rsid w:val="00B954E3"/>
    <w:rsid w:val="00B9568F"/>
    <w:rsid w:val="00B9643C"/>
    <w:rsid w:val="00BA018E"/>
    <w:rsid w:val="00BA01B6"/>
    <w:rsid w:val="00BA06A6"/>
    <w:rsid w:val="00BA1E77"/>
    <w:rsid w:val="00BA2AAF"/>
    <w:rsid w:val="00BA2FE7"/>
    <w:rsid w:val="00BA3705"/>
    <w:rsid w:val="00BA3882"/>
    <w:rsid w:val="00BA4046"/>
    <w:rsid w:val="00BA51AE"/>
    <w:rsid w:val="00BA7E99"/>
    <w:rsid w:val="00BA7EE7"/>
    <w:rsid w:val="00BB05B1"/>
    <w:rsid w:val="00BB0FBD"/>
    <w:rsid w:val="00BB157A"/>
    <w:rsid w:val="00BB22D7"/>
    <w:rsid w:val="00BB2CB6"/>
    <w:rsid w:val="00BB358C"/>
    <w:rsid w:val="00BB4074"/>
    <w:rsid w:val="00BB40F5"/>
    <w:rsid w:val="00BB581B"/>
    <w:rsid w:val="00BB5AEF"/>
    <w:rsid w:val="00BC0CFF"/>
    <w:rsid w:val="00BC0DD0"/>
    <w:rsid w:val="00BC0E62"/>
    <w:rsid w:val="00BC15A8"/>
    <w:rsid w:val="00BC180B"/>
    <w:rsid w:val="00BC32D1"/>
    <w:rsid w:val="00BC35E0"/>
    <w:rsid w:val="00BC3DDB"/>
    <w:rsid w:val="00BC3E19"/>
    <w:rsid w:val="00BC4257"/>
    <w:rsid w:val="00BC4796"/>
    <w:rsid w:val="00BC48CB"/>
    <w:rsid w:val="00BC607B"/>
    <w:rsid w:val="00BC7709"/>
    <w:rsid w:val="00BD16E9"/>
    <w:rsid w:val="00BD1EA3"/>
    <w:rsid w:val="00BD22B3"/>
    <w:rsid w:val="00BD251E"/>
    <w:rsid w:val="00BD3E1C"/>
    <w:rsid w:val="00BD492E"/>
    <w:rsid w:val="00BD4B10"/>
    <w:rsid w:val="00BD4F3D"/>
    <w:rsid w:val="00BD5871"/>
    <w:rsid w:val="00BD7D6F"/>
    <w:rsid w:val="00BE077D"/>
    <w:rsid w:val="00BE0BDA"/>
    <w:rsid w:val="00BE31B3"/>
    <w:rsid w:val="00BE3F79"/>
    <w:rsid w:val="00BE4971"/>
    <w:rsid w:val="00BE4BD1"/>
    <w:rsid w:val="00BE54FE"/>
    <w:rsid w:val="00BE5853"/>
    <w:rsid w:val="00BE6FE0"/>
    <w:rsid w:val="00BE710A"/>
    <w:rsid w:val="00BE7314"/>
    <w:rsid w:val="00BF01F2"/>
    <w:rsid w:val="00BF12CF"/>
    <w:rsid w:val="00BF4ABD"/>
    <w:rsid w:val="00BF5987"/>
    <w:rsid w:val="00BF60AF"/>
    <w:rsid w:val="00BF6664"/>
    <w:rsid w:val="00BF6988"/>
    <w:rsid w:val="00BF6E01"/>
    <w:rsid w:val="00C02EEE"/>
    <w:rsid w:val="00C0339D"/>
    <w:rsid w:val="00C035C6"/>
    <w:rsid w:val="00C03C8D"/>
    <w:rsid w:val="00C03E7F"/>
    <w:rsid w:val="00C0494A"/>
    <w:rsid w:val="00C058D7"/>
    <w:rsid w:val="00C05FD7"/>
    <w:rsid w:val="00C060FB"/>
    <w:rsid w:val="00C06356"/>
    <w:rsid w:val="00C06BB3"/>
    <w:rsid w:val="00C07887"/>
    <w:rsid w:val="00C129E2"/>
    <w:rsid w:val="00C12C6A"/>
    <w:rsid w:val="00C141E1"/>
    <w:rsid w:val="00C14332"/>
    <w:rsid w:val="00C15516"/>
    <w:rsid w:val="00C15EC0"/>
    <w:rsid w:val="00C166D7"/>
    <w:rsid w:val="00C1678F"/>
    <w:rsid w:val="00C168C1"/>
    <w:rsid w:val="00C1722A"/>
    <w:rsid w:val="00C20B8C"/>
    <w:rsid w:val="00C20EF8"/>
    <w:rsid w:val="00C21332"/>
    <w:rsid w:val="00C215C6"/>
    <w:rsid w:val="00C23827"/>
    <w:rsid w:val="00C244C9"/>
    <w:rsid w:val="00C25282"/>
    <w:rsid w:val="00C256AD"/>
    <w:rsid w:val="00C26828"/>
    <w:rsid w:val="00C26A52"/>
    <w:rsid w:val="00C26DEC"/>
    <w:rsid w:val="00C26FBC"/>
    <w:rsid w:val="00C30BA4"/>
    <w:rsid w:val="00C34D07"/>
    <w:rsid w:val="00C365DA"/>
    <w:rsid w:val="00C36A05"/>
    <w:rsid w:val="00C40232"/>
    <w:rsid w:val="00C40845"/>
    <w:rsid w:val="00C43C41"/>
    <w:rsid w:val="00C4476B"/>
    <w:rsid w:val="00C44C6B"/>
    <w:rsid w:val="00C44F57"/>
    <w:rsid w:val="00C452FA"/>
    <w:rsid w:val="00C45EC8"/>
    <w:rsid w:val="00C46BEF"/>
    <w:rsid w:val="00C5012C"/>
    <w:rsid w:val="00C50D4C"/>
    <w:rsid w:val="00C50D89"/>
    <w:rsid w:val="00C51071"/>
    <w:rsid w:val="00C52151"/>
    <w:rsid w:val="00C5249B"/>
    <w:rsid w:val="00C52B1D"/>
    <w:rsid w:val="00C52D96"/>
    <w:rsid w:val="00C52F6E"/>
    <w:rsid w:val="00C53620"/>
    <w:rsid w:val="00C5420E"/>
    <w:rsid w:val="00C54976"/>
    <w:rsid w:val="00C55588"/>
    <w:rsid w:val="00C5593F"/>
    <w:rsid w:val="00C55AB0"/>
    <w:rsid w:val="00C56487"/>
    <w:rsid w:val="00C565AE"/>
    <w:rsid w:val="00C56C65"/>
    <w:rsid w:val="00C56F2E"/>
    <w:rsid w:val="00C56FB1"/>
    <w:rsid w:val="00C5777D"/>
    <w:rsid w:val="00C60D9F"/>
    <w:rsid w:val="00C610C2"/>
    <w:rsid w:val="00C61AB4"/>
    <w:rsid w:val="00C61D95"/>
    <w:rsid w:val="00C63D40"/>
    <w:rsid w:val="00C64D8F"/>
    <w:rsid w:val="00C64EF5"/>
    <w:rsid w:val="00C6503C"/>
    <w:rsid w:val="00C657E0"/>
    <w:rsid w:val="00C65A8E"/>
    <w:rsid w:val="00C67462"/>
    <w:rsid w:val="00C70807"/>
    <w:rsid w:val="00C71080"/>
    <w:rsid w:val="00C74E9D"/>
    <w:rsid w:val="00C74F4A"/>
    <w:rsid w:val="00C74FEC"/>
    <w:rsid w:val="00C762A5"/>
    <w:rsid w:val="00C77B75"/>
    <w:rsid w:val="00C77E4B"/>
    <w:rsid w:val="00C809A5"/>
    <w:rsid w:val="00C81699"/>
    <w:rsid w:val="00C8255E"/>
    <w:rsid w:val="00C83AB8"/>
    <w:rsid w:val="00C8507B"/>
    <w:rsid w:val="00C86FC1"/>
    <w:rsid w:val="00C87327"/>
    <w:rsid w:val="00C907A7"/>
    <w:rsid w:val="00C907F0"/>
    <w:rsid w:val="00C90821"/>
    <w:rsid w:val="00C913AA"/>
    <w:rsid w:val="00C935CD"/>
    <w:rsid w:val="00C937FF"/>
    <w:rsid w:val="00C94405"/>
    <w:rsid w:val="00C94750"/>
    <w:rsid w:val="00C94E2E"/>
    <w:rsid w:val="00C94E3A"/>
    <w:rsid w:val="00C96B1A"/>
    <w:rsid w:val="00CA00EB"/>
    <w:rsid w:val="00CA0FDA"/>
    <w:rsid w:val="00CA2224"/>
    <w:rsid w:val="00CA3122"/>
    <w:rsid w:val="00CA5985"/>
    <w:rsid w:val="00CA65EA"/>
    <w:rsid w:val="00CA684E"/>
    <w:rsid w:val="00CB0D5D"/>
    <w:rsid w:val="00CB1491"/>
    <w:rsid w:val="00CB211B"/>
    <w:rsid w:val="00CB24EF"/>
    <w:rsid w:val="00CB319E"/>
    <w:rsid w:val="00CB37E2"/>
    <w:rsid w:val="00CB5121"/>
    <w:rsid w:val="00CB760A"/>
    <w:rsid w:val="00CB770D"/>
    <w:rsid w:val="00CC18F3"/>
    <w:rsid w:val="00CC2033"/>
    <w:rsid w:val="00CC227E"/>
    <w:rsid w:val="00CC2D25"/>
    <w:rsid w:val="00CC36E9"/>
    <w:rsid w:val="00CC3AC5"/>
    <w:rsid w:val="00CC413E"/>
    <w:rsid w:val="00CC4C7B"/>
    <w:rsid w:val="00CC4EA5"/>
    <w:rsid w:val="00CC5434"/>
    <w:rsid w:val="00CC5E05"/>
    <w:rsid w:val="00CD07CC"/>
    <w:rsid w:val="00CD13DF"/>
    <w:rsid w:val="00CD166C"/>
    <w:rsid w:val="00CD1D99"/>
    <w:rsid w:val="00CD2773"/>
    <w:rsid w:val="00CD495B"/>
    <w:rsid w:val="00CD4F2F"/>
    <w:rsid w:val="00CD51AA"/>
    <w:rsid w:val="00CD608A"/>
    <w:rsid w:val="00CD765B"/>
    <w:rsid w:val="00CE1777"/>
    <w:rsid w:val="00CE1811"/>
    <w:rsid w:val="00CE21B2"/>
    <w:rsid w:val="00CE24F0"/>
    <w:rsid w:val="00CE2D93"/>
    <w:rsid w:val="00CE2FF9"/>
    <w:rsid w:val="00CE3691"/>
    <w:rsid w:val="00CE37E8"/>
    <w:rsid w:val="00CE37EC"/>
    <w:rsid w:val="00CE3C1D"/>
    <w:rsid w:val="00CE3C9E"/>
    <w:rsid w:val="00CE4283"/>
    <w:rsid w:val="00CE5A16"/>
    <w:rsid w:val="00CE5BBA"/>
    <w:rsid w:val="00CE6261"/>
    <w:rsid w:val="00CE6F0D"/>
    <w:rsid w:val="00CF034F"/>
    <w:rsid w:val="00CF2DA7"/>
    <w:rsid w:val="00CF37EE"/>
    <w:rsid w:val="00CF3D2C"/>
    <w:rsid w:val="00CF66C8"/>
    <w:rsid w:val="00CF66F5"/>
    <w:rsid w:val="00CF6ECF"/>
    <w:rsid w:val="00CF73B8"/>
    <w:rsid w:val="00CF770E"/>
    <w:rsid w:val="00D011F6"/>
    <w:rsid w:val="00D01248"/>
    <w:rsid w:val="00D01515"/>
    <w:rsid w:val="00D01DB6"/>
    <w:rsid w:val="00D02574"/>
    <w:rsid w:val="00D02F7E"/>
    <w:rsid w:val="00D0387F"/>
    <w:rsid w:val="00D03A51"/>
    <w:rsid w:val="00D04419"/>
    <w:rsid w:val="00D04955"/>
    <w:rsid w:val="00D04E48"/>
    <w:rsid w:val="00D053BF"/>
    <w:rsid w:val="00D058CD"/>
    <w:rsid w:val="00D064AA"/>
    <w:rsid w:val="00D07F75"/>
    <w:rsid w:val="00D1171C"/>
    <w:rsid w:val="00D11D07"/>
    <w:rsid w:val="00D1240C"/>
    <w:rsid w:val="00D1363E"/>
    <w:rsid w:val="00D15259"/>
    <w:rsid w:val="00D1543B"/>
    <w:rsid w:val="00D159D6"/>
    <w:rsid w:val="00D166B6"/>
    <w:rsid w:val="00D1683E"/>
    <w:rsid w:val="00D168F4"/>
    <w:rsid w:val="00D172F8"/>
    <w:rsid w:val="00D20633"/>
    <w:rsid w:val="00D20766"/>
    <w:rsid w:val="00D20943"/>
    <w:rsid w:val="00D20E21"/>
    <w:rsid w:val="00D22A75"/>
    <w:rsid w:val="00D22CAB"/>
    <w:rsid w:val="00D231E9"/>
    <w:rsid w:val="00D23341"/>
    <w:rsid w:val="00D23DE1"/>
    <w:rsid w:val="00D2501C"/>
    <w:rsid w:val="00D262BB"/>
    <w:rsid w:val="00D27820"/>
    <w:rsid w:val="00D2782A"/>
    <w:rsid w:val="00D30023"/>
    <w:rsid w:val="00D30BE7"/>
    <w:rsid w:val="00D3103E"/>
    <w:rsid w:val="00D3139E"/>
    <w:rsid w:val="00D31CED"/>
    <w:rsid w:val="00D333F1"/>
    <w:rsid w:val="00D335D6"/>
    <w:rsid w:val="00D335F1"/>
    <w:rsid w:val="00D33B26"/>
    <w:rsid w:val="00D3431E"/>
    <w:rsid w:val="00D346A4"/>
    <w:rsid w:val="00D35740"/>
    <w:rsid w:val="00D36224"/>
    <w:rsid w:val="00D3690F"/>
    <w:rsid w:val="00D37271"/>
    <w:rsid w:val="00D37644"/>
    <w:rsid w:val="00D40135"/>
    <w:rsid w:val="00D411FE"/>
    <w:rsid w:val="00D41BC6"/>
    <w:rsid w:val="00D42B1F"/>
    <w:rsid w:val="00D4340E"/>
    <w:rsid w:val="00D43514"/>
    <w:rsid w:val="00D437C5"/>
    <w:rsid w:val="00D43A0D"/>
    <w:rsid w:val="00D44318"/>
    <w:rsid w:val="00D4432B"/>
    <w:rsid w:val="00D44B89"/>
    <w:rsid w:val="00D44E72"/>
    <w:rsid w:val="00D44F2E"/>
    <w:rsid w:val="00D4737D"/>
    <w:rsid w:val="00D47B6A"/>
    <w:rsid w:val="00D47D67"/>
    <w:rsid w:val="00D47F76"/>
    <w:rsid w:val="00D50148"/>
    <w:rsid w:val="00D513DC"/>
    <w:rsid w:val="00D51A25"/>
    <w:rsid w:val="00D52886"/>
    <w:rsid w:val="00D533A4"/>
    <w:rsid w:val="00D546DF"/>
    <w:rsid w:val="00D54814"/>
    <w:rsid w:val="00D55BAA"/>
    <w:rsid w:val="00D564B9"/>
    <w:rsid w:val="00D5692A"/>
    <w:rsid w:val="00D5764E"/>
    <w:rsid w:val="00D57CBC"/>
    <w:rsid w:val="00D6010E"/>
    <w:rsid w:val="00D618C1"/>
    <w:rsid w:val="00D61EF1"/>
    <w:rsid w:val="00D62318"/>
    <w:rsid w:val="00D6257C"/>
    <w:rsid w:val="00D6259D"/>
    <w:rsid w:val="00D62A34"/>
    <w:rsid w:val="00D62C59"/>
    <w:rsid w:val="00D62DF9"/>
    <w:rsid w:val="00D64882"/>
    <w:rsid w:val="00D65C85"/>
    <w:rsid w:val="00D660E1"/>
    <w:rsid w:val="00D663E8"/>
    <w:rsid w:val="00D67488"/>
    <w:rsid w:val="00D674D9"/>
    <w:rsid w:val="00D67E13"/>
    <w:rsid w:val="00D70312"/>
    <w:rsid w:val="00D71247"/>
    <w:rsid w:val="00D71AA6"/>
    <w:rsid w:val="00D71E43"/>
    <w:rsid w:val="00D729C0"/>
    <w:rsid w:val="00D72C69"/>
    <w:rsid w:val="00D72C8B"/>
    <w:rsid w:val="00D75918"/>
    <w:rsid w:val="00D759EB"/>
    <w:rsid w:val="00D75A34"/>
    <w:rsid w:val="00D76279"/>
    <w:rsid w:val="00D766CF"/>
    <w:rsid w:val="00D76B35"/>
    <w:rsid w:val="00D81510"/>
    <w:rsid w:val="00D82202"/>
    <w:rsid w:val="00D82558"/>
    <w:rsid w:val="00D83B8C"/>
    <w:rsid w:val="00D84841"/>
    <w:rsid w:val="00D84FD9"/>
    <w:rsid w:val="00D85434"/>
    <w:rsid w:val="00D8588A"/>
    <w:rsid w:val="00D87263"/>
    <w:rsid w:val="00D87ABD"/>
    <w:rsid w:val="00D90107"/>
    <w:rsid w:val="00D902A8"/>
    <w:rsid w:val="00D90E52"/>
    <w:rsid w:val="00D92F00"/>
    <w:rsid w:val="00D93327"/>
    <w:rsid w:val="00D9337D"/>
    <w:rsid w:val="00D93B5B"/>
    <w:rsid w:val="00D946AB"/>
    <w:rsid w:val="00D95951"/>
    <w:rsid w:val="00D95ECA"/>
    <w:rsid w:val="00D96C87"/>
    <w:rsid w:val="00D97237"/>
    <w:rsid w:val="00DA0227"/>
    <w:rsid w:val="00DA1248"/>
    <w:rsid w:val="00DA1744"/>
    <w:rsid w:val="00DA29E5"/>
    <w:rsid w:val="00DA2ED7"/>
    <w:rsid w:val="00DA55C4"/>
    <w:rsid w:val="00DA64E4"/>
    <w:rsid w:val="00DA6AC1"/>
    <w:rsid w:val="00DA73E1"/>
    <w:rsid w:val="00DB0F7F"/>
    <w:rsid w:val="00DB1070"/>
    <w:rsid w:val="00DB10D1"/>
    <w:rsid w:val="00DB13BF"/>
    <w:rsid w:val="00DB3244"/>
    <w:rsid w:val="00DB49D0"/>
    <w:rsid w:val="00DB5265"/>
    <w:rsid w:val="00DB5924"/>
    <w:rsid w:val="00DB5FBB"/>
    <w:rsid w:val="00DB6EF2"/>
    <w:rsid w:val="00DC060C"/>
    <w:rsid w:val="00DC13EF"/>
    <w:rsid w:val="00DC2360"/>
    <w:rsid w:val="00DC25A0"/>
    <w:rsid w:val="00DC2864"/>
    <w:rsid w:val="00DC2ABD"/>
    <w:rsid w:val="00DC3070"/>
    <w:rsid w:val="00DC4D86"/>
    <w:rsid w:val="00DC5611"/>
    <w:rsid w:val="00DC6130"/>
    <w:rsid w:val="00DC67E3"/>
    <w:rsid w:val="00DC6F3B"/>
    <w:rsid w:val="00DC70B2"/>
    <w:rsid w:val="00DC783F"/>
    <w:rsid w:val="00DC7A11"/>
    <w:rsid w:val="00DD0B1B"/>
    <w:rsid w:val="00DD1A03"/>
    <w:rsid w:val="00DD2A57"/>
    <w:rsid w:val="00DD31E4"/>
    <w:rsid w:val="00DD35DD"/>
    <w:rsid w:val="00DD3ACA"/>
    <w:rsid w:val="00DD4FB2"/>
    <w:rsid w:val="00DD5E88"/>
    <w:rsid w:val="00DD5EE2"/>
    <w:rsid w:val="00DD6177"/>
    <w:rsid w:val="00DD7A0D"/>
    <w:rsid w:val="00DE08A4"/>
    <w:rsid w:val="00DE1D25"/>
    <w:rsid w:val="00DE26B6"/>
    <w:rsid w:val="00DE3504"/>
    <w:rsid w:val="00DE5626"/>
    <w:rsid w:val="00DE7572"/>
    <w:rsid w:val="00DE762B"/>
    <w:rsid w:val="00DF0086"/>
    <w:rsid w:val="00DF1268"/>
    <w:rsid w:val="00DF260C"/>
    <w:rsid w:val="00DF54DC"/>
    <w:rsid w:val="00DF66F1"/>
    <w:rsid w:val="00DF6B5B"/>
    <w:rsid w:val="00DF6B6F"/>
    <w:rsid w:val="00DF72B9"/>
    <w:rsid w:val="00E0171D"/>
    <w:rsid w:val="00E01B2B"/>
    <w:rsid w:val="00E04E24"/>
    <w:rsid w:val="00E051AF"/>
    <w:rsid w:val="00E05809"/>
    <w:rsid w:val="00E06051"/>
    <w:rsid w:val="00E064A4"/>
    <w:rsid w:val="00E06F47"/>
    <w:rsid w:val="00E0718C"/>
    <w:rsid w:val="00E10E3E"/>
    <w:rsid w:val="00E11164"/>
    <w:rsid w:val="00E12855"/>
    <w:rsid w:val="00E1378A"/>
    <w:rsid w:val="00E13D3D"/>
    <w:rsid w:val="00E147D5"/>
    <w:rsid w:val="00E15138"/>
    <w:rsid w:val="00E15415"/>
    <w:rsid w:val="00E15C32"/>
    <w:rsid w:val="00E15F4A"/>
    <w:rsid w:val="00E161B9"/>
    <w:rsid w:val="00E1635D"/>
    <w:rsid w:val="00E16DC9"/>
    <w:rsid w:val="00E17777"/>
    <w:rsid w:val="00E217CF"/>
    <w:rsid w:val="00E22441"/>
    <w:rsid w:val="00E22597"/>
    <w:rsid w:val="00E2368B"/>
    <w:rsid w:val="00E23730"/>
    <w:rsid w:val="00E239D0"/>
    <w:rsid w:val="00E25002"/>
    <w:rsid w:val="00E2503F"/>
    <w:rsid w:val="00E25AA5"/>
    <w:rsid w:val="00E26FA9"/>
    <w:rsid w:val="00E27031"/>
    <w:rsid w:val="00E273DB"/>
    <w:rsid w:val="00E274E8"/>
    <w:rsid w:val="00E30319"/>
    <w:rsid w:val="00E3068D"/>
    <w:rsid w:val="00E30EC3"/>
    <w:rsid w:val="00E310B9"/>
    <w:rsid w:val="00E31F73"/>
    <w:rsid w:val="00E32E2B"/>
    <w:rsid w:val="00E33D88"/>
    <w:rsid w:val="00E34202"/>
    <w:rsid w:val="00E351CD"/>
    <w:rsid w:val="00E36EE7"/>
    <w:rsid w:val="00E37ABF"/>
    <w:rsid w:val="00E4072B"/>
    <w:rsid w:val="00E40909"/>
    <w:rsid w:val="00E41396"/>
    <w:rsid w:val="00E431D1"/>
    <w:rsid w:val="00E4436B"/>
    <w:rsid w:val="00E45999"/>
    <w:rsid w:val="00E46598"/>
    <w:rsid w:val="00E46C30"/>
    <w:rsid w:val="00E50AA0"/>
    <w:rsid w:val="00E5129A"/>
    <w:rsid w:val="00E514CC"/>
    <w:rsid w:val="00E5251B"/>
    <w:rsid w:val="00E52E8A"/>
    <w:rsid w:val="00E544A2"/>
    <w:rsid w:val="00E54AF6"/>
    <w:rsid w:val="00E54D42"/>
    <w:rsid w:val="00E54E4E"/>
    <w:rsid w:val="00E559BF"/>
    <w:rsid w:val="00E5773C"/>
    <w:rsid w:val="00E61421"/>
    <w:rsid w:val="00E614C1"/>
    <w:rsid w:val="00E61F03"/>
    <w:rsid w:val="00E61FCF"/>
    <w:rsid w:val="00E6237E"/>
    <w:rsid w:val="00E628C3"/>
    <w:rsid w:val="00E638C2"/>
    <w:rsid w:val="00E63ECD"/>
    <w:rsid w:val="00E66A0E"/>
    <w:rsid w:val="00E66A40"/>
    <w:rsid w:val="00E6779E"/>
    <w:rsid w:val="00E7070C"/>
    <w:rsid w:val="00E70727"/>
    <w:rsid w:val="00E714AC"/>
    <w:rsid w:val="00E71FB3"/>
    <w:rsid w:val="00E7217F"/>
    <w:rsid w:val="00E73235"/>
    <w:rsid w:val="00E73506"/>
    <w:rsid w:val="00E73E01"/>
    <w:rsid w:val="00E74B0D"/>
    <w:rsid w:val="00E754CD"/>
    <w:rsid w:val="00E76FCE"/>
    <w:rsid w:val="00E7700E"/>
    <w:rsid w:val="00E77A98"/>
    <w:rsid w:val="00E806BC"/>
    <w:rsid w:val="00E8149D"/>
    <w:rsid w:val="00E819BF"/>
    <w:rsid w:val="00E8351B"/>
    <w:rsid w:val="00E83E41"/>
    <w:rsid w:val="00E8465A"/>
    <w:rsid w:val="00E87B5C"/>
    <w:rsid w:val="00E9069B"/>
    <w:rsid w:val="00E90908"/>
    <w:rsid w:val="00E90C61"/>
    <w:rsid w:val="00E916EE"/>
    <w:rsid w:val="00E91831"/>
    <w:rsid w:val="00E9309F"/>
    <w:rsid w:val="00E941DE"/>
    <w:rsid w:val="00E94D87"/>
    <w:rsid w:val="00E94F36"/>
    <w:rsid w:val="00E96372"/>
    <w:rsid w:val="00E96C71"/>
    <w:rsid w:val="00E96EF2"/>
    <w:rsid w:val="00E97B3C"/>
    <w:rsid w:val="00EA23E8"/>
    <w:rsid w:val="00EA4567"/>
    <w:rsid w:val="00EA49CC"/>
    <w:rsid w:val="00EA5616"/>
    <w:rsid w:val="00EA5FBC"/>
    <w:rsid w:val="00EA72DD"/>
    <w:rsid w:val="00EB0A16"/>
    <w:rsid w:val="00EB1BFF"/>
    <w:rsid w:val="00EB2052"/>
    <w:rsid w:val="00EB2660"/>
    <w:rsid w:val="00EB31F3"/>
    <w:rsid w:val="00EB49E8"/>
    <w:rsid w:val="00EB5248"/>
    <w:rsid w:val="00EB5444"/>
    <w:rsid w:val="00EB575C"/>
    <w:rsid w:val="00EB674D"/>
    <w:rsid w:val="00EC03ED"/>
    <w:rsid w:val="00EC0F5C"/>
    <w:rsid w:val="00EC1566"/>
    <w:rsid w:val="00EC1937"/>
    <w:rsid w:val="00EC2098"/>
    <w:rsid w:val="00EC2C78"/>
    <w:rsid w:val="00EC340F"/>
    <w:rsid w:val="00EC3B87"/>
    <w:rsid w:val="00EC4FD3"/>
    <w:rsid w:val="00EC5028"/>
    <w:rsid w:val="00EC5AFB"/>
    <w:rsid w:val="00ED0C87"/>
    <w:rsid w:val="00ED122F"/>
    <w:rsid w:val="00ED1895"/>
    <w:rsid w:val="00ED3227"/>
    <w:rsid w:val="00ED3961"/>
    <w:rsid w:val="00ED410A"/>
    <w:rsid w:val="00ED51BA"/>
    <w:rsid w:val="00ED5E7C"/>
    <w:rsid w:val="00ED6AA7"/>
    <w:rsid w:val="00ED7BBD"/>
    <w:rsid w:val="00ED7E7A"/>
    <w:rsid w:val="00EE016D"/>
    <w:rsid w:val="00EE0866"/>
    <w:rsid w:val="00EE0899"/>
    <w:rsid w:val="00EE1726"/>
    <w:rsid w:val="00EE2215"/>
    <w:rsid w:val="00EE258B"/>
    <w:rsid w:val="00EE4068"/>
    <w:rsid w:val="00EE4EE7"/>
    <w:rsid w:val="00EE555E"/>
    <w:rsid w:val="00EE5F43"/>
    <w:rsid w:val="00EE62C1"/>
    <w:rsid w:val="00EF099B"/>
    <w:rsid w:val="00EF0F88"/>
    <w:rsid w:val="00EF2EDF"/>
    <w:rsid w:val="00EF3702"/>
    <w:rsid w:val="00EF4D78"/>
    <w:rsid w:val="00EF674D"/>
    <w:rsid w:val="00EF6A8D"/>
    <w:rsid w:val="00F001EB"/>
    <w:rsid w:val="00F00BD5"/>
    <w:rsid w:val="00F00DC8"/>
    <w:rsid w:val="00F02632"/>
    <w:rsid w:val="00F02F81"/>
    <w:rsid w:val="00F033C8"/>
    <w:rsid w:val="00F034C1"/>
    <w:rsid w:val="00F04988"/>
    <w:rsid w:val="00F05A15"/>
    <w:rsid w:val="00F05C04"/>
    <w:rsid w:val="00F07961"/>
    <w:rsid w:val="00F100AF"/>
    <w:rsid w:val="00F10337"/>
    <w:rsid w:val="00F10BA3"/>
    <w:rsid w:val="00F10BDB"/>
    <w:rsid w:val="00F132C2"/>
    <w:rsid w:val="00F14B75"/>
    <w:rsid w:val="00F15D01"/>
    <w:rsid w:val="00F16972"/>
    <w:rsid w:val="00F17558"/>
    <w:rsid w:val="00F17AB3"/>
    <w:rsid w:val="00F17CC2"/>
    <w:rsid w:val="00F208A6"/>
    <w:rsid w:val="00F208D0"/>
    <w:rsid w:val="00F21189"/>
    <w:rsid w:val="00F223BD"/>
    <w:rsid w:val="00F223CE"/>
    <w:rsid w:val="00F229A7"/>
    <w:rsid w:val="00F241AA"/>
    <w:rsid w:val="00F24217"/>
    <w:rsid w:val="00F243DD"/>
    <w:rsid w:val="00F24B36"/>
    <w:rsid w:val="00F24E2A"/>
    <w:rsid w:val="00F2593F"/>
    <w:rsid w:val="00F26557"/>
    <w:rsid w:val="00F26826"/>
    <w:rsid w:val="00F269A2"/>
    <w:rsid w:val="00F2701F"/>
    <w:rsid w:val="00F2730C"/>
    <w:rsid w:val="00F2774B"/>
    <w:rsid w:val="00F30541"/>
    <w:rsid w:val="00F31221"/>
    <w:rsid w:val="00F31CCF"/>
    <w:rsid w:val="00F337A9"/>
    <w:rsid w:val="00F351B6"/>
    <w:rsid w:val="00F353A8"/>
    <w:rsid w:val="00F35545"/>
    <w:rsid w:val="00F35D6B"/>
    <w:rsid w:val="00F363D2"/>
    <w:rsid w:val="00F3666C"/>
    <w:rsid w:val="00F36B8E"/>
    <w:rsid w:val="00F37825"/>
    <w:rsid w:val="00F37930"/>
    <w:rsid w:val="00F43484"/>
    <w:rsid w:val="00F43B43"/>
    <w:rsid w:val="00F44521"/>
    <w:rsid w:val="00F45AE6"/>
    <w:rsid w:val="00F465F4"/>
    <w:rsid w:val="00F4689C"/>
    <w:rsid w:val="00F474A7"/>
    <w:rsid w:val="00F47A5A"/>
    <w:rsid w:val="00F50363"/>
    <w:rsid w:val="00F51360"/>
    <w:rsid w:val="00F54570"/>
    <w:rsid w:val="00F54B5B"/>
    <w:rsid w:val="00F54BB1"/>
    <w:rsid w:val="00F56004"/>
    <w:rsid w:val="00F600B4"/>
    <w:rsid w:val="00F61750"/>
    <w:rsid w:val="00F62E8F"/>
    <w:rsid w:val="00F63A1B"/>
    <w:rsid w:val="00F643A8"/>
    <w:rsid w:val="00F66F28"/>
    <w:rsid w:val="00F6734A"/>
    <w:rsid w:val="00F70CFD"/>
    <w:rsid w:val="00F7106C"/>
    <w:rsid w:val="00F712C4"/>
    <w:rsid w:val="00F715C7"/>
    <w:rsid w:val="00F720F6"/>
    <w:rsid w:val="00F72249"/>
    <w:rsid w:val="00F733C3"/>
    <w:rsid w:val="00F7428D"/>
    <w:rsid w:val="00F74BD5"/>
    <w:rsid w:val="00F752C7"/>
    <w:rsid w:val="00F754E4"/>
    <w:rsid w:val="00F75861"/>
    <w:rsid w:val="00F76E5A"/>
    <w:rsid w:val="00F77AFA"/>
    <w:rsid w:val="00F800BD"/>
    <w:rsid w:val="00F817C4"/>
    <w:rsid w:val="00F82B00"/>
    <w:rsid w:val="00F82C3D"/>
    <w:rsid w:val="00F84739"/>
    <w:rsid w:val="00F8550B"/>
    <w:rsid w:val="00F857C4"/>
    <w:rsid w:val="00F85C71"/>
    <w:rsid w:val="00F85FED"/>
    <w:rsid w:val="00F86BB3"/>
    <w:rsid w:val="00F86CAF"/>
    <w:rsid w:val="00F87529"/>
    <w:rsid w:val="00F8792F"/>
    <w:rsid w:val="00F90993"/>
    <w:rsid w:val="00F91202"/>
    <w:rsid w:val="00F91470"/>
    <w:rsid w:val="00F92024"/>
    <w:rsid w:val="00F922AD"/>
    <w:rsid w:val="00F925A9"/>
    <w:rsid w:val="00F92CCF"/>
    <w:rsid w:val="00F93D83"/>
    <w:rsid w:val="00F94059"/>
    <w:rsid w:val="00F942EB"/>
    <w:rsid w:val="00F94A44"/>
    <w:rsid w:val="00F95A7A"/>
    <w:rsid w:val="00F962CD"/>
    <w:rsid w:val="00F9692A"/>
    <w:rsid w:val="00F97261"/>
    <w:rsid w:val="00F97395"/>
    <w:rsid w:val="00F97C73"/>
    <w:rsid w:val="00FA015C"/>
    <w:rsid w:val="00FA0325"/>
    <w:rsid w:val="00FA0405"/>
    <w:rsid w:val="00FA165B"/>
    <w:rsid w:val="00FA2033"/>
    <w:rsid w:val="00FA23D0"/>
    <w:rsid w:val="00FA2592"/>
    <w:rsid w:val="00FA3143"/>
    <w:rsid w:val="00FA3496"/>
    <w:rsid w:val="00FA4811"/>
    <w:rsid w:val="00FA481F"/>
    <w:rsid w:val="00FA5E14"/>
    <w:rsid w:val="00FA64CF"/>
    <w:rsid w:val="00FA6B1D"/>
    <w:rsid w:val="00FA7249"/>
    <w:rsid w:val="00FB3A94"/>
    <w:rsid w:val="00FB6CD5"/>
    <w:rsid w:val="00FB6D74"/>
    <w:rsid w:val="00FB6DA8"/>
    <w:rsid w:val="00FC0898"/>
    <w:rsid w:val="00FC111C"/>
    <w:rsid w:val="00FC180B"/>
    <w:rsid w:val="00FC2792"/>
    <w:rsid w:val="00FC2FFC"/>
    <w:rsid w:val="00FC3A48"/>
    <w:rsid w:val="00FC72B2"/>
    <w:rsid w:val="00FD0CAD"/>
    <w:rsid w:val="00FD23BF"/>
    <w:rsid w:val="00FD35B4"/>
    <w:rsid w:val="00FD37F2"/>
    <w:rsid w:val="00FD3819"/>
    <w:rsid w:val="00FD5ADD"/>
    <w:rsid w:val="00FE0145"/>
    <w:rsid w:val="00FE01CF"/>
    <w:rsid w:val="00FE0AF1"/>
    <w:rsid w:val="00FE12FA"/>
    <w:rsid w:val="00FE27E4"/>
    <w:rsid w:val="00FE386C"/>
    <w:rsid w:val="00FE4FEC"/>
    <w:rsid w:val="00FE6840"/>
    <w:rsid w:val="00FE6A15"/>
    <w:rsid w:val="00FE7500"/>
    <w:rsid w:val="00FF0022"/>
    <w:rsid w:val="00FF0144"/>
    <w:rsid w:val="00FF1088"/>
    <w:rsid w:val="00FF3F74"/>
    <w:rsid w:val="00FF4B17"/>
    <w:rsid w:val="00FF52D6"/>
    <w:rsid w:val="00FF5D38"/>
    <w:rsid w:val="00FF663D"/>
    <w:rsid w:val="00FF686B"/>
    <w:rsid w:val="00FF708B"/>
    <w:rsid w:val="09C55FFD"/>
    <w:rsid w:val="0E4CD856"/>
    <w:rsid w:val="169A6D0E"/>
    <w:rsid w:val="2310806D"/>
    <w:rsid w:val="23EB6D18"/>
    <w:rsid w:val="2993128B"/>
    <w:rsid w:val="2C60D764"/>
    <w:rsid w:val="3373A143"/>
    <w:rsid w:val="3BDF6323"/>
    <w:rsid w:val="44381A19"/>
    <w:rsid w:val="4FE13D57"/>
    <w:rsid w:val="7F42818E"/>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555F9"/>
  <w15:chartTrackingRefBased/>
  <w15:docId w15:val="{0A8B1363-0F81-43C6-ACD4-D38DC204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C7"/>
    <w:rPr>
      <w:lang w:val="es-ES"/>
    </w:rPr>
  </w:style>
  <w:style w:type="paragraph" w:styleId="Ttulo1">
    <w:name w:val="heading 1"/>
    <w:basedOn w:val="Normal"/>
    <w:next w:val="Normal"/>
    <w:link w:val="Ttulo1Car"/>
    <w:uiPriority w:val="9"/>
    <w:qFormat/>
    <w:rsid w:val="00E12855"/>
    <w:pPr>
      <w:tabs>
        <w:tab w:val="left" w:pos="1056"/>
      </w:tabs>
      <w:spacing w:after="0"/>
      <w:outlineLvl w:val="0"/>
    </w:pPr>
    <w:rPr>
      <w:rFonts w:ascii="Bookman Old Style" w:hAnsi="Bookman Old Style"/>
      <w:b/>
      <w:sz w:val="28"/>
    </w:rPr>
  </w:style>
  <w:style w:type="paragraph" w:styleId="Ttulo2">
    <w:name w:val="heading 2"/>
    <w:basedOn w:val="Normal"/>
    <w:next w:val="Normal"/>
    <w:link w:val="Ttulo2Car"/>
    <w:uiPriority w:val="9"/>
    <w:unhideWhenUsed/>
    <w:qFormat/>
    <w:rsid w:val="00F600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600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9086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FA015C"/>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FA015C"/>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FA015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1470"/>
    <w:rPr>
      <w:color w:val="0000FF" w:themeColor="hyperlink"/>
      <w:u w:val="single"/>
    </w:rPr>
  </w:style>
  <w:style w:type="paragraph" w:styleId="Encabezado">
    <w:name w:val="header"/>
    <w:basedOn w:val="Normal"/>
    <w:link w:val="EncabezadoCar"/>
    <w:uiPriority w:val="99"/>
    <w:unhideWhenUsed/>
    <w:rsid w:val="0008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470"/>
    <w:rPr>
      <w:lang w:val="es-ES"/>
    </w:rPr>
  </w:style>
  <w:style w:type="paragraph" w:styleId="Piedepgina">
    <w:name w:val="footer"/>
    <w:basedOn w:val="Normal"/>
    <w:link w:val="PiedepginaCar"/>
    <w:uiPriority w:val="99"/>
    <w:unhideWhenUsed/>
    <w:rsid w:val="0008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470"/>
    <w:rPr>
      <w:lang w:val="es-ES"/>
    </w:rPr>
  </w:style>
  <w:style w:type="table" w:styleId="Tablaconcuadrcula">
    <w:name w:val="Table Grid"/>
    <w:basedOn w:val="Tablanormal"/>
    <w:uiPriority w:val="39"/>
    <w:rsid w:val="004C5B85"/>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12855"/>
    <w:rPr>
      <w:rFonts w:ascii="Bookman Old Style" w:hAnsi="Bookman Old Style"/>
      <w:b/>
      <w:sz w:val="28"/>
      <w:lang w:val="es-ES"/>
    </w:rPr>
  </w:style>
  <w:style w:type="paragraph" w:styleId="Prrafodelista">
    <w:name w:val="List Paragraph"/>
    <w:aliases w:val="Informe"/>
    <w:basedOn w:val="Normal"/>
    <w:link w:val="PrrafodelistaCar"/>
    <w:uiPriority w:val="34"/>
    <w:qFormat/>
    <w:rsid w:val="009D2E33"/>
    <w:pPr>
      <w:ind w:left="720"/>
      <w:contextualSpacing/>
    </w:pPr>
    <w:rPr>
      <w:rFonts w:ascii="Arial" w:hAnsi="Arial"/>
      <w:sz w:val="24"/>
    </w:rPr>
  </w:style>
  <w:style w:type="paragraph" w:styleId="Textodeglobo">
    <w:name w:val="Balloon Text"/>
    <w:basedOn w:val="Normal"/>
    <w:link w:val="TextodegloboCar"/>
    <w:uiPriority w:val="99"/>
    <w:semiHidden/>
    <w:unhideWhenUsed/>
    <w:rsid w:val="00CD4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95B"/>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F800BD"/>
    <w:rPr>
      <w:color w:val="800080" w:themeColor="followedHyperlink"/>
      <w:u w:val="single"/>
    </w:rPr>
  </w:style>
  <w:style w:type="character" w:customStyle="1" w:styleId="Ttulo2Car">
    <w:name w:val="Título 2 Car"/>
    <w:basedOn w:val="Fuentedeprrafopredeter"/>
    <w:link w:val="Ttulo2"/>
    <w:uiPriority w:val="9"/>
    <w:rsid w:val="00F600B4"/>
    <w:rPr>
      <w:rFonts w:asciiTheme="majorHAnsi" w:eastAsiaTheme="majorEastAsia" w:hAnsiTheme="majorHAnsi" w:cstheme="majorBidi"/>
      <w:color w:val="365F91" w:themeColor="accent1" w:themeShade="BF"/>
      <w:sz w:val="26"/>
      <w:szCs w:val="26"/>
      <w:lang w:val="es-ES"/>
    </w:rPr>
  </w:style>
  <w:style w:type="paragraph" w:styleId="Descripcin">
    <w:name w:val="caption"/>
    <w:basedOn w:val="Normal"/>
    <w:next w:val="Normal"/>
    <w:uiPriority w:val="35"/>
    <w:unhideWhenUsed/>
    <w:qFormat/>
    <w:rsid w:val="00F600B4"/>
    <w:pPr>
      <w:spacing w:line="240" w:lineRule="auto"/>
    </w:pPr>
    <w:rPr>
      <w:rFonts w:ascii="Arial" w:eastAsiaTheme="minorEastAsia" w:hAnsi="Arial"/>
      <w:b/>
      <w:bCs/>
      <w:smallCaps/>
      <w:color w:val="595959" w:themeColor="text1" w:themeTint="A6"/>
      <w:sz w:val="24"/>
      <w:szCs w:val="21"/>
      <w:lang w:val="es-CR"/>
    </w:rPr>
  </w:style>
  <w:style w:type="paragraph" w:styleId="Sinespaciado">
    <w:name w:val="No Spacing"/>
    <w:uiPriority w:val="1"/>
    <w:qFormat/>
    <w:rsid w:val="00F600B4"/>
    <w:pPr>
      <w:spacing w:after="0" w:line="240" w:lineRule="auto"/>
    </w:pPr>
    <w:rPr>
      <w:rFonts w:eastAsiaTheme="minorEastAsia"/>
      <w:sz w:val="21"/>
      <w:szCs w:val="21"/>
    </w:rPr>
  </w:style>
  <w:style w:type="character" w:customStyle="1" w:styleId="PrrafodelistaCar">
    <w:name w:val="Párrafo de lista Car"/>
    <w:aliases w:val="Informe Car"/>
    <w:link w:val="Prrafodelista"/>
    <w:uiPriority w:val="34"/>
    <w:rsid w:val="009D2E33"/>
    <w:rPr>
      <w:rFonts w:ascii="Arial" w:hAnsi="Arial"/>
      <w:sz w:val="24"/>
      <w:lang w:val="es-ES"/>
    </w:rPr>
  </w:style>
  <w:style w:type="character" w:customStyle="1" w:styleId="Ttulo3Car">
    <w:name w:val="Título 3 Car"/>
    <w:basedOn w:val="Fuentedeprrafopredeter"/>
    <w:link w:val="Ttulo3"/>
    <w:uiPriority w:val="9"/>
    <w:rsid w:val="00F600B4"/>
    <w:rPr>
      <w:rFonts w:asciiTheme="majorHAnsi" w:eastAsiaTheme="majorEastAsia" w:hAnsiTheme="majorHAnsi" w:cstheme="majorBidi"/>
      <w:color w:val="243F60" w:themeColor="accent1" w:themeShade="7F"/>
      <w:sz w:val="24"/>
      <w:szCs w:val="24"/>
      <w:lang w:val="es-ES"/>
    </w:rPr>
  </w:style>
  <w:style w:type="paragraph" w:styleId="NormalWeb">
    <w:name w:val="Normal (Web)"/>
    <w:basedOn w:val="Normal"/>
    <w:uiPriority w:val="99"/>
    <w:unhideWhenUsed/>
    <w:rsid w:val="00D2782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TDC1">
    <w:name w:val="toc 1"/>
    <w:basedOn w:val="Normal"/>
    <w:next w:val="Normal"/>
    <w:autoRedefine/>
    <w:uiPriority w:val="39"/>
    <w:unhideWhenUsed/>
    <w:rsid w:val="00467734"/>
    <w:pPr>
      <w:tabs>
        <w:tab w:val="right" w:pos="10054"/>
      </w:tabs>
      <w:spacing w:before="100" w:beforeAutospacing="1" w:after="100" w:afterAutospacing="1"/>
    </w:pPr>
    <w:rPr>
      <w:rFonts w:asciiTheme="majorHAnsi" w:hAnsiTheme="majorHAnsi"/>
      <w:b/>
      <w:bCs/>
      <w:caps/>
      <w:sz w:val="24"/>
      <w:szCs w:val="24"/>
    </w:rPr>
  </w:style>
  <w:style w:type="paragraph" w:styleId="TDC2">
    <w:name w:val="toc 2"/>
    <w:basedOn w:val="Normal"/>
    <w:next w:val="Normal"/>
    <w:autoRedefine/>
    <w:uiPriority w:val="39"/>
    <w:unhideWhenUsed/>
    <w:rsid w:val="00D6259D"/>
    <w:pPr>
      <w:spacing w:before="240" w:after="0"/>
    </w:pPr>
    <w:rPr>
      <w:rFonts w:cstheme="minorHAnsi"/>
      <w:b/>
      <w:bCs/>
      <w:sz w:val="20"/>
      <w:szCs w:val="20"/>
    </w:rPr>
  </w:style>
  <w:style w:type="paragraph" w:styleId="TDC3">
    <w:name w:val="toc 3"/>
    <w:basedOn w:val="Normal"/>
    <w:next w:val="Normal"/>
    <w:autoRedefine/>
    <w:uiPriority w:val="39"/>
    <w:unhideWhenUsed/>
    <w:rsid w:val="00D6259D"/>
    <w:pPr>
      <w:spacing w:after="0"/>
      <w:ind w:left="220"/>
    </w:pPr>
    <w:rPr>
      <w:rFonts w:cstheme="minorHAnsi"/>
      <w:sz w:val="20"/>
      <w:szCs w:val="20"/>
    </w:rPr>
  </w:style>
  <w:style w:type="paragraph" w:styleId="TDC4">
    <w:name w:val="toc 4"/>
    <w:basedOn w:val="Normal"/>
    <w:next w:val="Normal"/>
    <w:autoRedefine/>
    <w:uiPriority w:val="39"/>
    <w:unhideWhenUsed/>
    <w:rsid w:val="00D6259D"/>
    <w:pPr>
      <w:spacing w:after="0"/>
      <w:ind w:left="440"/>
    </w:pPr>
    <w:rPr>
      <w:rFonts w:cstheme="minorHAnsi"/>
      <w:sz w:val="20"/>
      <w:szCs w:val="20"/>
    </w:rPr>
  </w:style>
  <w:style w:type="paragraph" w:styleId="TDC5">
    <w:name w:val="toc 5"/>
    <w:basedOn w:val="Normal"/>
    <w:next w:val="Normal"/>
    <w:autoRedefine/>
    <w:uiPriority w:val="39"/>
    <w:unhideWhenUsed/>
    <w:rsid w:val="00D6259D"/>
    <w:pPr>
      <w:spacing w:after="0"/>
      <w:ind w:left="660"/>
    </w:pPr>
    <w:rPr>
      <w:rFonts w:cstheme="minorHAnsi"/>
      <w:sz w:val="20"/>
      <w:szCs w:val="20"/>
    </w:rPr>
  </w:style>
  <w:style w:type="paragraph" w:styleId="TDC6">
    <w:name w:val="toc 6"/>
    <w:basedOn w:val="Normal"/>
    <w:next w:val="Normal"/>
    <w:autoRedefine/>
    <w:uiPriority w:val="39"/>
    <w:unhideWhenUsed/>
    <w:rsid w:val="00D6259D"/>
    <w:pPr>
      <w:spacing w:after="0"/>
      <w:ind w:left="880"/>
    </w:pPr>
    <w:rPr>
      <w:rFonts w:cstheme="minorHAnsi"/>
      <w:sz w:val="20"/>
      <w:szCs w:val="20"/>
    </w:rPr>
  </w:style>
  <w:style w:type="paragraph" w:styleId="TDC7">
    <w:name w:val="toc 7"/>
    <w:basedOn w:val="Normal"/>
    <w:next w:val="Normal"/>
    <w:autoRedefine/>
    <w:uiPriority w:val="39"/>
    <w:unhideWhenUsed/>
    <w:rsid w:val="00D6259D"/>
    <w:pPr>
      <w:spacing w:after="0"/>
      <w:ind w:left="1100"/>
    </w:pPr>
    <w:rPr>
      <w:rFonts w:cstheme="minorHAnsi"/>
      <w:sz w:val="20"/>
      <w:szCs w:val="20"/>
    </w:rPr>
  </w:style>
  <w:style w:type="paragraph" w:styleId="TDC8">
    <w:name w:val="toc 8"/>
    <w:basedOn w:val="Normal"/>
    <w:next w:val="Normal"/>
    <w:autoRedefine/>
    <w:uiPriority w:val="39"/>
    <w:unhideWhenUsed/>
    <w:rsid w:val="00D6259D"/>
    <w:pPr>
      <w:spacing w:after="0"/>
      <w:ind w:left="1320"/>
    </w:pPr>
    <w:rPr>
      <w:rFonts w:cstheme="minorHAnsi"/>
      <w:sz w:val="20"/>
      <w:szCs w:val="20"/>
    </w:rPr>
  </w:style>
  <w:style w:type="paragraph" w:styleId="TDC9">
    <w:name w:val="toc 9"/>
    <w:basedOn w:val="Normal"/>
    <w:next w:val="Normal"/>
    <w:autoRedefine/>
    <w:uiPriority w:val="39"/>
    <w:unhideWhenUsed/>
    <w:rsid w:val="00D6259D"/>
    <w:pPr>
      <w:spacing w:after="0"/>
      <w:ind w:left="1540"/>
    </w:pPr>
    <w:rPr>
      <w:rFonts w:cstheme="minorHAnsi"/>
      <w:sz w:val="20"/>
      <w:szCs w:val="20"/>
    </w:rPr>
  </w:style>
  <w:style w:type="paragraph" w:styleId="Revisin">
    <w:name w:val="Revision"/>
    <w:hidden/>
    <w:uiPriority w:val="99"/>
    <w:semiHidden/>
    <w:rsid w:val="00D95951"/>
    <w:pPr>
      <w:spacing w:after="0" w:line="240" w:lineRule="auto"/>
    </w:pPr>
    <w:rPr>
      <w:lang w:val="es-ES"/>
    </w:rPr>
  </w:style>
  <w:style w:type="character" w:customStyle="1" w:styleId="Ttulo4Car">
    <w:name w:val="Título 4 Car"/>
    <w:basedOn w:val="Fuentedeprrafopredeter"/>
    <w:link w:val="Ttulo4"/>
    <w:uiPriority w:val="9"/>
    <w:rsid w:val="00790860"/>
    <w:rPr>
      <w:rFonts w:asciiTheme="majorHAnsi" w:eastAsiaTheme="majorEastAsia" w:hAnsiTheme="majorHAnsi" w:cstheme="majorBidi"/>
      <w:i/>
      <w:iCs/>
      <w:color w:val="365F91" w:themeColor="accent1" w:themeShade="BF"/>
      <w:lang w:val="es-ES"/>
    </w:rPr>
  </w:style>
  <w:style w:type="paragraph" w:styleId="Sangradetextonormal">
    <w:name w:val="Body Text Indent"/>
    <w:basedOn w:val="Normal"/>
    <w:link w:val="SangradetextonormalCar"/>
    <w:uiPriority w:val="99"/>
    <w:semiHidden/>
    <w:unhideWhenUsed/>
    <w:rsid w:val="00790860"/>
    <w:pPr>
      <w:spacing w:after="120"/>
      <w:ind w:left="283"/>
    </w:pPr>
  </w:style>
  <w:style w:type="character" w:customStyle="1" w:styleId="SangradetextonormalCar">
    <w:name w:val="Sangría de texto normal Car"/>
    <w:basedOn w:val="Fuentedeprrafopredeter"/>
    <w:link w:val="Sangradetextonormal"/>
    <w:uiPriority w:val="99"/>
    <w:semiHidden/>
    <w:rsid w:val="00790860"/>
    <w:rPr>
      <w:lang w:val="es-ES"/>
    </w:rPr>
  </w:style>
  <w:style w:type="paragraph" w:styleId="Textoindependienteprimerasangra2">
    <w:name w:val="Body Text First Indent 2"/>
    <w:basedOn w:val="Sangradetextonormal"/>
    <w:link w:val="Textoindependienteprimerasangra2Car"/>
    <w:uiPriority w:val="99"/>
    <w:unhideWhenUsed/>
    <w:rsid w:val="0079086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90860"/>
    <w:rPr>
      <w:lang w:val="es-ES"/>
    </w:rPr>
  </w:style>
  <w:style w:type="paragraph" w:styleId="Textonotapie">
    <w:name w:val="footnote text"/>
    <w:basedOn w:val="Normal"/>
    <w:link w:val="TextonotapieCar"/>
    <w:uiPriority w:val="99"/>
    <w:semiHidden/>
    <w:unhideWhenUsed/>
    <w:rsid w:val="00BB05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05B1"/>
    <w:rPr>
      <w:sz w:val="20"/>
      <w:szCs w:val="20"/>
      <w:lang w:val="es-ES"/>
    </w:rPr>
  </w:style>
  <w:style w:type="character" w:styleId="Refdenotaalpie">
    <w:name w:val="footnote reference"/>
    <w:basedOn w:val="Fuentedeprrafopredeter"/>
    <w:uiPriority w:val="99"/>
    <w:semiHidden/>
    <w:unhideWhenUsed/>
    <w:rsid w:val="00BB05B1"/>
    <w:rPr>
      <w:vertAlign w:val="superscript"/>
    </w:rPr>
  </w:style>
  <w:style w:type="paragraph" w:customStyle="1" w:styleId="paragraph">
    <w:name w:val="paragraph"/>
    <w:basedOn w:val="Normal"/>
    <w:rsid w:val="007C1F39"/>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7C1F39"/>
  </w:style>
  <w:style w:type="character" w:customStyle="1" w:styleId="eop">
    <w:name w:val="eop"/>
    <w:basedOn w:val="Fuentedeprrafopredeter"/>
    <w:rsid w:val="007C1F39"/>
  </w:style>
  <w:style w:type="character" w:styleId="Refdecomentario">
    <w:name w:val="annotation reference"/>
    <w:basedOn w:val="Fuentedeprrafopredeter"/>
    <w:uiPriority w:val="99"/>
    <w:semiHidden/>
    <w:unhideWhenUsed/>
    <w:rsid w:val="000C00B4"/>
    <w:rPr>
      <w:sz w:val="16"/>
      <w:szCs w:val="16"/>
    </w:rPr>
  </w:style>
  <w:style w:type="paragraph" w:styleId="Textocomentario">
    <w:name w:val="annotation text"/>
    <w:basedOn w:val="Normal"/>
    <w:link w:val="TextocomentarioCar"/>
    <w:uiPriority w:val="99"/>
    <w:semiHidden/>
    <w:unhideWhenUsed/>
    <w:rsid w:val="000C0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0B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C00B4"/>
    <w:rPr>
      <w:b/>
      <w:bCs/>
    </w:rPr>
  </w:style>
  <w:style w:type="character" w:customStyle="1" w:styleId="AsuntodelcomentarioCar">
    <w:name w:val="Asunto del comentario Car"/>
    <w:basedOn w:val="TextocomentarioCar"/>
    <w:link w:val="Asuntodelcomentario"/>
    <w:uiPriority w:val="99"/>
    <w:semiHidden/>
    <w:rsid w:val="000C00B4"/>
    <w:rPr>
      <w:b/>
      <w:bCs/>
      <w:sz w:val="20"/>
      <w:szCs w:val="20"/>
      <w:lang w:val="es-ES"/>
    </w:rPr>
  </w:style>
  <w:style w:type="paragraph" w:styleId="Textonotaalfinal">
    <w:name w:val="endnote text"/>
    <w:basedOn w:val="Normal"/>
    <w:link w:val="TextonotaalfinalCar"/>
    <w:uiPriority w:val="99"/>
    <w:semiHidden/>
    <w:unhideWhenUsed/>
    <w:rsid w:val="000C00B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00B4"/>
    <w:rPr>
      <w:sz w:val="20"/>
      <w:szCs w:val="20"/>
      <w:lang w:val="es-ES"/>
    </w:rPr>
  </w:style>
  <w:style w:type="character" w:styleId="Refdenotaalfinal">
    <w:name w:val="endnote reference"/>
    <w:basedOn w:val="Fuentedeprrafopredeter"/>
    <w:uiPriority w:val="99"/>
    <w:semiHidden/>
    <w:unhideWhenUsed/>
    <w:rsid w:val="000C00B4"/>
    <w:rPr>
      <w:vertAlign w:val="superscript"/>
    </w:rPr>
  </w:style>
  <w:style w:type="paragraph" w:styleId="TtuloTDC">
    <w:name w:val="TOC Heading"/>
    <w:basedOn w:val="Ttulo1"/>
    <w:next w:val="Normal"/>
    <w:uiPriority w:val="39"/>
    <w:unhideWhenUsed/>
    <w:qFormat/>
    <w:rsid w:val="000C466A"/>
    <w:pPr>
      <w:keepNext/>
      <w:keepLines/>
      <w:tabs>
        <w:tab w:val="clear" w:pos="1056"/>
      </w:tabs>
      <w:spacing w:before="240" w:line="259" w:lineRule="auto"/>
      <w:outlineLvl w:val="9"/>
    </w:pPr>
    <w:rPr>
      <w:rFonts w:asciiTheme="majorHAnsi" w:eastAsiaTheme="majorEastAsia" w:hAnsiTheme="majorHAnsi" w:cstheme="majorBidi"/>
      <w:b w:val="0"/>
      <w:color w:val="365F91" w:themeColor="accent1" w:themeShade="BF"/>
      <w:sz w:val="32"/>
      <w:szCs w:val="32"/>
      <w:lang w:val="es-CR" w:eastAsia="es-CR"/>
    </w:rPr>
  </w:style>
  <w:style w:type="paragraph" w:customStyle="1" w:styleId="Default">
    <w:name w:val="Default"/>
    <w:rsid w:val="00D1543B"/>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 w:type="character" w:customStyle="1" w:styleId="spellingerror">
    <w:name w:val="spellingerror"/>
    <w:basedOn w:val="Fuentedeprrafopredeter"/>
    <w:rsid w:val="00AC4B98"/>
  </w:style>
  <w:style w:type="character" w:customStyle="1" w:styleId="Ttulo5Car">
    <w:name w:val="Título 5 Car"/>
    <w:basedOn w:val="Fuentedeprrafopredeter"/>
    <w:link w:val="Ttulo5"/>
    <w:uiPriority w:val="9"/>
    <w:rsid w:val="00FA015C"/>
    <w:rPr>
      <w:rFonts w:asciiTheme="majorHAnsi" w:eastAsiaTheme="majorEastAsia" w:hAnsiTheme="majorHAnsi" w:cstheme="majorBidi"/>
      <w:color w:val="365F91" w:themeColor="accent1" w:themeShade="BF"/>
      <w:lang w:val="es-ES"/>
    </w:rPr>
  </w:style>
  <w:style w:type="character" w:customStyle="1" w:styleId="Ttulo6Car">
    <w:name w:val="Título 6 Car"/>
    <w:basedOn w:val="Fuentedeprrafopredeter"/>
    <w:link w:val="Ttulo6"/>
    <w:uiPriority w:val="9"/>
    <w:rsid w:val="00FA015C"/>
    <w:rPr>
      <w:rFonts w:asciiTheme="majorHAnsi" w:eastAsiaTheme="majorEastAsia" w:hAnsiTheme="majorHAnsi" w:cstheme="majorBidi"/>
      <w:color w:val="243F60" w:themeColor="accent1" w:themeShade="7F"/>
      <w:lang w:val="es-ES"/>
    </w:rPr>
  </w:style>
  <w:style w:type="character" w:customStyle="1" w:styleId="Ttulo7Car">
    <w:name w:val="Título 7 Car"/>
    <w:basedOn w:val="Fuentedeprrafopredeter"/>
    <w:link w:val="Ttulo7"/>
    <w:uiPriority w:val="9"/>
    <w:rsid w:val="00FA015C"/>
    <w:rPr>
      <w:rFonts w:asciiTheme="majorHAnsi" w:eastAsiaTheme="majorEastAsia" w:hAnsiTheme="majorHAnsi" w:cstheme="majorBidi"/>
      <w:i/>
      <w:iCs/>
      <w:color w:val="243F60" w:themeColor="accent1" w:themeShade="7F"/>
      <w:lang w:val="es-ES"/>
    </w:rPr>
  </w:style>
  <w:style w:type="paragraph" w:styleId="Ttulo">
    <w:name w:val="Title"/>
    <w:basedOn w:val="Normal"/>
    <w:next w:val="Normal"/>
    <w:link w:val="TtuloCar"/>
    <w:uiPriority w:val="10"/>
    <w:qFormat/>
    <w:rsid w:val="007D0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D0BC7"/>
    <w:rPr>
      <w:rFonts w:asciiTheme="majorHAnsi" w:eastAsiaTheme="majorEastAsia" w:hAnsiTheme="majorHAnsi" w:cstheme="majorBidi"/>
      <w:spacing w:val="-10"/>
      <w:kern w:val="28"/>
      <w:sz w:val="56"/>
      <w:szCs w:val="56"/>
      <w:lang w:val="es-ES"/>
    </w:rPr>
  </w:style>
  <w:style w:type="character" w:styleId="nfasis">
    <w:name w:val="Emphasis"/>
    <w:basedOn w:val="Fuentedeprrafopredeter"/>
    <w:uiPriority w:val="20"/>
    <w:qFormat/>
    <w:rsid w:val="00FF01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07">
      <w:bodyDiv w:val="1"/>
      <w:marLeft w:val="0"/>
      <w:marRight w:val="0"/>
      <w:marTop w:val="0"/>
      <w:marBottom w:val="0"/>
      <w:divBdr>
        <w:top w:val="none" w:sz="0" w:space="0" w:color="auto"/>
        <w:left w:val="none" w:sz="0" w:space="0" w:color="auto"/>
        <w:bottom w:val="none" w:sz="0" w:space="0" w:color="auto"/>
        <w:right w:val="none" w:sz="0" w:space="0" w:color="auto"/>
      </w:divBdr>
    </w:div>
    <w:div w:id="37243177">
      <w:bodyDiv w:val="1"/>
      <w:marLeft w:val="0"/>
      <w:marRight w:val="0"/>
      <w:marTop w:val="0"/>
      <w:marBottom w:val="0"/>
      <w:divBdr>
        <w:top w:val="none" w:sz="0" w:space="0" w:color="auto"/>
        <w:left w:val="none" w:sz="0" w:space="0" w:color="auto"/>
        <w:bottom w:val="none" w:sz="0" w:space="0" w:color="auto"/>
        <w:right w:val="none" w:sz="0" w:space="0" w:color="auto"/>
      </w:divBdr>
    </w:div>
    <w:div w:id="44329480">
      <w:bodyDiv w:val="1"/>
      <w:marLeft w:val="0"/>
      <w:marRight w:val="0"/>
      <w:marTop w:val="0"/>
      <w:marBottom w:val="0"/>
      <w:divBdr>
        <w:top w:val="none" w:sz="0" w:space="0" w:color="auto"/>
        <w:left w:val="none" w:sz="0" w:space="0" w:color="auto"/>
        <w:bottom w:val="none" w:sz="0" w:space="0" w:color="auto"/>
        <w:right w:val="none" w:sz="0" w:space="0" w:color="auto"/>
      </w:divBdr>
    </w:div>
    <w:div w:id="52627776">
      <w:bodyDiv w:val="1"/>
      <w:marLeft w:val="0"/>
      <w:marRight w:val="0"/>
      <w:marTop w:val="0"/>
      <w:marBottom w:val="0"/>
      <w:divBdr>
        <w:top w:val="none" w:sz="0" w:space="0" w:color="auto"/>
        <w:left w:val="none" w:sz="0" w:space="0" w:color="auto"/>
        <w:bottom w:val="none" w:sz="0" w:space="0" w:color="auto"/>
        <w:right w:val="none" w:sz="0" w:space="0" w:color="auto"/>
      </w:divBdr>
    </w:div>
    <w:div w:id="68699608">
      <w:bodyDiv w:val="1"/>
      <w:marLeft w:val="0"/>
      <w:marRight w:val="0"/>
      <w:marTop w:val="0"/>
      <w:marBottom w:val="0"/>
      <w:divBdr>
        <w:top w:val="none" w:sz="0" w:space="0" w:color="auto"/>
        <w:left w:val="none" w:sz="0" w:space="0" w:color="auto"/>
        <w:bottom w:val="none" w:sz="0" w:space="0" w:color="auto"/>
        <w:right w:val="none" w:sz="0" w:space="0" w:color="auto"/>
      </w:divBdr>
    </w:div>
    <w:div w:id="86124976">
      <w:bodyDiv w:val="1"/>
      <w:marLeft w:val="0"/>
      <w:marRight w:val="0"/>
      <w:marTop w:val="0"/>
      <w:marBottom w:val="0"/>
      <w:divBdr>
        <w:top w:val="none" w:sz="0" w:space="0" w:color="auto"/>
        <w:left w:val="none" w:sz="0" w:space="0" w:color="auto"/>
        <w:bottom w:val="none" w:sz="0" w:space="0" w:color="auto"/>
        <w:right w:val="none" w:sz="0" w:space="0" w:color="auto"/>
      </w:divBdr>
    </w:div>
    <w:div w:id="122501452">
      <w:bodyDiv w:val="1"/>
      <w:marLeft w:val="0"/>
      <w:marRight w:val="0"/>
      <w:marTop w:val="0"/>
      <w:marBottom w:val="0"/>
      <w:divBdr>
        <w:top w:val="none" w:sz="0" w:space="0" w:color="auto"/>
        <w:left w:val="none" w:sz="0" w:space="0" w:color="auto"/>
        <w:bottom w:val="none" w:sz="0" w:space="0" w:color="auto"/>
        <w:right w:val="none" w:sz="0" w:space="0" w:color="auto"/>
      </w:divBdr>
    </w:div>
    <w:div w:id="124546924">
      <w:bodyDiv w:val="1"/>
      <w:marLeft w:val="0"/>
      <w:marRight w:val="0"/>
      <w:marTop w:val="0"/>
      <w:marBottom w:val="0"/>
      <w:divBdr>
        <w:top w:val="none" w:sz="0" w:space="0" w:color="auto"/>
        <w:left w:val="none" w:sz="0" w:space="0" w:color="auto"/>
        <w:bottom w:val="none" w:sz="0" w:space="0" w:color="auto"/>
        <w:right w:val="none" w:sz="0" w:space="0" w:color="auto"/>
      </w:divBdr>
    </w:div>
    <w:div w:id="127407509">
      <w:bodyDiv w:val="1"/>
      <w:marLeft w:val="0"/>
      <w:marRight w:val="0"/>
      <w:marTop w:val="0"/>
      <w:marBottom w:val="0"/>
      <w:divBdr>
        <w:top w:val="none" w:sz="0" w:space="0" w:color="auto"/>
        <w:left w:val="none" w:sz="0" w:space="0" w:color="auto"/>
        <w:bottom w:val="none" w:sz="0" w:space="0" w:color="auto"/>
        <w:right w:val="none" w:sz="0" w:space="0" w:color="auto"/>
      </w:divBdr>
      <w:divsChild>
        <w:div w:id="990062044">
          <w:marLeft w:val="0"/>
          <w:marRight w:val="0"/>
          <w:marTop w:val="0"/>
          <w:marBottom w:val="0"/>
          <w:divBdr>
            <w:top w:val="none" w:sz="0" w:space="0" w:color="auto"/>
            <w:left w:val="none" w:sz="0" w:space="0" w:color="auto"/>
            <w:bottom w:val="none" w:sz="0" w:space="0" w:color="auto"/>
            <w:right w:val="none" w:sz="0" w:space="0" w:color="auto"/>
          </w:divBdr>
        </w:div>
      </w:divsChild>
    </w:div>
    <w:div w:id="130831612">
      <w:bodyDiv w:val="1"/>
      <w:marLeft w:val="0"/>
      <w:marRight w:val="0"/>
      <w:marTop w:val="0"/>
      <w:marBottom w:val="0"/>
      <w:divBdr>
        <w:top w:val="none" w:sz="0" w:space="0" w:color="auto"/>
        <w:left w:val="none" w:sz="0" w:space="0" w:color="auto"/>
        <w:bottom w:val="none" w:sz="0" w:space="0" w:color="auto"/>
        <w:right w:val="none" w:sz="0" w:space="0" w:color="auto"/>
      </w:divBdr>
    </w:div>
    <w:div w:id="147089029">
      <w:bodyDiv w:val="1"/>
      <w:marLeft w:val="0"/>
      <w:marRight w:val="0"/>
      <w:marTop w:val="0"/>
      <w:marBottom w:val="0"/>
      <w:divBdr>
        <w:top w:val="none" w:sz="0" w:space="0" w:color="auto"/>
        <w:left w:val="none" w:sz="0" w:space="0" w:color="auto"/>
        <w:bottom w:val="none" w:sz="0" w:space="0" w:color="auto"/>
        <w:right w:val="none" w:sz="0" w:space="0" w:color="auto"/>
      </w:divBdr>
      <w:divsChild>
        <w:div w:id="1464541457">
          <w:marLeft w:val="0"/>
          <w:marRight w:val="0"/>
          <w:marTop w:val="0"/>
          <w:marBottom w:val="0"/>
          <w:divBdr>
            <w:top w:val="none" w:sz="0" w:space="0" w:color="auto"/>
            <w:left w:val="none" w:sz="0" w:space="0" w:color="auto"/>
            <w:bottom w:val="none" w:sz="0" w:space="0" w:color="auto"/>
            <w:right w:val="none" w:sz="0" w:space="0" w:color="auto"/>
          </w:divBdr>
          <w:divsChild>
            <w:div w:id="508561934">
              <w:marLeft w:val="0"/>
              <w:marRight w:val="0"/>
              <w:marTop w:val="0"/>
              <w:marBottom w:val="0"/>
              <w:divBdr>
                <w:top w:val="none" w:sz="0" w:space="0" w:color="auto"/>
                <w:left w:val="none" w:sz="0" w:space="0" w:color="auto"/>
                <w:bottom w:val="none" w:sz="0" w:space="0" w:color="auto"/>
                <w:right w:val="none" w:sz="0" w:space="0" w:color="auto"/>
              </w:divBdr>
              <w:divsChild>
                <w:div w:id="1669019356">
                  <w:marLeft w:val="0"/>
                  <w:marRight w:val="0"/>
                  <w:marTop w:val="0"/>
                  <w:marBottom w:val="0"/>
                  <w:divBdr>
                    <w:top w:val="none" w:sz="0" w:space="0" w:color="auto"/>
                    <w:left w:val="none" w:sz="0" w:space="0" w:color="auto"/>
                    <w:bottom w:val="none" w:sz="0" w:space="0" w:color="auto"/>
                    <w:right w:val="none" w:sz="0" w:space="0" w:color="auto"/>
                  </w:divBdr>
                  <w:divsChild>
                    <w:div w:id="1461072588">
                      <w:marLeft w:val="0"/>
                      <w:marRight w:val="0"/>
                      <w:marTop w:val="0"/>
                      <w:marBottom w:val="0"/>
                      <w:divBdr>
                        <w:top w:val="none" w:sz="0" w:space="0" w:color="auto"/>
                        <w:left w:val="none" w:sz="0" w:space="0" w:color="auto"/>
                        <w:bottom w:val="none" w:sz="0" w:space="0" w:color="auto"/>
                        <w:right w:val="none" w:sz="0" w:space="0" w:color="auto"/>
                      </w:divBdr>
                      <w:divsChild>
                        <w:div w:id="1657954880">
                          <w:marLeft w:val="0"/>
                          <w:marRight w:val="0"/>
                          <w:marTop w:val="0"/>
                          <w:marBottom w:val="0"/>
                          <w:divBdr>
                            <w:top w:val="none" w:sz="0" w:space="0" w:color="auto"/>
                            <w:left w:val="none" w:sz="0" w:space="0" w:color="auto"/>
                            <w:bottom w:val="none" w:sz="0" w:space="0" w:color="auto"/>
                            <w:right w:val="none" w:sz="0" w:space="0" w:color="auto"/>
                          </w:divBdr>
                          <w:divsChild>
                            <w:div w:id="1084107605">
                              <w:marLeft w:val="0"/>
                              <w:marRight w:val="0"/>
                              <w:marTop w:val="0"/>
                              <w:marBottom w:val="0"/>
                              <w:divBdr>
                                <w:top w:val="none" w:sz="0" w:space="0" w:color="auto"/>
                                <w:left w:val="none" w:sz="0" w:space="0" w:color="auto"/>
                                <w:bottom w:val="none" w:sz="0" w:space="0" w:color="auto"/>
                                <w:right w:val="none" w:sz="0" w:space="0" w:color="auto"/>
                              </w:divBdr>
                              <w:divsChild>
                                <w:div w:id="913590809">
                                  <w:marLeft w:val="0"/>
                                  <w:marRight w:val="0"/>
                                  <w:marTop w:val="0"/>
                                  <w:marBottom w:val="0"/>
                                  <w:divBdr>
                                    <w:top w:val="none" w:sz="0" w:space="0" w:color="auto"/>
                                    <w:left w:val="none" w:sz="0" w:space="0" w:color="auto"/>
                                    <w:bottom w:val="none" w:sz="0" w:space="0" w:color="auto"/>
                                    <w:right w:val="none" w:sz="0" w:space="0" w:color="auto"/>
                                  </w:divBdr>
                                  <w:divsChild>
                                    <w:div w:id="1625691866">
                                      <w:marLeft w:val="0"/>
                                      <w:marRight w:val="0"/>
                                      <w:marTop w:val="0"/>
                                      <w:marBottom w:val="0"/>
                                      <w:divBdr>
                                        <w:top w:val="none" w:sz="0" w:space="0" w:color="auto"/>
                                        <w:left w:val="none" w:sz="0" w:space="0" w:color="auto"/>
                                        <w:bottom w:val="none" w:sz="0" w:space="0" w:color="auto"/>
                                        <w:right w:val="none" w:sz="0" w:space="0" w:color="auto"/>
                                      </w:divBdr>
                                      <w:divsChild>
                                        <w:div w:id="570114072">
                                          <w:marLeft w:val="0"/>
                                          <w:marRight w:val="0"/>
                                          <w:marTop w:val="0"/>
                                          <w:marBottom w:val="0"/>
                                          <w:divBdr>
                                            <w:top w:val="none" w:sz="0" w:space="0" w:color="auto"/>
                                            <w:left w:val="none" w:sz="0" w:space="0" w:color="auto"/>
                                            <w:bottom w:val="none" w:sz="0" w:space="0" w:color="auto"/>
                                            <w:right w:val="none" w:sz="0" w:space="0" w:color="auto"/>
                                          </w:divBdr>
                                          <w:divsChild>
                                            <w:div w:id="1558005602">
                                              <w:marLeft w:val="0"/>
                                              <w:marRight w:val="0"/>
                                              <w:marTop w:val="0"/>
                                              <w:marBottom w:val="0"/>
                                              <w:divBdr>
                                                <w:top w:val="none" w:sz="0" w:space="0" w:color="auto"/>
                                                <w:left w:val="none" w:sz="0" w:space="0" w:color="auto"/>
                                                <w:bottom w:val="none" w:sz="0" w:space="0" w:color="auto"/>
                                                <w:right w:val="none" w:sz="0" w:space="0" w:color="auto"/>
                                              </w:divBdr>
                                              <w:divsChild>
                                                <w:div w:id="518474753">
                                                  <w:marLeft w:val="0"/>
                                                  <w:marRight w:val="0"/>
                                                  <w:marTop w:val="0"/>
                                                  <w:marBottom w:val="0"/>
                                                  <w:divBdr>
                                                    <w:top w:val="none" w:sz="0" w:space="0" w:color="auto"/>
                                                    <w:left w:val="none" w:sz="0" w:space="0" w:color="auto"/>
                                                    <w:bottom w:val="none" w:sz="0" w:space="0" w:color="auto"/>
                                                    <w:right w:val="none" w:sz="0" w:space="0" w:color="auto"/>
                                                  </w:divBdr>
                                                  <w:divsChild>
                                                    <w:div w:id="985626309">
                                                      <w:marLeft w:val="0"/>
                                                      <w:marRight w:val="0"/>
                                                      <w:marTop w:val="0"/>
                                                      <w:marBottom w:val="0"/>
                                                      <w:divBdr>
                                                        <w:top w:val="single" w:sz="6" w:space="0" w:color="ABABAB"/>
                                                        <w:left w:val="single" w:sz="6" w:space="0" w:color="ABABAB"/>
                                                        <w:bottom w:val="none" w:sz="0" w:space="0" w:color="auto"/>
                                                        <w:right w:val="single" w:sz="6" w:space="0" w:color="ABABAB"/>
                                                      </w:divBdr>
                                                      <w:divsChild>
                                                        <w:div w:id="1271622248">
                                                          <w:marLeft w:val="0"/>
                                                          <w:marRight w:val="0"/>
                                                          <w:marTop w:val="0"/>
                                                          <w:marBottom w:val="0"/>
                                                          <w:divBdr>
                                                            <w:top w:val="none" w:sz="0" w:space="0" w:color="auto"/>
                                                            <w:left w:val="none" w:sz="0" w:space="0" w:color="auto"/>
                                                            <w:bottom w:val="none" w:sz="0" w:space="0" w:color="auto"/>
                                                            <w:right w:val="none" w:sz="0" w:space="0" w:color="auto"/>
                                                          </w:divBdr>
                                                          <w:divsChild>
                                                            <w:div w:id="391588549">
                                                              <w:marLeft w:val="0"/>
                                                              <w:marRight w:val="0"/>
                                                              <w:marTop w:val="0"/>
                                                              <w:marBottom w:val="0"/>
                                                              <w:divBdr>
                                                                <w:top w:val="none" w:sz="0" w:space="0" w:color="auto"/>
                                                                <w:left w:val="none" w:sz="0" w:space="0" w:color="auto"/>
                                                                <w:bottom w:val="none" w:sz="0" w:space="0" w:color="auto"/>
                                                                <w:right w:val="none" w:sz="0" w:space="0" w:color="auto"/>
                                                              </w:divBdr>
                                                              <w:divsChild>
                                                                <w:div w:id="1520897506">
                                                                  <w:marLeft w:val="0"/>
                                                                  <w:marRight w:val="0"/>
                                                                  <w:marTop w:val="0"/>
                                                                  <w:marBottom w:val="0"/>
                                                                  <w:divBdr>
                                                                    <w:top w:val="none" w:sz="0" w:space="0" w:color="auto"/>
                                                                    <w:left w:val="none" w:sz="0" w:space="0" w:color="auto"/>
                                                                    <w:bottom w:val="none" w:sz="0" w:space="0" w:color="auto"/>
                                                                    <w:right w:val="none" w:sz="0" w:space="0" w:color="auto"/>
                                                                  </w:divBdr>
                                                                  <w:divsChild>
                                                                    <w:div w:id="1017124878">
                                                                      <w:marLeft w:val="0"/>
                                                                      <w:marRight w:val="0"/>
                                                                      <w:marTop w:val="0"/>
                                                                      <w:marBottom w:val="0"/>
                                                                      <w:divBdr>
                                                                        <w:top w:val="none" w:sz="0" w:space="0" w:color="auto"/>
                                                                        <w:left w:val="none" w:sz="0" w:space="0" w:color="auto"/>
                                                                        <w:bottom w:val="none" w:sz="0" w:space="0" w:color="auto"/>
                                                                        <w:right w:val="none" w:sz="0" w:space="0" w:color="auto"/>
                                                                      </w:divBdr>
                                                                      <w:divsChild>
                                                                        <w:div w:id="1638220873">
                                                                          <w:marLeft w:val="0"/>
                                                                          <w:marRight w:val="0"/>
                                                                          <w:marTop w:val="0"/>
                                                                          <w:marBottom w:val="0"/>
                                                                          <w:divBdr>
                                                                            <w:top w:val="none" w:sz="0" w:space="0" w:color="auto"/>
                                                                            <w:left w:val="none" w:sz="0" w:space="0" w:color="auto"/>
                                                                            <w:bottom w:val="none" w:sz="0" w:space="0" w:color="auto"/>
                                                                            <w:right w:val="none" w:sz="0" w:space="0" w:color="auto"/>
                                                                          </w:divBdr>
                                                                          <w:divsChild>
                                                                            <w:div w:id="926111252">
                                                                              <w:marLeft w:val="0"/>
                                                                              <w:marRight w:val="0"/>
                                                                              <w:marTop w:val="0"/>
                                                                              <w:marBottom w:val="0"/>
                                                                              <w:divBdr>
                                                                                <w:top w:val="none" w:sz="0" w:space="0" w:color="auto"/>
                                                                                <w:left w:val="none" w:sz="0" w:space="0" w:color="auto"/>
                                                                                <w:bottom w:val="none" w:sz="0" w:space="0" w:color="auto"/>
                                                                                <w:right w:val="none" w:sz="0" w:space="0" w:color="auto"/>
                                                                              </w:divBdr>
                                                                              <w:divsChild>
                                                                                <w:div w:id="805010389">
                                                                                  <w:marLeft w:val="0"/>
                                                                                  <w:marRight w:val="0"/>
                                                                                  <w:marTop w:val="0"/>
                                                                                  <w:marBottom w:val="0"/>
                                                                                  <w:divBdr>
                                                                                    <w:top w:val="none" w:sz="0" w:space="0" w:color="auto"/>
                                                                                    <w:left w:val="none" w:sz="0" w:space="0" w:color="auto"/>
                                                                                    <w:bottom w:val="none" w:sz="0" w:space="0" w:color="auto"/>
                                                                                    <w:right w:val="none" w:sz="0" w:space="0" w:color="auto"/>
                                                                                  </w:divBdr>
                                                                                </w:div>
                                                                                <w:div w:id="1329560592">
                                                                                  <w:marLeft w:val="0"/>
                                                                                  <w:marRight w:val="0"/>
                                                                                  <w:marTop w:val="0"/>
                                                                                  <w:marBottom w:val="0"/>
                                                                                  <w:divBdr>
                                                                                    <w:top w:val="none" w:sz="0" w:space="0" w:color="auto"/>
                                                                                    <w:left w:val="none" w:sz="0" w:space="0" w:color="auto"/>
                                                                                    <w:bottom w:val="none" w:sz="0" w:space="0" w:color="auto"/>
                                                                                    <w:right w:val="none" w:sz="0" w:space="0" w:color="auto"/>
                                                                                  </w:divBdr>
                                                                                </w:div>
                                                                                <w:div w:id="624240933">
                                                                                  <w:marLeft w:val="0"/>
                                                                                  <w:marRight w:val="0"/>
                                                                                  <w:marTop w:val="0"/>
                                                                                  <w:marBottom w:val="0"/>
                                                                                  <w:divBdr>
                                                                                    <w:top w:val="none" w:sz="0" w:space="0" w:color="auto"/>
                                                                                    <w:left w:val="none" w:sz="0" w:space="0" w:color="auto"/>
                                                                                    <w:bottom w:val="none" w:sz="0" w:space="0" w:color="auto"/>
                                                                                    <w:right w:val="none" w:sz="0" w:space="0" w:color="auto"/>
                                                                                  </w:divBdr>
                                                                                </w:div>
                                                                                <w:div w:id="104811840">
                                                                                  <w:marLeft w:val="0"/>
                                                                                  <w:marRight w:val="0"/>
                                                                                  <w:marTop w:val="0"/>
                                                                                  <w:marBottom w:val="0"/>
                                                                                  <w:divBdr>
                                                                                    <w:top w:val="none" w:sz="0" w:space="0" w:color="auto"/>
                                                                                    <w:left w:val="none" w:sz="0" w:space="0" w:color="auto"/>
                                                                                    <w:bottom w:val="none" w:sz="0" w:space="0" w:color="auto"/>
                                                                                    <w:right w:val="none" w:sz="0" w:space="0" w:color="auto"/>
                                                                                  </w:divBdr>
                                                                                </w:div>
                                                                                <w:div w:id="649674483">
                                                                                  <w:marLeft w:val="0"/>
                                                                                  <w:marRight w:val="0"/>
                                                                                  <w:marTop w:val="0"/>
                                                                                  <w:marBottom w:val="0"/>
                                                                                  <w:divBdr>
                                                                                    <w:top w:val="none" w:sz="0" w:space="0" w:color="auto"/>
                                                                                    <w:left w:val="none" w:sz="0" w:space="0" w:color="auto"/>
                                                                                    <w:bottom w:val="none" w:sz="0" w:space="0" w:color="auto"/>
                                                                                    <w:right w:val="none" w:sz="0" w:space="0" w:color="auto"/>
                                                                                  </w:divBdr>
                                                                                </w:div>
                                                                                <w:div w:id="230897113">
                                                                                  <w:marLeft w:val="0"/>
                                                                                  <w:marRight w:val="0"/>
                                                                                  <w:marTop w:val="0"/>
                                                                                  <w:marBottom w:val="0"/>
                                                                                  <w:divBdr>
                                                                                    <w:top w:val="none" w:sz="0" w:space="0" w:color="auto"/>
                                                                                    <w:left w:val="none" w:sz="0" w:space="0" w:color="auto"/>
                                                                                    <w:bottom w:val="none" w:sz="0" w:space="0" w:color="auto"/>
                                                                                    <w:right w:val="none" w:sz="0" w:space="0" w:color="auto"/>
                                                                                  </w:divBdr>
                                                                                </w:div>
                                                                                <w:div w:id="1689791799">
                                                                                  <w:marLeft w:val="0"/>
                                                                                  <w:marRight w:val="0"/>
                                                                                  <w:marTop w:val="0"/>
                                                                                  <w:marBottom w:val="0"/>
                                                                                  <w:divBdr>
                                                                                    <w:top w:val="none" w:sz="0" w:space="0" w:color="auto"/>
                                                                                    <w:left w:val="none" w:sz="0" w:space="0" w:color="auto"/>
                                                                                    <w:bottom w:val="none" w:sz="0" w:space="0" w:color="auto"/>
                                                                                    <w:right w:val="none" w:sz="0" w:space="0" w:color="auto"/>
                                                                                  </w:divBdr>
                                                                                </w:div>
                                                                                <w:div w:id="911081895">
                                                                                  <w:marLeft w:val="0"/>
                                                                                  <w:marRight w:val="0"/>
                                                                                  <w:marTop w:val="0"/>
                                                                                  <w:marBottom w:val="0"/>
                                                                                  <w:divBdr>
                                                                                    <w:top w:val="none" w:sz="0" w:space="0" w:color="auto"/>
                                                                                    <w:left w:val="none" w:sz="0" w:space="0" w:color="auto"/>
                                                                                    <w:bottom w:val="none" w:sz="0" w:space="0" w:color="auto"/>
                                                                                    <w:right w:val="none" w:sz="0" w:space="0" w:color="auto"/>
                                                                                  </w:divBdr>
                                                                                </w:div>
                                                                                <w:div w:id="17445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23763">
      <w:bodyDiv w:val="1"/>
      <w:marLeft w:val="0"/>
      <w:marRight w:val="0"/>
      <w:marTop w:val="0"/>
      <w:marBottom w:val="0"/>
      <w:divBdr>
        <w:top w:val="none" w:sz="0" w:space="0" w:color="auto"/>
        <w:left w:val="none" w:sz="0" w:space="0" w:color="auto"/>
        <w:bottom w:val="none" w:sz="0" w:space="0" w:color="auto"/>
        <w:right w:val="none" w:sz="0" w:space="0" w:color="auto"/>
      </w:divBdr>
    </w:div>
    <w:div w:id="179711059">
      <w:bodyDiv w:val="1"/>
      <w:marLeft w:val="0"/>
      <w:marRight w:val="0"/>
      <w:marTop w:val="0"/>
      <w:marBottom w:val="0"/>
      <w:divBdr>
        <w:top w:val="none" w:sz="0" w:space="0" w:color="auto"/>
        <w:left w:val="none" w:sz="0" w:space="0" w:color="auto"/>
        <w:bottom w:val="none" w:sz="0" w:space="0" w:color="auto"/>
        <w:right w:val="none" w:sz="0" w:space="0" w:color="auto"/>
      </w:divBdr>
    </w:div>
    <w:div w:id="201941824">
      <w:bodyDiv w:val="1"/>
      <w:marLeft w:val="0"/>
      <w:marRight w:val="0"/>
      <w:marTop w:val="0"/>
      <w:marBottom w:val="0"/>
      <w:divBdr>
        <w:top w:val="none" w:sz="0" w:space="0" w:color="auto"/>
        <w:left w:val="none" w:sz="0" w:space="0" w:color="auto"/>
        <w:bottom w:val="none" w:sz="0" w:space="0" w:color="auto"/>
        <w:right w:val="none" w:sz="0" w:space="0" w:color="auto"/>
      </w:divBdr>
    </w:div>
    <w:div w:id="241835800">
      <w:bodyDiv w:val="1"/>
      <w:marLeft w:val="0"/>
      <w:marRight w:val="0"/>
      <w:marTop w:val="0"/>
      <w:marBottom w:val="0"/>
      <w:divBdr>
        <w:top w:val="none" w:sz="0" w:space="0" w:color="auto"/>
        <w:left w:val="none" w:sz="0" w:space="0" w:color="auto"/>
        <w:bottom w:val="none" w:sz="0" w:space="0" w:color="auto"/>
        <w:right w:val="none" w:sz="0" w:space="0" w:color="auto"/>
      </w:divBdr>
    </w:div>
    <w:div w:id="248076755">
      <w:bodyDiv w:val="1"/>
      <w:marLeft w:val="0"/>
      <w:marRight w:val="0"/>
      <w:marTop w:val="0"/>
      <w:marBottom w:val="0"/>
      <w:divBdr>
        <w:top w:val="none" w:sz="0" w:space="0" w:color="auto"/>
        <w:left w:val="none" w:sz="0" w:space="0" w:color="auto"/>
        <w:bottom w:val="none" w:sz="0" w:space="0" w:color="auto"/>
        <w:right w:val="none" w:sz="0" w:space="0" w:color="auto"/>
      </w:divBdr>
    </w:div>
    <w:div w:id="249899784">
      <w:bodyDiv w:val="1"/>
      <w:marLeft w:val="0"/>
      <w:marRight w:val="0"/>
      <w:marTop w:val="0"/>
      <w:marBottom w:val="0"/>
      <w:divBdr>
        <w:top w:val="none" w:sz="0" w:space="0" w:color="auto"/>
        <w:left w:val="none" w:sz="0" w:space="0" w:color="auto"/>
        <w:bottom w:val="none" w:sz="0" w:space="0" w:color="auto"/>
        <w:right w:val="none" w:sz="0" w:space="0" w:color="auto"/>
      </w:divBdr>
    </w:div>
    <w:div w:id="274605754">
      <w:bodyDiv w:val="1"/>
      <w:marLeft w:val="0"/>
      <w:marRight w:val="0"/>
      <w:marTop w:val="0"/>
      <w:marBottom w:val="0"/>
      <w:divBdr>
        <w:top w:val="none" w:sz="0" w:space="0" w:color="auto"/>
        <w:left w:val="none" w:sz="0" w:space="0" w:color="auto"/>
        <w:bottom w:val="none" w:sz="0" w:space="0" w:color="auto"/>
        <w:right w:val="none" w:sz="0" w:space="0" w:color="auto"/>
      </w:divBdr>
    </w:div>
    <w:div w:id="288829192">
      <w:bodyDiv w:val="1"/>
      <w:marLeft w:val="0"/>
      <w:marRight w:val="0"/>
      <w:marTop w:val="0"/>
      <w:marBottom w:val="0"/>
      <w:divBdr>
        <w:top w:val="none" w:sz="0" w:space="0" w:color="auto"/>
        <w:left w:val="none" w:sz="0" w:space="0" w:color="auto"/>
        <w:bottom w:val="none" w:sz="0" w:space="0" w:color="auto"/>
        <w:right w:val="none" w:sz="0" w:space="0" w:color="auto"/>
      </w:divBdr>
    </w:div>
    <w:div w:id="292441803">
      <w:bodyDiv w:val="1"/>
      <w:marLeft w:val="0"/>
      <w:marRight w:val="0"/>
      <w:marTop w:val="0"/>
      <w:marBottom w:val="0"/>
      <w:divBdr>
        <w:top w:val="none" w:sz="0" w:space="0" w:color="auto"/>
        <w:left w:val="none" w:sz="0" w:space="0" w:color="auto"/>
        <w:bottom w:val="none" w:sz="0" w:space="0" w:color="auto"/>
        <w:right w:val="none" w:sz="0" w:space="0" w:color="auto"/>
      </w:divBdr>
    </w:div>
    <w:div w:id="317655911">
      <w:bodyDiv w:val="1"/>
      <w:marLeft w:val="0"/>
      <w:marRight w:val="0"/>
      <w:marTop w:val="0"/>
      <w:marBottom w:val="0"/>
      <w:divBdr>
        <w:top w:val="none" w:sz="0" w:space="0" w:color="auto"/>
        <w:left w:val="none" w:sz="0" w:space="0" w:color="auto"/>
        <w:bottom w:val="none" w:sz="0" w:space="0" w:color="auto"/>
        <w:right w:val="none" w:sz="0" w:space="0" w:color="auto"/>
      </w:divBdr>
    </w:div>
    <w:div w:id="318459425">
      <w:bodyDiv w:val="1"/>
      <w:marLeft w:val="0"/>
      <w:marRight w:val="0"/>
      <w:marTop w:val="0"/>
      <w:marBottom w:val="0"/>
      <w:divBdr>
        <w:top w:val="none" w:sz="0" w:space="0" w:color="auto"/>
        <w:left w:val="none" w:sz="0" w:space="0" w:color="auto"/>
        <w:bottom w:val="none" w:sz="0" w:space="0" w:color="auto"/>
        <w:right w:val="none" w:sz="0" w:space="0" w:color="auto"/>
      </w:divBdr>
    </w:div>
    <w:div w:id="325405398">
      <w:bodyDiv w:val="1"/>
      <w:marLeft w:val="0"/>
      <w:marRight w:val="0"/>
      <w:marTop w:val="0"/>
      <w:marBottom w:val="0"/>
      <w:divBdr>
        <w:top w:val="none" w:sz="0" w:space="0" w:color="auto"/>
        <w:left w:val="none" w:sz="0" w:space="0" w:color="auto"/>
        <w:bottom w:val="none" w:sz="0" w:space="0" w:color="auto"/>
        <w:right w:val="none" w:sz="0" w:space="0" w:color="auto"/>
      </w:divBdr>
    </w:div>
    <w:div w:id="350882784">
      <w:bodyDiv w:val="1"/>
      <w:marLeft w:val="0"/>
      <w:marRight w:val="0"/>
      <w:marTop w:val="0"/>
      <w:marBottom w:val="0"/>
      <w:divBdr>
        <w:top w:val="none" w:sz="0" w:space="0" w:color="auto"/>
        <w:left w:val="none" w:sz="0" w:space="0" w:color="auto"/>
        <w:bottom w:val="none" w:sz="0" w:space="0" w:color="auto"/>
        <w:right w:val="none" w:sz="0" w:space="0" w:color="auto"/>
      </w:divBdr>
    </w:div>
    <w:div w:id="360789530">
      <w:bodyDiv w:val="1"/>
      <w:marLeft w:val="0"/>
      <w:marRight w:val="0"/>
      <w:marTop w:val="0"/>
      <w:marBottom w:val="0"/>
      <w:divBdr>
        <w:top w:val="none" w:sz="0" w:space="0" w:color="auto"/>
        <w:left w:val="none" w:sz="0" w:space="0" w:color="auto"/>
        <w:bottom w:val="none" w:sz="0" w:space="0" w:color="auto"/>
        <w:right w:val="none" w:sz="0" w:space="0" w:color="auto"/>
      </w:divBdr>
    </w:div>
    <w:div w:id="369847024">
      <w:bodyDiv w:val="1"/>
      <w:marLeft w:val="0"/>
      <w:marRight w:val="0"/>
      <w:marTop w:val="0"/>
      <w:marBottom w:val="0"/>
      <w:divBdr>
        <w:top w:val="none" w:sz="0" w:space="0" w:color="auto"/>
        <w:left w:val="none" w:sz="0" w:space="0" w:color="auto"/>
        <w:bottom w:val="none" w:sz="0" w:space="0" w:color="auto"/>
        <w:right w:val="none" w:sz="0" w:space="0" w:color="auto"/>
      </w:divBdr>
    </w:div>
    <w:div w:id="416560097">
      <w:bodyDiv w:val="1"/>
      <w:marLeft w:val="0"/>
      <w:marRight w:val="0"/>
      <w:marTop w:val="0"/>
      <w:marBottom w:val="0"/>
      <w:divBdr>
        <w:top w:val="none" w:sz="0" w:space="0" w:color="auto"/>
        <w:left w:val="none" w:sz="0" w:space="0" w:color="auto"/>
        <w:bottom w:val="none" w:sz="0" w:space="0" w:color="auto"/>
        <w:right w:val="none" w:sz="0" w:space="0" w:color="auto"/>
      </w:divBdr>
    </w:div>
    <w:div w:id="426969634">
      <w:bodyDiv w:val="1"/>
      <w:marLeft w:val="0"/>
      <w:marRight w:val="0"/>
      <w:marTop w:val="0"/>
      <w:marBottom w:val="0"/>
      <w:divBdr>
        <w:top w:val="none" w:sz="0" w:space="0" w:color="auto"/>
        <w:left w:val="none" w:sz="0" w:space="0" w:color="auto"/>
        <w:bottom w:val="none" w:sz="0" w:space="0" w:color="auto"/>
        <w:right w:val="none" w:sz="0" w:space="0" w:color="auto"/>
      </w:divBdr>
    </w:div>
    <w:div w:id="441803757">
      <w:bodyDiv w:val="1"/>
      <w:marLeft w:val="0"/>
      <w:marRight w:val="0"/>
      <w:marTop w:val="0"/>
      <w:marBottom w:val="0"/>
      <w:divBdr>
        <w:top w:val="none" w:sz="0" w:space="0" w:color="auto"/>
        <w:left w:val="none" w:sz="0" w:space="0" w:color="auto"/>
        <w:bottom w:val="none" w:sz="0" w:space="0" w:color="auto"/>
        <w:right w:val="none" w:sz="0" w:space="0" w:color="auto"/>
      </w:divBdr>
    </w:div>
    <w:div w:id="446395343">
      <w:bodyDiv w:val="1"/>
      <w:marLeft w:val="0"/>
      <w:marRight w:val="0"/>
      <w:marTop w:val="0"/>
      <w:marBottom w:val="0"/>
      <w:divBdr>
        <w:top w:val="none" w:sz="0" w:space="0" w:color="auto"/>
        <w:left w:val="none" w:sz="0" w:space="0" w:color="auto"/>
        <w:bottom w:val="none" w:sz="0" w:space="0" w:color="auto"/>
        <w:right w:val="none" w:sz="0" w:space="0" w:color="auto"/>
      </w:divBdr>
    </w:div>
    <w:div w:id="474838857">
      <w:bodyDiv w:val="1"/>
      <w:marLeft w:val="0"/>
      <w:marRight w:val="0"/>
      <w:marTop w:val="0"/>
      <w:marBottom w:val="0"/>
      <w:divBdr>
        <w:top w:val="none" w:sz="0" w:space="0" w:color="auto"/>
        <w:left w:val="none" w:sz="0" w:space="0" w:color="auto"/>
        <w:bottom w:val="none" w:sz="0" w:space="0" w:color="auto"/>
        <w:right w:val="none" w:sz="0" w:space="0" w:color="auto"/>
      </w:divBdr>
    </w:div>
    <w:div w:id="478768375">
      <w:bodyDiv w:val="1"/>
      <w:marLeft w:val="0"/>
      <w:marRight w:val="0"/>
      <w:marTop w:val="0"/>
      <w:marBottom w:val="0"/>
      <w:divBdr>
        <w:top w:val="none" w:sz="0" w:space="0" w:color="auto"/>
        <w:left w:val="none" w:sz="0" w:space="0" w:color="auto"/>
        <w:bottom w:val="none" w:sz="0" w:space="0" w:color="auto"/>
        <w:right w:val="none" w:sz="0" w:space="0" w:color="auto"/>
      </w:divBdr>
    </w:div>
    <w:div w:id="486898408">
      <w:bodyDiv w:val="1"/>
      <w:marLeft w:val="0"/>
      <w:marRight w:val="0"/>
      <w:marTop w:val="0"/>
      <w:marBottom w:val="0"/>
      <w:divBdr>
        <w:top w:val="none" w:sz="0" w:space="0" w:color="auto"/>
        <w:left w:val="none" w:sz="0" w:space="0" w:color="auto"/>
        <w:bottom w:val="none" w:sz="0" w:space="0" w:color="auto"/>
        <w:right w:val="none" w:sz="0" w:space="0" w:color="auto"/>
      </w:divBdr>
    </w:div>
    <w:div w:id="493687242">
      <w:bodyDiv w:val="1"/>
      <w:marLeft w:val="0"/>
      <w:marRight w:val="0"/>
      <w:marTop w:val="0"/>
      <w:marBottom w:val="0"/>
      <w:divBdr>
        <w:top w:val="none" w:sz="0" w:space="0" w:color="auto"/>
        <w:left w:val="none" w:sz="0" w:space="0" w:color="auto"/>
        <w:bottom w:val="none" w:sz="0" w:space="0" w:color="auto"/>
        <w:right w:val="none" w:sz="0" w:space="0" w:color="auto"/>
      </w:divBdr>
    </w:div>
    <w:div w:id="510876751">
      <w:bodyDiv w:val="1"/>
      <w:marLeft w:val="0"/>
      <w:marRight w:val="0"/>
      <w:marTop w:val="0"/>
      <w:marBottom w:val="0"/>
      <w:divBdr>
        <w:top w:val="none" w:sz="0" w:space="0" w:color="auto"/>
        <w:left w:val="none" w:sz="0" w:space="0" w:color="auto"/>
        <w:bottom w:val="none" w:sz="0" w:space="0" w:color="auto"/>
        <w:right w:val="none" w:sz="0" w:space="0" w:color="auto"/>
      </w:divBdr>
    </w:div>
    <w:div w:id="559294632">
      <w:bodyDiv w:val="1"/>
      <w:marLeft w:val="0"/>
      <w:marRight w:val="0"/>
      <w:marTop w:val="0"/>
      <w:marBottom w:val="0"/>
      <w:divBdr>
        <w:top w:val="none" w:sz="0" w:space="0" w:color="auto"/>
        <w:left w:val="none" w:sz="0" w:space="0" w:color="auto"/>
        <w:bottom w:val="none" w:sz="0" w:space="0" w:color="auto"/>
        <w:right w:val="none" w:sz="0" w:space="0" w:color="auto"/>
      </w:divBdr>
    </w:div>
    <w:div w:id="586236358">
      <w:bodyDiv w:val="1"/>
      <w:marLeft w:val="0"/>
      <w:marRight w:val="0"/>
      <w:marTop w:val="0"/>
      <w:marBottom w:val="0"/>
      <w:divBdr>
        <w:top w:val="none" w:sz="0" w:space="0" w:color="auto"/>
        <w:left w:val="none" w:sz="0" w:space="0" w:color="auto"/>
        <w:bottom w:val="none" w:sz="0" w:space="0" w:color="auto"/>
        <w:right w:val="none" w:sz="0" w:space="0" w:color="auto"/>
      </w:divBdr>
    </w:div>
    <w:div w:id="587231709">
      <w:bodyDiv w:val="1"/>
      <w:marLeft w:val="0"/>
      <w:marRight w:val="0"/>
      <w:marTop w:val="0"/>
      <w:marBottom w:val="0"/>
      <w:divBdr>
        <w:top w:val="none" w:sz="0" w:space="0" w:color="auto"/>
        <w:left w:val="none" w:sz="0" w:space="0" w:color="auto"/>
        <w:bottom w:val="none" w:sz="0" w:space="0" w:color="auto"/>
        <w:right w:val="none" w:sz="0" w:space="0" w:color="auto"/>
      </w:divBdr>
    </w:div>
    <w:div w:id="593242984">
      <w:bodyDiv w:val="1"/>
      <w:marLeft w:val="0"/>
      <w:marRight w:val="0"/>
      <w:marTop w:val="0"/>
      <w:marBottom w:val="0"/>
      <w:divBdr>
        <w:top w:val="none" w:sz="0" w:space="0" w:color="auto"/>
        <w:left w:val="none" w:sz="0" w:space="0" w:color="auto"/>
        <w:bottom w:val="none" w:sz="0" w:space="0" w:color="auto"/>
        <w:right w:val="none" w:sz="0" w:space="0" w:color="auto"/>
      </w:divBdr>
    </w:div>
    <w:div w:id="609051059">
      <w:bodyDiv w:val="1"/>
      <w:marLeft w:val="0"/>
      <w:marRight w:val="0"/>
      <w:marTop w:val="0"/>
      <w:marBottom w:val="0"/>
      <w:divBdr>
        <w:top w:val="none" w:sz="0" w:space="0" w:color="auto"/>
        <w:left w:val="none" w:sz="0" w:space="0" w:color="auto"/>
        <w:bottom w:val="none" w:sz="0" w:space="0" w:color="auto"/>
        <w:right w:val="none" w:sz="0" w:space="0" w:color="auto"/>
      </w:divBdr>
    </w:div>
    <w:div w:id="633023109">
      <w:bodyDiv w:val="1"/>
      <w:marLeft w:val="0"/>
      <w:marRight w:val="0"/>
      <w:marTop w:val="0"/>
      <w:marBottom w:val="0"/>
      <w:divBdr>
        <w:top w:val="none" w:sz="0" w:space="0" w:color="auto"/>
        <w:left w:val="none" w:sz="0" w:space="0" w:color="auto"/>
        <w:bottom w:val="none" w:sz="0" w:space="0" w:color="auto"/>
        <w:right w:val="none" w:sz="0" w:space="0" w:color="auto"/>
      </w:divBdr>
    </w:div>
    <w:div w:id="636112160">
      <w:bodyDiv w:val="1"/>
      <w:marLeft w:val="0"/>
      <w:marRight w:val="0"/>
      <w:marTop w:val="0"/>
      <w:marBottom w:val="0"/>
      <w:divBdr>
        <w:top w:val="none" w:sz="0" w:space="0" w:color="auto"/>
        <w:left w:val="none" w:sz="0" w:space="0" w:color="auto"/>
        <w:bottom w:val="none" w:sz="0" w:space="0" w:color="auto"/>
        <w:right w:val="none" w:sz="0" w:space="0" w:color="auto"/>
      </w:divBdr>
    </w:div>
    <w:div w:id="639504254">
      <w:bodyDiv w:val="1"/>
      <w:marLeft w:val="0"/>
      <w:marRight w:val="0"/>
      <w:marTop w:val="0"/>
      <w:marBottom w:val="0"/>
      <w:divBdr>
        <w:top w:val="none" w:sz="0" w:space="0" w:color="auto"/>
        <w:left w:val="none" w:sz="0" w:space="0" w:color="auto"/>
        <w:bottom w:val="none" w:sz="0" w:space="0" w:color="auto"/>
        <w:right w:val="none" w:sz="0" w:space="0" w:color="auto"/>
      </w:divBdr>
    </w:div>
    <w:div w:id="642975010">
      <w:bodyDiv w:val="1"/>
      <w:marLeft w:val="0"/>
      <w:marRight w:val="0"/>
      <w:marTop w:val="0"/>
      <w:marBottom w:val="0"/>
      <w:divBdr>
        <w:top w:val="none" w:sz="0" w:space="0" w:color="auto"/>
        <w:left w:val="none" w:sz="0" w:space="0" w:color="auto"/>
        <w:bottom w:val="none" w:sz="0" w:space="0" w:color="auto"/>
        <w:right w:val="none" w:sz="0" w:space="0" w:color="auto"/>
      </w:divBdr>
    </w:div>
    <w:div w:id="648637922">
      <w:bodyDiv w:val="1"/>
      <w:marLeft w:val="0"/>
      <w:marRight w:val="0"/>
      <w:marTop w:val="0"/>
      <w:marBottom w:val="0"/>
      <w:divBdr>
        <w:top w:val="none" w:sz="0" w:space="0" w:color="auto"/>
        <w:left w:val="none" w:sz="0" w:space="0" w:color="auto"/>
        <w:bottom w:val="none" w:sz="0" w:space="0" w:color="auto"/>
        <w:right w:val="none" w:sz="0" w:space="0" w:color="auto"/>
      </w:divBdr>
    </w:div>
    <w:div w:id="651375442">
      <w:bodyDiv w:val="1"/>
      <w:marLeft w:val="0"/>
      <w:marRight w:val="0"/>
      <w:marTop w:val="0"/>
      <w:marBottom w:val="0"/>
      <w:divBdr>
        <w:top w:val="none" w:sz="0" w:space="0" w:color="auto"/>
        <w:left w:val="none" w:sz="0" w:space="0" w:color="auto"/>
        <w:bottom w:val="none" w:sz="0" w:space="0" w:color="auto"/>
        <w:right w:val="none" w:sz="0" w:space="0" w:color="auto"/>
      </w:divBdr>
    </w:div>
    <w:div w:id="652300127">
      <w:bodyDiv w:val="1"/>
      <w:marLeft w:val="0"/>
      <w:marRight w:val="0"/>
      <w:marTop w:val="0"/>
      <w:marBottom w:val="0"/>
      <w:divBdr>
        <w:top w:val="none" w:sz="0" w:space="0" w:color="auto"/>
        <w:left w:val="none" w:sz="0" w:space="0" w:color="auto"/>
        <w:bottom w:val="none" w:sz="0" w:space="0" w:color="auto"/>
        <w:right w:val="none" w:sz="0" w:space="0" w:color="auto"/>
      </w:divBdr>
    </w:div>
    <w:div w:id="655183678">
      <w:bodyDiv w:val="1"/>
      <w:marLeft w:val="0"/>
      <w:marRight w:val="0"/>
      <w:marTop w:val="0"/>
      <w:marBottom w:val="0"/>
      <w:divBdr>
        <w:top w:val="none" w:sz="0" w:space="0" w:color="auto"/>
        <w:left w:val="none" w:sz="0" w:space="0" w:color="auto"/>
        <w:bottom w:val="none" w:sz="0" w:space="0" w:color="auto"/>
        <w:right w:val="none" w:sz="0" w:space="0" w:color="auto"/>
      </w:divBdr>
    </w:div>
    <w:div w:id="659121466">
      <w:bodyDiv w:val="1"/>
      <w:marLeft w:val="0"/>
      <w:marRight w:val="0"/>
      <w:marTop w:val="0"/>
      <w:marBottom w:val="0"/>
      <w:divBdr>
        <w:top w:val="none" w:sz="0" w:space="0" w:color="auto"/>
        <w:left w:val="none" w:sz="0" w:space="0" w:color="auto"/>
        <w:bottom w:val="none" w:sz="0" w:space="0" w:color="auto"/>
        <w:right w:val="none" w:sz="0" w:space="0" w:color="auto"/>
      </w:divBdr>
    </w:div>
    <w:div w:id="683439816">
      <w:bodyDiv w:val="1"/>
      <w:marLeft w:val="0"/>
      <w:marRight w:val="0"/>
      <w:marTop w:val="0"/>
      <w:marBottom w:val="0"/>
      <w:divBdr>
        <w:top w:val="none" w:sz="0" w:space="0" w:color="auto"/>
        <w:left w:val="none" w:sz="0" w:space="0" w:color="auto"/>
        <w:bottom w:val="none" w:sz="0" w:space="0" w:color="auto"/>
        <w:right w:val="none" w:sz="0" w:space="0" w:color="auto"/>
      </w:divBdr>
    </w:div>
    <w:div w:id="736636757">
      <w:bodyDiv w:val="1"/>
      <w:marLeft w:val="0"/>
      <w:marRight w:val="0"/>
      <w:marTop w:val="0"/>
      <w:marBottom w:val="0"/>
      <w:divBdr>
        <w:top w:val="none" w:sz="0" w:space="0" w:color="auto"/>
        <w:left w:val="none" w:sz="0" w:space="0" w:color="auto"/>
        <w:bottom w:val="none" w:sz="0" w:space="0" w:color="auto"/>
        <w:right w:val="none" w:sz="0" w:space="0" w:color="auto"/>
      </w:divBdr>
    </w:div>
    <w:div w:id="758253855">
      <w:bodyDiv w:val="1"/>
      <w:marLeft w:val="0"/>
      <w:marRight w:val="0"/>
      <w:marTop w:val="0"/>
      <w:marBottom w:val="0"/>
      <w:divBdr>
        <w:top w:val="none" w:sz="0" w:space="0" w:color="auto"/>
        <w:left w:val="none" w:sz="0" w:space="0" w:color="auto"/>
        <w:bottom w:val="none" w:sz="0" w:space="0" w:color="auto"/>
        <w:right w:val="none" w:sz="0" w:space="0" w:color="auto"/>
      </w:divBdr>
    </w:div>
    <w:div w:id="766999284">
      <w:bodyDiv w:val="1"/>
      <w:marLeft w:val="0"/>
      <w:marRight w:val="0"/>
      <w:marTop w:val="0"/>
      <w:marBottom w:val="0"/>
      <w:divBdr>
        <w:top w:val="none" w:sz="0" w:space="0" w:color="auto"/>
        <w:left w:val="none" w:sz="0" w:space="0" w:color="auto"/>
        <w:bottom w:val="none" w:sz="0" w:space="0" w:color="auto"/>
        <w:right w:val="none" w:sz="0" w:space="0" w:color="auto"/>
      </w:divBdr>
    </w:div>
    <w:div w:id="804389170">
      <w:bodyDiv w:val="1"/>
      <w:marLeft w:val="0"/>
      <w:marRight w:val="0"/>
      <w:marTop w:val="0"/>
      <w:marBottom w:val="0"/>
      <w:divBdr>
        <w:top w:val="none" w:sz="0" w:space="0" w:color="auto"/>
        <w:left w:val="none" w:sz="0" w:space="0" w:color="auto"/>
        <w:bottom w:val="none" w:sz="0" w:space="0" w:color="auto"/>
        <w:right w:val="none" w:sz="0" w:space="0" w:color="auto"/>
      </w:divBdr>
    </w:div>
    <w:div w:id="808861748">
      <w:bodyDiv w:val="1"/>
      <w:marLeft w:val="0"/>
      <w:marRight w:val="0"/>
      <w:marTop w:val="0"/>
      <w:marBottom w:val="0"/>
      <w:divBdr>
        <w:top w:val="none" w:sz="0" w:space="0" w:color="auto"/>
        <w:left w:val="none" w:sz="0" w:space="0" w:color="auto"/>
        <w:bottom w:val="none" w:sz="0" w:space="0" w:color="auto"/>
        <w:right w:val="none" w:sz="0" w:space="0" w:color="auto"/>
      </w:divBdr>
    </w:div>
    <w:div w:id="826287674">
      <w:bodyDiv w:val="1"/>
      <w:marLeft w:val="0"/>
      <w:marRight w:val="0"/>
      <w:marTop w:val="0"/>
      <w:marBottom w:val="0"/>
      <w:divBdr>
        <w:top w:val="none" w:sz="0" w:space="0" w:color="auto"/>
        <w:left w:val="none" w:sz="0" w:space="0" w:color="auto"/>
        <w:bottom w:val="none" w:sz="0" w:space="0" w:color="auto"/>
        <w:right w:val="none" w:sz="0" w:space="0" w:color="auto"/>
      </w:divBdr>
    </w:div>
    <w:div w:id="858927483">
      <w:bodyDiv w:val="1"/>
      <w:marLeft w:val="0"/>
      <w:marRight w:val="0"/>
      <w:marTop w:val="0"/>
      <w:marBottom w:val="0"/>
      <w:divBdr>
        <w:top w:val="none" w:sz="0" w:space="0" w:color="auto"/>
        <w:left w:val="none" w:sz="0" w:space="0" w:color="auto"/>
        <w:bottom w:val="none" w:sz="0" w:space="0" w:color="auto"/>
        <w:right w:val="none" w:sz="0" w:space="0" w:color="auto"/>
      </w:divBdr>
    </w:div>
    <w:div w:id="882867177">
      <w:bodyDiv w:val="1"/>
      <w:marLeft w:val="0"/>
      <w:marRight w:val="0"/>
      <w:marTop w:val="0"/>
      <w:marBottom w:val="0"/>
      <w:divBdr>
        <w:top w:val="none" w:sz="0" w:space="0" w:color="auto"/>
        <w:left w:val="none" w:sz="0" w:space="0" w:color="auto"/>
        <w:bottom w:val="none" w:sz="0" w:space="0" w:color="auto"/>
        <w:right w:val="none" w:sz="0" w:space="0" w:color="auto"/>
      </w:divBdr>
    </w:div>
    <w:div w:id="909579284">
      <w:bodyDiv w:val="1"/>
      <w:marLeft w:val="0"/>
      <w:marRight w:val="0"/>
      <w:marTop w:val="0"/>
      <w:marBottom w:val="0"/>
      <w:divBdr>
        <w:top w:val="none" w:sz="0" w:space="0" w:color="auto"/>
        <w:left w:val="none" w:sz="0" w:space="0" w:color="auto"/>
        <w:bottom w:val="none" w:sz="0" w:space="0" w:color="auto"/>
        <w:right w:val="none" w:sz="0" w:space="0" w:color="auto"/>
      </w:divBdr>
      <w:divsChild>
        <w:div w:id="697854899">
          <w:marLeft w:val="360"/>
          <w:marRight w:val="0"/>
          <w:marTop w:val="200"/>
          <w:marBottom w:val="0"/>
          <w:divBdr>
            <w:top w:val="none" w:sz="0" w:space="0" w:color="auto"/>
            <w:left w:val="none" w:sz="0" w:space="0" w:color="auto"/>
            <w:bottom w:val="none" w:sz="0" w:space="0" w:color="auto"/>
            <w:right w:val="none" w:sz="0" w:space="0" w:color="auto"/>
          </w:divBdr>
        </w:div>
        <w:div w:id="95486896">
          <w:marLeft w:val="360"/>
          <w:marRight w:val="0"/>
          <w:marTop w:val="200"/>
          <w:marBottom w:val="0"/>
          <w:divBdr>
            <w:top w:val="none" w:sz="0" w:space="0" w:color="auto"/>
            <w:left w:val="none" w:sz="0" w:space="0" w:color="auto"/>
            <w:bottom w:val="none" w:sz="0" w:space="0" w:color="auto"/>
            <w:right w:val="none" w:sz="0" w:space="0" w:color="auto"/>
          </w:divBdr>
        </w:div>
        <w:div w:id="493109230">
          <w:marLeft w:val="360"/>
          <w:marRight w:val="0"/>
          <w:marTop w:val="200"/>
          <w:marBottom w:val="0"/>
          <w:divBdr>
            <w:top w:val="none" w:sz="0" w:space="0" w:color="auto"/>
            <w:left w:val="none" w:sz="0" w:space="0" w:color="auto"/>
            <w:bottom w:val="none" w:sz="0" w:space="0" w:color="auto"/>
            <w:right w:val="none" w:sz="0" w:space="0" w:color="auto"/>
          </w:divBdr>
        </w:div>
      </w:divsChild>
    </w:div>
    <w:div w:id="952253373">
      <w:bodyDiv w:val="1"/>
      <w:marLeft w:val="0"/>
      <w:marRight w:val="0"/>
      <w:marTop w:val="0"/>
      <w:marBottom w:val="0"/>
      <w:divBdr>
        <w:top w:val="none" w:sz="0" w:space="0" w:color="auto"/>
        <w:left w:val="none" w:sz="0" w:space="0" w:color="auto"/>
        <w:bottom w:val="none" w:sz="0" w:space="0" w:color="auto"/>
        <w:right w:val="none" w:sz="0" w:space="0" w:color="auto"/>
      </w:divBdr>
    </w:div>
    <w:div w:id="955523958">
      <w:bodyDiv w:val="1"/>
      <w:marLeft w:val="0"/>
      <w:marRight w:val="0"/>
      <w:marTop w:val="0"/>
      <w:marBottom w:val="0"/>
      <w:divBdr>
        <w:top w:val="none" w:sz="0" w:space="0" w:color="auto"/>
        <w:left w:val="none" w:sz="0" w:space="0" w:color="auto"/>
        <w:bottom w:val="none" w:sz="0" w:space="0" w:color="auto"/>
        <w:right w:val="none" w:sz="0" w:space="0" w:color="auto"/>
      </w:divBdr>
    </w:div>
    <w:div w:id="968241233">
      <w:bodyDiv w:val="1"/>
      <w:marLeft w:val="0"/>
      <w:marRight w:val="0"/>
      <w:marTop w:val="0"/>
      <w:marBottom w:val="0"/>
      <w:divBdr>
        <w:top w:val="none" w:sz="0" w:space="0" w:color="auto"/>
        <w:left w:val="none" w:sz="0" w:space="0" w:color="auto"/>
        <w:bottom w:val="none" w:sz="0" w:space="0" w:color="auto"/>
        <w:right w:val="none" w:sz="0" w:space="0" w:color="auto"/>
      </w:divBdr>
    </w:div>
    <w:div w:id="990258906">
      <w:bodyDiv w:val="1"/>
      <w:marLeft w:val="0"/>
      <w:marRight w:val="0"/>
      <w:marTop w:val="0"/>
      <w:marBottom w:val="0"/>
      <w:divBdr>
        <w:top w:val="none" w:sz="0" w:space="0" w:color="auto"/>
        <w:left w:val="none" w:sz="0" w:space="0" w:color="auto"/>
        <w:bottom w:val="none" w:sz="0" w:space="0" w:color="auto"/>
        <w:right w:val="none" w:sz="0" w:space="0" w:color="auto"/>
      </w:divBdr>
    </w:div>
    <w:div w:id="1032531566">
      <w:bodyDiv w:val="1"/>
      <w:marLeft w:val="0"/>
      <w:marRight w:val="0"/>
      <w:marTop w:val="0"/>
      <w:marBottom w:val="0"/>
      <w:divBdr>
        <w:top w:val="none" w:sz="0" w:space="0" w:color="auto"/>
        <w:left w:val="none" w:sz="0" w:space="0" w:color="auto"/>
        <w:bottom w:val="none" w:sz="0" w:space="0" w:color="auto"/>
        <w:right w:val="none" w:sz="0" w:space="0" w:color="auto"/>
      </w:divBdr>
    </w:div>
    <w:div w:id="1034384632">
      <w:bodyDiv w:val="1"/>
      <w:marLeft w:val="0"/>
      <w:marRight w:val="0"/>
      <w:marTop w:val="0"/>
      <w:marBottom w:val="0"/>
      <w:divBdr>
        <w:top w:val="none" w:sz="0" w:space="0" w:color="auto"/>
        <w:left w:val="none" w:sz="0" w:space="0" w:color="auto"/>
        <w:bottom w:val="none" w:sz="0" w:space="0" w:color="auto"/>
        <w:right w:val="none" w:sz="0" w:space="0" w:color="auto"/>
      </w:divBdr>
    </w:div>
    <w:div w:id="1071467960">
      <w:bodyDiv w:val="1"/>
      <w:marLeft w:val="0"/>
      <w:marRight w:val="0"/>
      <w:marTop w:val="0"/>
      <w:marBottom w:val="0"/>
      <w:divBdr>
        <w:top w:val="none" w:sz="0" w:space="0" w:color="auto"/>
        <w:left w:val="none" w:sz="0" w:space="0" w:color="auto"/>
        <w:bottom w:val="none" w:sz="0" w:space="0" w:color="auto"/>
        <w:right w:val="none" w:sz="0" w:space="0" w:color="auto"/>
      </w:divBdr>
    </w:div>
    <w:div w:id="1077289544">
      <w:bodyDiv w:val="1"/>
      <w:marLeft w:val="0"/>
      <w:marRight w:val="0"/>
      <w:marTop w:val="0"/>
      <w:marBottom w:val="0"/>
      <w:divBdr>
        <w:top w:val="none" w:sz="0" w:space="0" w:color="auto"/>
        <w:left w:val="none" w:sz="0" w:space="0" w:color="auto"/>
        <w:bottom w:val="none" w:sz="0" w:space="0" w:color="auto"/>
        <w:right w:val="none" w:sz="0" w:space="0" w:color="auto"/>
      </w:divBdr>
    </w:div>
    <w:div w:id="1103262408">
      <w:bodyDiv w:val="1"/>
      <w:marLeft w:val="0"/>
      <w:marRight w:val="0"/>
      <w:marTop w:val="0"/>
      <w:marBottom w:val="0"/>
      <w:divBdr>
        <w:top w:val="none" w:sz="0" w:space="0" w:color="auto"/>
        <w:left w:val="none" w:sz="0" w:space="0" w:color="auto"/>
        <w:bottom w:val="none" w:sz="0" w:space="0" w:color="auto"/>
        <w:right w:val="none" w:sz="0" w:space="0" w:color="auto"/>
      </w:divBdr>
    </w:div>
    <w:div w:id="1118065326">
      <w:bodyDiv w:val="1"/>
      <w:marLeft w:val="0"/>
      <w:marRight w:val="0"/>
      <w:marTop w:val="0"/>
      <w:marBottom w:val="0"/>
      <w:divBdr>
        <w:top w:val="none" w:sz="0" w:space="0" w:color="auto"/>
        <w:left w:val="none" w:sz="0" w:space="0" w:color="auto"/>
        <w:bottom w:val="none" w:sz="0" w:space="0" w:color="auto"/>
        <w:right w:val="none" w:sz="0" w:space="0" w:color="auto"/>
      </w:divBdr>
      <w:divsChild>
        <w:div w:id="1065957208">
          <w:marLeft w:val="0"/>
          <w:marRight w:val="0"/>
          <w:marTop w:val="0"/>
          <w:marBottom w:val="0"/>
          <w:divBdr>
            <w:top w:val="none" w:sz="0" w:space="0" w:color="auto"/>
            <w:left w:val="none" w:sz="0" w:space="0" w:color="auto"/>
            <w:bottom w:val="none" w:sz="0" w:space="0" w:color="auto"/>
            <w:right w:val="none" w:sz="0" w:space="0" w:color="auto"/>
          </w:divBdr>
          <w:divsChild>
            <w:div w:id="1953660395">
              <w:marLeft w:val="0"/>
              <w:marRight w:val="0"/>
              <w:marTop w:val="0"/>
              <w:marBottom w:val="0"/>
              <w:divBdr>
                <w:top w:val="none" w:sz="0" w:space="0" w:color="auto"/>
                <w:left w:val="none" w:sz="0" w:space="0" w:color="auto"/>
                <w:bottom w:val="none" w:sz="0" w:space="0" w:color="auto"/>
                <w:right w:val="none" w:sz="0" w:space="0" w:color="auto"/>
              </w:divBdr>
              <w:divsChild>
                <w:div w:id="1713312462">
                  <w:marLeft w:val="0"/>
                  <w:marRight w:val="0"/>
                  <w:marTop w:val="0"/>
                  <w:marBottom w:val="0"/>
                  <w:divBdr>
                    <w:top w:val="none" w:sz="0" w:space="0" w:color="auto"/>
                    <w:left w:val="none" w:sz="0" w:space="0" w:color="auto"/>
                    <w:bottom w:val="none" w:sz="0" w:space="0" w:color="auto"/>
                    <w:right w:val="none" w:sz="0" w:space="0" w:color="auto"/>
                  </w:divBdr>
                  <w:divsChild>
                    <w:div w:id="1774130230">
                      <w:marLeft w:val="0"/>
                      <w:marRight w:val="0"/>
                      <w:marTop w:val="0"/>
                      <w:marBottom w:val="0"/>
                      <w:divBdr>
                        <w:top w:val="none" w:sz="0" w:space="0" w:color="auto"/>
                        <w:left w:val="none" w:sz="0" w:space="0" w:color="auto"/>
                        <w:bottom w:val="none" w:sz="0" w:space="0" w:color="auto"/>
                        <w:right w:val="none" w:sz="0" w:space="0" w:color="auto"/>
                      </w:divBdr>
                      <w:divsChild>
                        <w:div w:id="2071073309">
                          <w:marLeft w:val="0"/>
                          <w:marRight w:val="0"/>
                          <w:marTop w:val="0"/>
                          <w:marBottom w:val="0"/>
                          <w:divBdr>
                            <w:top w:val="none" w:sz="0" w:space="0" w:color="auto"/>
                            <w:left w:val="none" w:sz="0" w:space="0" w:color="auto"/>
                            <w:bottom w:val="none" w:sz="0" w:space="0" w:color="auto"/>
                            <w:right w:val="none" w:sz="0" w:space="0" w:color="auto"/>
                          </w:divBdr>
                          <w:divsChild>
                            <w:div w:id="1874533648">
                              <w:marLeft w:val="0"/>
                              <w:marRight w:val="0"/>
                              <w:marTop w:val="0"/>
                              <w:marBottom w:val="0"/>
                              <w:divBdr>
                                <w:top w:val="none" w:sz="0" w:space="0" w:color="auto"/>
                                <w:left w:val="none" w:sz="0" w:space="0" w:color="auto"/>
                                <w:bottom w:val="none" w:sz="0" w:space="0" w:color="auto"/>
                                <w:right w:val="none" w:sz="0" w:space="0" w:color="auto"/>
                              </w:divBdr>
                              <w:divsChild>
                                <w:div w:id="1969625660">
                                  <w:marLeft w:val="0"/>
                                  <w:marRight w:val="0"/>
                                  <w:marTop w:val="0"/>
                                  <w:marBottom w:val="0"/>
                                  <w:divBdr>
                                    <w:top w:val="none" w:sz="0" w:space="0" w:color="auto"/>
                                    <w:left w:val="none" w:sz="0" w:space="0" w:color="auto"/>
                                    <w:bottom w:val="none" w:sz="0" w:space="0" w:color="auto"/>
                                    <w:right w:val="none" w:sz="0" w:space="0" w:color="auto"/>
                                  </w:divBdr>
                                  <w:divsChild>
                                    <w:div w:id="731731447">
                                      <w:marLeft w:val="0"/>
                                      <w:marRight w:val="0"/>
                                      <w:marTop w:val="0"/>
                                      <w:marBottom w:val="0"/>
                                      <w:divBdr>
                                        <w:top w:val="none" w:sz="0" w:space="0" w:color="auto"/>
                                        <w:left w:val="none" w:sz="0" w:space="0" w:color="auto"/>
                                        <w:bottom w:val="none" w:sz="0" w:space="0" w:color="auto"/>
                                        <w:right w:val="none" w:sz="0" w:space="0" w:color="auto"/>
                                      </w:divBdr>
                                      <w:divsChild>
                                        <w:div w:id="1034114409">
                                          <w:marLeft w:val="0"/>
                                          <w:marRight w:val="0"/>
                                          <w:marTop w:val="0"/>
                                          <w:marBottom w:val="0"/>
                                          <w:divBdr>
                                            <w:top w:val="none" w:sz="0" w:space="0" w:color="auto"/>
                                            <w:left w:val="none" w:sz="0" w:space="0" w:color="auto"/>
                                            <w:bottom w:val="none" w:sz="0" w:space="0" w:color="auto"/>
                                            <w:right w:val="none" w:sz="0" w:space="0" w:color="auto"/>
                                          </w:divBdr>
                                          <w:divsChild>
                                            <w:div w:id="210773526">
                                              <w:marLeft w:val="0"/>
                                              <w:marRight w:val="0"/>
                                              <w:marTop w:val="0"/>
                                              <w:marBottom w:val="0"/>
                                              <w:divBdr>
                                                <w:top w:val="none" w:sz="0" w:space="0" w:color="auto"/>
                                                <w:left w:val="none" w:sz="0" w:space="0" w:color="auto"/>
                                                <w:bottom w:val="none" w:sz="0" w:space="0" w:color="auto"/>
                                                <w:right w:val="none" w:sz="0" w:space="0" w:color="auto"/>
                                              </w:divBdr>
                                              <w:divsChild>
                                                <w:div w:id="1746761076">
                                                  <w:marLeft w:val="0"/>
                                                  <w:marRight w:val="0"/>
                                                  <w:marTop w:val="0"/>
                                                  <w:marBottom w:val="0"/>
                                                  <w:divBdr>
                                                    <w:top w:val="none" w:sz="0" w:space="0" w:color="auto"/>
                                                    <w:left w:val="none" w:sz="0" w:space="0" w:color="auto"/>
                                                    <w:bottom w:val="none" w:sz="0" w:space="0" w:color="auto"/>
                                                    <w:right w:val="none" w:sz="0" w:space="0" w:color="auto"/>
                                                  </w:divBdr>
                                                  <w:divsChild>
                                                    <w:div w:id="1878808018">
                                                      <w:marLeft w:val="0"/>
                                                      <w:marRight w:val="0"/>
                                                      <w:marTop w:val="0"/>
                                                      <w:marBottom w:val="0"/>
                                                      <w:divBdr>
                                                        <w:top w:val="single" w:sz="6" w:space="0" w:color="ABABAB"/>
                                                        <w:left w:val="single" w:sz="6" w:space="0" w:color="ABABAB"/>
                                                        <w:bottom w:val="none" w:sz="0" w:space="0" w:color="auto"/>
                                                        <w:right w:val="single" w:sz="6" w:space="0" w:color="ABABAB"/>
                                                      </w:divBdr>
                                                      <w:divsChild>
                                                        <w:div w:id="1574243972">
                                                          <w:marLeft w:val="0"/>
                                                          <w:marRight w:val="0"/>
                                                          <w:marTop w:val="0"/>
                                                          <w:marBottom w:val="0"/>
                                                          <w:divBdr>
                                                            <w:top w:val="none" w:sz="0" w:space="0" w:color="auto"/>
                                                            <w:left w:val="none" w:sz="0" w:space="0" w:color="auto"/>
                                                            <w:bottom w:val="none" w:sz="0" w:space="0" w:color="auto"/>
                                                            <w:right w:val="none" w:sz="0" w:space="0" w:color="auto"/>
                                                          </w:divBdr>
                                                          <w:divsChild>
                                                            <w:div w:id="1774932313">
                                                              <w:marLeft w:val="0"/>
                                                              <w:marRight w:val="0"/>
                                                              <w:marTop w:val="0"/>
                                                              <w:marBottom w:val="0"/>
                                                              <w:divBdr>
                                                                <w:top w:val="none" w:sz="0" w:space="0" w:color="auto"/>
                                                                <w:left w:val="none" w:sz="0" w:space="0" w:color="auto"/>
                                                                <w:bottom w:val="none" w:sz="0" w:space="0" w:color="auto"/>
                                                                <w:right w:val="none" w:sz="0" w:space="0" w:color="auto"/>
                                                              </w:divBdr>
                                                              <w:divsChild>
                                                                <w:div w:id="303242795">
                                                                  <w:marLeft w:val="0"/>
                                                                  <w:marRight w:val="0"/>
                                                                  <w:marTop w:val="0"/>
                                                                  <w:marBottom w:val="0"/>
                                                                  <w:divBdr>
                                                                    <w:top w:val="none" w:sz="0" w:space="0" w:color="auto"/>
                                                                    <w:left w:val="none" w:sz="0" w:space="0" w:color="auto"/>
                                                                    <w:bottom w:val="none" w:sz="0" w:space="0" w:color="auto"/>
                                                                    <w:right w:val="none" w:sz="0" w:space="0" w:color="auto"/>
                                                                  </w:divBdr>
                                                                  <w:divsChild>
                                                                    <w:div w:id="1672826956">
                                                                      <w:marLeft w:val="0"/>
                                                                      <w:marRight w:val="0"/>
                                                                      <w:marTop w:val="0"/>
                                                                      <w:marBottom w:val="0"/>
                                                                      <w:divBdr>
                                                                        <w:top w:val="none" w:sz="0" w:space="0" w:color="auto"/>
                                                                        <w:left w:val="none" w:sz="0" w:space="0" w:color="auto"/>
                                                                        <w:bottom w:val="none" w:sz="0" w:space="0" w:color="auto"/>
                                                                        <w:right w:val="none" w:sz="0" w:space="0" w:color="auto"/>
                                                                      </w:divBdr>
                                                                      <w:divsChild>
                                                                        <w:div w:id="35930729">
                                                                          <w:marLeft w:val="0"/>
                                                                          <w:marRight w:val="0"/>
                                                                          <w:marTop w:val="0"/>
                                                                          <w:marBottom w:val="0"/>
                                                                          <w:divBdr>
                                                                            <w:top w:val="none" w:sz="0" w:space="0" w:color="auto"/>
                                                                            <w:left w:val="none" w:sz="0" w:space="0" w:color="auto"/>
                                                                            <w:bottom w:val="none" w:sz="0" w:space="0" w:color="auto"/>
                                                                            <w:right w:val="none" w:sz="0" w:space="0" w:color="auto"/>
                                                                          </w:divBdr>
                                                                          <w:divsChild>
                                                                            <w:div w:id="2001737910">
                                                                              <w:marLeft w:val="0"/>
                                                                              <w:marRight w:val="0"/>
                                                                              <w:marTop w:val="0"/>
                                                                              <w:marBottom w:val="0"/>
                                                                              <w:divBdr>
                                                                                <w:top w:val="none" w:sz="0" w:space="0" w:color="auto"/>
                                                                                <w:left w:val="none" w:sz="0" w:space="0" w:color="auto"/>
                                                                                <w:bottom w:val="none" w:sz="0" w:space="0" w:color="auto"/>
                                                                                <w:right w:val="none" w:sz="0" w:space="0" w:color="auto"/>
                                                                              </w:divBdr>
                                                                              <w:divsChild>
                                                                                <w:div w:id="2103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93945">
      <w:bodyDiv w:val="1"/>
      <w:marLeft w:val="0"/>
      <w:marRight w:val="0"/>
      <w:marTop w:val="0"/>
      <w:marBottom w:val="0"/>
      <w:divBdr>
        <w:top w:val="none" w:sz="0" w:space="0" w:color="auto"/>
        <w:left w:val="none" w:sz="0" w:space="0" w:color="auto"/>
        <w:bottom w:val="none" w:sz="0" w:space="0" w:color="auto"/>
        <w:right w:val="none" w:sz="0" w:space="0" w:color="auto"/>
      </w:divBdr>
    </w:div>
    <w:div w:id="1153716676">
      <w:bodyDiv w:val="1"/>
      <w:marLeft w:val="0"/>
      <w:marRight w:val="0"/>
      <w:marTop w:val="0"/>
      <w:marBottom w:val="0"/>
      <w:divBdr>
        <w:top w:val="none" w:sz="0" w:space="0" w:color="auto"/>
        <w:left w:val="none" w:sz="0" w:space="0" w:color="auto"/>
        <w:bottom w:val="none" w:sz="0" w:space="0" w:color="auto"/>
        <w:right w:val="none" w:sz="0" w:space="0" w:color="auto"/>
      </w:divBdr>
    </w:div>
    <w:div w:id="1172721592">
      <w:bodyDiv w:val="1"/>
      <w:marLeft w:val="0"/>
      <w:marRight w:val="0"/>
      <w:marTop w:val="0"/>
      <w:marBottom w:val="0"/>
      <w:divBdr>
        <w:top w:val="none" w:sz="0" w:space="0" w:color="auto"/>
        <w:left w:val="none" w:sz="0" w:space="0" w:color="auto"/>
        <w:bottom w:val="none" w:sz="0" w:space="0" w:color="auto"/>
        <w:right w:val="none" w:sz="0" w:space="0" w:color="auto"/>
      </w:divBdr>
    </w:div>
    <w:div w:id="1183739057">
      <w:bodyDiv w:val="1"/>
      <w:marLeft w:val="0"/>
      <w:marRight w:val="0"/>
      <w:marTop w:val="0"/>
      <w:marBottom w:val="0"/>
      <w:divBdr>
        <w:top w:val="none" w:sz="0" w:space="0" w:color="auto"/>
        <w:left w:val="none" w:sz="0" w:space="0" w:color="auto"/>
        <w:bottom w:val="none" w:sz="0" w:space="0" w:color="auto"/>
        <w:right w:val="none" w:sz="0" w:space="0" w:color="auto"/>
      </w:divBdr>
    </w:div>
    <w:div w:id="1194001840">
      <w:bodyDiv w:val="1"/>
      <w:marLeft w:val="0"/>
      <w:marRight w:val="0"/>
      <w:marTop w:val="0"/>
      <w:marBottom w:val="0"/>
      <w:divBdr>
        <w:top w:val="none" w:sz="0" w:space="0" w:color="auto"/>
        <w:left w:val="none" w:sz="0" w:space="0" w:color="auto"/>
        <w:bottom w:val="none" w:sz="0" w:space="0" w:color="auto"/>
        <w:right w:val="none" w:sz="0" w:space="0" w:color="auto"/>
      </w:divBdr>
    </w:div>
    <w:div w:id="1203908940">
      <w:bodyDiv w:val="1"/>
      <w:marLeft w:val="0"/>
      <w:marRight w:val="0"/>
      <w:marTop w:val="0"/>
      <w:marBottom w:val="0"/>
      <w:divBdr>
        <w:top w:val="none" w:sz="0" w:space="0" w:color="auto"/>
        <w:left w:val="none" w:sz="0" w:space="0" w:color="auto"/>
        <w:bottom w:val="none" w:sz="0" w:space="0" w:color="auto"/>
        <w:right w:val="none" w:sz="0" w:space="0" w:color="auto"/>
      </w:divBdr>
    </w:div>
    <w:div w:id="1217354717">
      <w:bodyDiv w:val="1"/>
      <w:marLeft w:val="0"/>
      <w:marRight w:val="0"/>
      <w:marTop w:val="0"/>
      <w:marBottom w:val="0"/>
      <w:divBdr>
        <w:top w:val="none" w:sz="0" w:space="0" w:color="auto"/>
        <w:left w:val="none" w:sz="0" w:space="0" w:color="auto"/>
        <w:bottom w:val="none" w:sz="0" w:space="0" w:color="auto"/>
        <w:right w:val="none" w:sz="0" w:space="0" w:color="auto"/>
      </w:divBdr>
    </w:div>
    <w:div w:id="1219633011">
      <w:bodyDiv w:val="1"/>
      <w:marLeft w:val="0"/>
      <w:marRight w:val="0"/>
      <w:marTop w:val="0"/>
      <w:marBottom w:val="0"/>
      <w:divBdr>
        <w:top w:val="none" w:sz="0" w:space="0" w:color="auto"/>
        <w:left w:val="none" w:sz="0" w:space="0" w:color="auto"/>
        <w:bottom w:val="none" w:sz="0" w:space="0" w:color="auto"/>
        <w:right w:val="none" w:sz="0" w:space="0" w:color="auto"/>
      </w:divBdr>
    </w:div>
    <w:div w:id="1250695352">
      <w:bodyDiv w:val="1"/>
      <w:marLeft w:val="0"/>
      <w:marRight w:val="0"/>
      <w:marTop w:val="0"/>
      <w:marBottom w:val="0"/>
      <w:divBdr>
        <w:top w:val="none" w:sz="0" w:space="0" w:color="auto"/>
        <w:left w:val="none" w:sz="0" w:space="0" w:color="auto"/>
        <w:bottom w:val="none" w:sz="0" w:space="0" w:color="auto"/>
        <w:right w:val="none" w:sz="0" w:space="0" w:color="auto"/>
      </w:divBdr>
    </w:div>
    <w:div w:id="1261371457">
      <w:bodyDiv w:val="1"/>
      <w:marLeft w:val="0"/>
      <w:marRight w:val="0"/>
      <w:marTop w:val="0"/>
      <w:marBottom w:val="0"/>
      <w:divBdr>
        <w:top w:val="none" w:sz="0" w:space="0" w:color="auto"/>
        <w:left w:val="none" w:sz="0" w:space="0" w:color="auto"/>
        <w:bottom w:val="none" w:sz="0" w:space="0" w:color="auto"/>
        <w:right w:val="none" w:sz="0" w:space="0" w:color="auto"/>
      </w:divBdr>
    </w:div>
    <w:div w:id="1327244823">
      <w:bodyDiv w:val="1"/>
      <w:marLeft w:val="0"/>
      <w:marRight w:val="0"/>
      <w:marTop w:val="0"/>
      <w:marBottom w:val="0"/>
      <w:divBdr>
        <w:top w:val="none" w:sz="0" w:space="0" w:color="auto"/>
        <w:left w:val="none" w:sz="0" w:space="0" w:color="auto"/>
        <w:bottom w:val="none" w:sz="0" w:space="0" w:color="auto"/>
        <w:right w:val="none" w:sz="0" w:space="0" w:color="auto"/>
      </w:divBdr>
    </w:div>
    <w:div w:id="1327392362">
      <w:bodyDiv w:val="1"/>
      <w:marLeft w:val="0"/>
      <w:marRight w:val="0"/>
      <w:marTop w:val="0"/>
      <w:marBottom w:val="0"/>
      <w:divBdr>
        <w:top w:val="none" w:sz="0" w:space="0" w:color="auto"/>
        <w:left w:val="none" w:sz="0" w:space="0" w:color="auto"/>
        <w:bottom w:val="none" w:sz="0" w:space="0" w:color="auto"/>
        <w:right w:val="none" w:sz="0" w:space="0" w:color="auto"/>
      </w:divBdr>
    </w:div>
    <w:div w:id="1348023587">
      <w:bodyDiv w:val="1"/>
      <w:marLeft w:val="0"/>
      <w:marRight w:val="0"/>
      <w:marTop w:val="0"/>
      <w:marBottom w:val="0"/>
      <w:divBdr>
        <w:top w:val="none" w:sz="0" w:space="0" w:color="auto"/>
        <w:left w:val="none" w:sz="0" w:space="0" w:color="auto"/>
        <w:bottom w:val="none" w:sz="0" w:space="0" w:color="auto"/>
        <w:right w:val="none" w:sz="0" w:space="0" w:color="auto"/>
      </w:divBdr>
    </w:div>
    <w:div w:id="1382511277">
      <w:bodyDiv w:val="1"/>
      <w:marLeft w:val="0"/>
      <w:marRight w:val="0"/>
      <w:marTop w:val="0"/>
      <w:marBottom w:val="0"/>
      <w:divBdr>
        <w:top w:val="none" w:sz="0" w:space="0" w:color="auto"/>
        <w:left w:val="none" w:sz="0" w:space="0" w:color="auto"/>
        <w:bottom w:val="none" w:sz="0" w:space="0" w:color="auto"/>
        <w:right w:val="none" w:sz="0" w:space="0" w:color="auto"/>
      </w:divBdr>
    </w:div>
    <w:div w:id="1395859043">
      <w:bodyDiv w:val="1"/>
      <w:marLeft w:val="0"/>
      <w:marRight w:val="0"/>
      <w:marTop w:val="0"/>
      <w:marBottom w:val="0"/>
      <w:divBdr>
        <w:top w:val="none" w:sz="0" w:space="0" w:color="auto"/>
        <w:left w:val="none" w:sz="0" w:space="0" w:color="auto"/>
        <w:bottom w:val="none" w:sz="0" w:space="0" w:color="auto"/>
        <w:right w:val="none" w:sz="0" w:space="0" w:color="auto"/>
      </w:divBdr>
    </w:div>
    <w:div w:id="1418015961">
      <w:bodyDiv w:val="1"/>
      <w:marLeft w:val="0"/>
      <w:marRight w:val="0"/>
      <w:marTop w:val="0"/>
      <w:marBottom w:val="0"/>
      <w:divBdr>
        <w:top w:val="none" w:sz="0" w:space="0" w:color="auto"/>
        <w:left w:val="none" w:sz="0" w:space="0" w:color="auto"/>
        <w:bottom w:val="none" w:sz="0" w:space="0" w:color="auto"/>
        <w:right w:val="none" w:sz="0" w:space="0" w:color="auto"/>
      </w:divBdr>
    </w:div>
    <w:div w:id="1426806098">
      <w:bodyDiv w:val="1"/>
      <w:marLeft w:val="0"/>
      <w:marRight w:val="0"/>
      <w:marTop w:val="0"/>
      <w:marBottom w:val="0"/>
      <w:divBdr>
        <w:top w:val="none" w:sz="0" w:space="0" w:color="auto"/>
        <w:left w:val="none" w:sz="0" w:space="0" w:color="auto"/>
        <w:bottom w:val="none" w:sz="0" w:space="0" w:color="auto"/>
        <w:right w:val="none" w:sz="0" w:space="0" w:color="auto"/>
      </w:divBdr>
    </w:div>
    <w:div w:id="1431779578">
      <w:bodyDiv w:val="1"/>
      <w:marLeft w:val="0"/>
      <w:marRight w:val="0"/>
      <w:marTop w:val="0"/>
      <w:marBottom w:val="0"/>
      <w:divBdr>
        <w:top w:val="none" w:sz="0" w:space="0" w:color="auto"/>
        <w:left w:val="none" w:sz="0" w:space="0" w:color="auto"/>
        <w:bottom w:val="none" w:sz="0" w:space="0" w:color="auto"/>
        <w:right w:val="none" w:sz="0" w:space="0" w:color="auto"/>
      </w:divBdr>
    </w:div>
    <w:div w:id="1439640044">
      <w:bodyDiv w:val="1"/>
      <w:marLeft w:val="0"/>
      <w:marRight w:val="0"/>
      <w:marTop w:val="0"/>
      <w:marBottom w:val="0"/>
      <w:divBdr>
        <w:top w:val="none" w:sz="0" w:space="0" w:color="auto"/>
        <w:left w:val="none" w:sz="0" w:space="0" w:color="auto"/>
        <w:bottom w:val="none" w:sz="0" w:space="0" w:color="auto"/>
        <w:right w:val="none" w:sz="0" w:space="0" w:color="auto"/>
      </w:divBdr>
      <w:divsChild>
        <w:div w:id="214977016">
          <w:marLeft w:val="360"/>
          <w:marRight w:val="0"/>
          <w:marTop w:val="200"/>
          <w:marBottom w:val="0"/>
          <w:divBdr>
            <w:top w:val="none" w:sz="0" w:space="0" w:color="auto"/>
            <w:left w:val="none" w:sz="0" w:space="0" w:color="auto"/>
            <w:bottom w:val="none" w:sz="0" w:space="0" w:color="auto"/>
            <w:right w:val="none" w:sz="0" w:space="0" w:color="auto"/>
          </w:divBdr>
        </w:div>
        <w:div w:id="958295309">
          <w:marLeft w:val="360"/>
          <w:marRight w:val="0"/>
          <w:marTop w:val="200"/>
          <w:marBottom w:val="0"/>
          <w:divBdr>
            <w:top w:val="none" w:sz="0" w:space="0" w:color="auto"/>
            <w:left w:val="none" w:sz="0" w:space="0" w:color="auto"/>
            <w:bottom w:val="none" w:sz="0" w:space="0" w:color="auto"/>
            <w:right w:val="none" w:sz="0" w:space="0" w:color="auto"/>
          </w:divBdr>
        </w:div>
      </w:divsChild>
    </w:div>
    <w:div w:id="1442147786">
      <w:bodyDiv w:val="1"/>
      <w:marLeft w:val="0"/>
      <w:marRight w:val="0"/>
      <w:marTop w:val="0"/>
      <w:marBottom w:val="0"/>
      <w:divBdr>
        <w:top w:val="none" w:sz="0" w:space="0" w:color="auto"/>
        <w:left w:val="none" w:sz="0" w:space="0" w:color="auto"/>
        <w:bottom w:val="none" w:sz="0" w:space="0" w:color="auto"/>
        <w:right w:val="none" w:sz="0" w:space="0" w:color="auto"/>
      </w:divBdr>
    </w:div>
    <w:div w:id="1444767445">
      <w:bodyDiv w:val="1"/>
      <w:marLeft w:val="0"/>
      <w:marRight w:val="0"/>
      <w:marTop w:val="0"/>
      <w:marBottom w:val="0"/>
      <w:divBdr>
        <w:top w:val="none" w:sz="0" w:space="0" w:color="auto"/>
        <w:left w:val="none" w:sz="0" w:space="0" w:color="auto"/>
        <w:bottom w:val="none" w:sz="0" w:space="0" w:color="auto"/>
        <w:right w:val="none" w:sz="0" w:space="0" w:color="auto"/>
      </w:divBdr>
    </w:div>
    <w:div w:id="1459762675">
      <w:bodyDiv w:val="1"/>
      <w:marLeft w:val="0"/>
      <w:marRight w:val="0"/>
      <w:marTop w:val="0"/>
      <w:marBottom w:val="0"/>
      <w:divBdr>
        <w:top w:val="none" w:sz="0" w:space="0" w:color="auto"/>
        <w:left w:val="none" w:sz="0" w:space="0" w:color="auto"/>
        <w:bottom w:val="none" w:sz="0" w:space="0" w:color="auto"/>
        <w:right w:val="none" w:sz="0" w:space="0" w:color="auto"/>
      </w:divBdr>
    </w:div>
    <w:div w:id="1465391836">
      <w:bodyDiv w:val="1"/>
      <w:marLeft w:val="0"/>
      <w:marRight w:val="0"/>
      <w:marTop w:val="0"/>
      <w:marBottom w:val="0"/>
      <w:divBdr>
        <w:top w:val="none" w:sz="0" w:space="0" w:color="auto"/>
        <w:left w:val="none" w:sz="0" w:space="0" w:color="auto"/>
        <w:bottom w:val="none" w:sz="0" w:space="0" w:color="auto"/>
        <w:right w:val="none" w:sz="0" w:space="0" w:color="auto"/>
      </w:divBdr>
    </w:div>
    <w:div w:id="1475100481">
      <w:bodyDiv w:val="1"/>
      <w:marLeft w:val="0"/>
      <w:marRight w:val="0"/>
      <w:marTop w:val="0"/>
      <w:marBottom w:val="0"/>
      <w:divBdr>
        <w:top w:val="none" w:sz="0" w:space="0" w:color="auto"/>
        <w:left w:val="none" w:sz="0" w:space="0" w:color="auto"/>
        <w:bottom w:val="none" w:sz="0" w:space="0" w:color="auto"/>
        <w:right w:val="none" w:sz="0" w:space="0" w:color="auto"/>
      </w:divBdr>
    </w:div>
    <w:div w:id="1475946032">
      <w:bodyDiv w:val="1"/>
      <w:marLeft w:val="0"/>
      <w:marRight w:val="0"/>
      <w:marTop w:val="0"/>
      <w:marBottom w:val="0"/>
      <w:divBdr>
        <w:top w:val="none" w:sz="0" w:space="0" w:color="auto"/>
        <w:left w:val="none" w:sz="0" w:space="0" w:color="auto"/>
        <w:bottom w:val="none" w:sz="0" w:space="0" w:color="auto"/>
        <w:right w:val="none" w:sz="0" w:space="0" w:color="auto"/>
      </w:divBdr>
    </w:div>
    <w:div w:id="1500460611">
      <w:bodyDiv w:val="1"/>
      <w:marLeft w:val="0"/>
      <w:marRight w:val="0"/>
      <w:marTop w:val="0"/>
      <w:marBottom w:val="0"/>
      <w:divBdr>
        <w:top w:val="none" w:sz="0" w:space="0" w:color="auto"/>
        <w:left w:val="none" w:sz="0" w:space="0" w:color="auto"/>
        <w:bottom w:val="none" w:sz="0" w:space="0" w:color="auto"/>
        <w:right w:val="none" w:sz="0" w:space="0" w:color="auto"/>
      </w:divBdr>
    </w:div>
    <w:div w:id="1515344138">
      <w:bodyDiv w:val="1"/>
      <w:marLeft w:val="0"/>
      <w:marRight w:val="0"/>
      <w:marTop w:val="0"/>
      <w:marBottom w:val="0"/>
      <w:divBdr>
        <w:top w:val="none" w:sz="0" w:space="0" w:color="auto"/>
        <w:left w:val="none" w:sz="0" w:space="0" w:color="auto"/>
        <w:bottom w:val="none" w:sz="0" w:space="0" w:color="auto"/>
        <w:right w:val="none" w:sz="0" w:space="0" w:color="auto"/>
      </w:divBdr>
    </w:div>
    <w:div w:id="1579171175">
      <w:bodyDiv w:val="1"/>
      <w:marLeft w:val="0"/>
      <w:marRight w:val="0"/>
      <w:marTop w:val="0"/>
      <w:marBottom w:val="0"/>
      <w:divBdr>
        <w:top w:val="none" w:sz="0" w:space="0" w:color="auto"/>
        <w:left w:val="none" w:sz="0" w:space="0" w:color="auto"/>
        <w:bottom w:val="none" w:sz="0" w:space="0" w:color="auto"/>
        <w:right w:val="none" w:sz="0" w:space="0" w:color="auto"/>
      </w:divBdr>
    </w:div>
    <w:div w:id="1590384993">
      <w:bodyDiv w:val="1"/>
      <w:marLeft w:val="0"/>
      <w:marRight w:val="0"/>
      <w:marTop w:val="0"/>
      <w:marBottom w:val="0"/>
      <w:divBdr>
        <w:top w:val="none" w:sz="0" w:space="0" w:color="auto"/>
        <w:left w:val="none" w:sz="0" w:space="0" w:color="auto"/>
        <w:bottom w:val="none" w:sz="0" w:space="0" w:color="auto"/>
        <w:right w:val="none" w:sz="0" w:space="0" w:color="auto"/>
      </w:divBdr>
    </w:div>
    <w:div w:id="1632633329">
      <w:bodyDiv w:val="1"/>
      <w:marLeft w:val="0"/>
      <w:marRight w:val="0"/>
      <w:marTop w:val="0"/>
      <w:marBottom w:val="0"/>
      <w:divBdr>
        <w:top w:val="none" w:sz="0" w:space="0" w:color="auto"/>
        <w:left w:val="none" w:sz="0" w:space="0" w:color="auto"/>
        <w:bottom w:val="none" w:sz="0" w:space="0" w:color="auto"/>
        <w:right w:val="none" w:sz="0" w:space="0" w:color="auto"/>
      </w:divBdr>
    </w:div>
    <w:div w:id="1641304338">
      <w:bodyDiv w:val="1"/>
      <w:marLeft w:val="0"/>
      <w:marRight w:val="0"/>
      <w:marTop w:val="0"/>
      <w:marBottom w:val="0"/>
      <w:divBdr>
        <w:top w:val="none" w:sz="0" w:space="0" w:color="auto"/>
        <w:left w:val="none" w:sz="0" w:space="0" w:color="auto"/>
        <w:bottom w:val="none" w:sz="0" w:space="0" w:color="auto"/>
        <w:right w:val="none" w:sz="0" w:space="0" w:color="auto"/>
      </w:divBdr>
      <w:divsChild>
        <w:div w:id="1854495276">
          <w:marLeft w:val="360"/>
          <w:marRight w:val="0"/>
          <w:marTop w:val="200"/>
          <w:marBottom w:val="0"/>
          <w:divBdr>
            <w:top w:val="none" w:sz="0" w:space="0" w:color="auto"/>
            <w:left w:val="none" w:sz="0" w:space="0" w:color="auto"/>
            <w:bottom w:val="none" w:sz="0" w:space="0" w:color="auto"/>
            <w:right w:val="none" w:sz="0" w:space="0" w:color="auto"/>
          </w:divBdr>
        </w:div>
      </w:divsChild>
    </w:div>
    <w:div w:id="1665746541">
      <w:bodyDiv w:val="1"/>
      <w:marLeft w:val="0"/>
      <w:marRight w:val="0"/>
      <w:marTop w:val="0"/>
      <w:marBottom w:val="0"/>
      <w:divBdr>
        <w:top w:val="none" w:sz="0" w:space="0" w:color="auto"/>
        <w:left w:val="none" w:sz="0" w:space="0" w:color="auto"/>
        <w:bottom w:val="none" w:sz="0" w:space="0" w:color="auto"/>
        <w:right w:val="none" w:sz="0" w:space="0" w:color="auto"/>
      </w:divBdr>
      <w:divsChild>
        <w:div w:id="281809681">
          <w:marLeft w:val="0"/>
          <w:marRight w:val="0"/>
          <w:marTop w:val="0"/>
          <w:marBottom w:val="0"/>
          <w:divBdr>
            <w:top w:val="none" w:sz="0" w:space="0" w:color="auto"/>
            <w:left w:val="none" w:sz="0" w:space="0" w:color="auto"/>
            <w:bottom w:val="none" w:sz="0" w:space="0" w:color="auto"/>
            <w:right w:val="none" w:sz="0" w:space="0" w:color="auto"/>
          </w:divBdr>
          <w:divsChild>
            <w:div w:id="1275937180">
              <w:marLeft w:val="0"/>
              <w:marRight w:val="0"/>
              <w:marTop w:val="0"/>
              <w:marBottom w:val="0"/>
              <w:divBdr>
                <w:top w:val="none" w:sz="0" w:space="0" w:color="auto"/>
                <w:left w:val="none" w:sz="0" w:space="0" w:color="auto"/>
                <w:bottom w:val="none" w:sz="0" w:space="0" w:color="auto"/>
                <w:right w:val="none" w:sz="0" w:space="0" w:color="auto"/>
              </w:divBdr>
              <w:divsChild>
                <w:div w:id="1387991694">
                  <w:marLeft w:val="0"/>
                  <w:marRight w:val="0"/>
                  <w:marTop w:val="0"/>
                  <w:marBottom w:val="0"/>
                  <w:divBdr>
                    <w:top w:val="none" w:sz="0" w:space="0" w:color="auto"/>
                    <w:left w:val="none" w:sz="0" w:space="0" w:color="auto"/>
                    <w:bottom w:val="none" w:sz="0" w:space="0" w:color="auto"/>
                    <w:right w:val="none" w:sz="0" w:space="0" w:color="auto"/>
                  </w:divBdr>
                  <w:divsChild>
                    <w:div w:id="669143655">
                      <w:marLeft w:val="0"/>
                      <w:marRight w:val="0"/>
                      <w:marTop w:val="0"/>
                      <w:marBottom w:val="0"/>
                      <w:divBdr>
                        <w:top w:val="none" w:sz="0" w:space="0" w:color="auto"/>
                        <w:left w:val="none" w:sz="0" w:space="0" w:color="auto"/>
                        <w:bottom w:val="none" w:sz="0" w:space="0" w:color="auto"/>
                        <w:right w:val="none" w:sz="0" w:space="0" w:color="auto"/>
                      </w:divBdr>
                      <w:divsChild>
                        <w:div w:id="992681280">
                          <w:marLeft w:val="0"/>
                          <w:marRight w:val="0"/>
                          <w:marTop w:val="0"/>
                          <w:marBottom w:val="0"/>
                          <w:divBdr>
                            <w:top w:val="none" w:sz="0" w:space="0" w:color="auto"/>
                            <w:left w:val="none" w:sz="0" w:space="0" w:color="auto"/>
                            <w:bottom w:val="none" w:sz="0" w:space="0" w:color="auto"/>
                            <w:right w:val="none" w:sz="0" w:space="0" w:color="auto"/>
                          </w:divBdr>
                          <w:divsChild>
                            <w:div w:id="970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25581">
      <w:bodyDiv w:val="1"/>
      <w:marLeft w:val="0"/>
      <w:marRight w:val="0"/>
      <w:marTop w:val="0"/>
      <w:marBottom w:val="0"/>
      <w:divBdr>
        <w:top w:val="none" w:sz="0" w:space="0" w:color="auto"/>
        <w:left w:val="none" w:sz="0" w:space="0" w:color="auto"/>
        <w:bottom w:val="none" w:sz="0" w:space="0" w:color="auto"/>
        <w:right w:val="none" w:sz="0" w:space="0" w:color="auto"/>
      </w:divBdr>
    </w:div>
    <w:div w:id="1759447553">
      <w:bodyDiv w:val="1"/>
      <w:marLeft w:val="0"/>
      <w:marRight w:val="0"/>
      <w:marTop w:val="0"/>
      <w:marBottom w:val="0"/>
      <w:divBdr>
        <w:top w:val="none" w:sz="0" w:space="0" w:color="auto"/>
        <w:left w:val="none" w:sz="0" w:space="0" w:color="auto"/>
        <w:bottom w:val="none" w:sz="0" w:space="0" w:color="auto"/>
        <w:right w:val="none" w:sz="0" w:space="0" w:color="auto"/>
      </w:divBdr>
    </w:div>
    <w:div w:id="1763067208">
      <w:bodyDiv w:val="1"/>
      <w:marLeft w:val="0"/>
      <w:marRight w:val="0"/>
      <w:marTop w:val="0"/>
      <w:marBottom w:val="0"/>
      <w:divBdr>
        <w:top w:val="none" w:sz="0" w:space="0" w:color="auto"/>
        <w:left w:val="none" w:sz="0" w:space="0" w:color="auto"/>
        <w:bottom w:val="none" w:sz="0" w:space="0" w:color="auto"/>
        <w:right w:val="none" w:sz="0" w:space="0" w:color="auto"/>
      </w:divBdr>
    </w:div>
    <w:div w:id="1765229284">
      <w:bodyDiv w:val="1"/>
      <w:marLeft w:val="0"/>
      <w:marRight w:val="0"/>
      <w:marTop w:val="0"/>
      <w:marBottom w:val="0"/>
      <w:divBdr>
        <w:top w:val="none" w:sz="0" w:space="0" w:color="auto"/>
        <w:left w:val="none" w:sz="0" w:space="0" w:color="auto"/>
        <w:bottom w:val="none" w:sz="0" w:space="0" w:color="auto"/>
        <w:right w:val="none" w:sz="0" w:space="0" w:color="auto"/>
      </w:divBdr>
      <w:divsChild>
        <w:div w:id="1426077015">
          <w:marLeft w:val="0"/>
          <w:marRight w:val="0"/>
          <w:marTop w:val="0"/>
          <w:marBottom w:val="0"/>
          <w:divBdr>
            <w:top w:val="none" w:sz="0" w:space="0" w:color="auto"/>
            <w:left w:val="none" w:sz="0" w:space="0" w:color="auto"/>
            <w:bottom w:val="none" w:sz="0" w:space="0" w:color="auto"/>
            <w:right w:val="none" w:sz="0" w:space="0" w:color="auto"/>
          </w:divBdr>
        </w:div>
      </w:divsChild>
    </w:div>
    <w:div w:id="1778286330">
      <w:bodyDiv w:val="1"/>
      <w:marLeft w:val="0"/>
      <w:marRight w:val="0"/>
      <w:marTop w:val="0"/>
      <w:marBottom w:val="0"/>
      <w:divBdr>
        <w:top w:val="none" w:sz="0" w:space="0" w:color="auto"/>
        <w:left w:val="none" w:sz="0" w:space="0" w:color="auto"/>
        <w:bottom w:val="none" w:sz="0" w:space="0" w:color="auto"/>
        <w:right w:val="none" w:sz="0" w:space="0" w:color="auto"/>
      </w:divBdr>
    </w:div>
    <w:div w:id="1784570562">
      <w:bodyDiv w:val="1"/>
      <w:marLeft w:val="0"/>
      <w:marRight w:val="0"/>
      <w:marTop w:val="0"/>
      <w:marBottom w:val="0"/>
      <w:divBdr>
        <w:top w:val="none" w:sz="0" w:space="0" w:color="auto"/>
        <w:left w:val="none" w:sz="0" w:space="0" w:color="auto"/>
        <w:bottom w:val="none" w:sz="0" w:space="0" w:color="auto"/>
        <w:right w:val="none" w:sz="0" w:space="0" w:color="auto"/>
      </w:divBdr>
    </w:div>
    <w:div w:id="1795783945">
      <w:bodyDiv w:val="1"/>
      <w:marLeft w:val="0"/>
      <w:marRight w:val="0"/>
      <w:marTop w:val="0"/>
      <w:marBottom w:val="0"/>
      <w:divBdr>
        <w:top w:val="none" w:sz="0" w:space="0" w:color="auto"/>
        <w:left w:val="none" w:sz="0" w:space="0" w:color="auto"/>
        <w:bottom w:val="none" w:sz="0" w:space="0" w:color="auto"/>
        <w:right w:val="none" w:sz="0" w:space="0" w:color="auto"/>
      </w:divBdr>
    </w:div>
    <w:div w:id="1798982923">
      <w:bodyDiv w:val="1"/>
      <w:marLeft w:val="0"/>
      <w:marRight w:val="0"/>
      <w:marTop w:val="0"/>
      <w:marBottom w:val="0"/>
      <w:divBdr>
        <w:top w:val="none" w:sz="0" w:space="0" w:color="auto"/>
        <w:left w:val="none" w:sz="0" w:space="0" w:color="auto"/>
        <w:bottom w:val="none" w:sz="0" w:space="0" w:color="auto"/>
        <w:right w:val="none" w:sz="0" w:space="0" w:color="auto"/>
      </w:divBdr>
    </w:div>
    <w:div w:id="1857771109">
      <w:bodyDiv w:val="1"/>
      <w:marLeft w:val="0"/>
      <w:marRight w:val="0"/>
      <w:marTop w:val="0"/>
      <w:marBottom w:val="0"/>
      <w:divBdr>
        <w:top w:val="none" w:sz="0" w:space="0" w:color="auto"/>
        <w:left w:val="none" w:sz="0" w:space="0" w:color="auto"/>
        <w:bottom w:val="none" w:sz="0" w:space="0" w:color="auto"/>
        <w:right w:val="none" w:sz="0" w:space="0" w:color="auto"/>
      </w:divBdr>
    </w:div>
    <w:div w:id="1868910602">
      <w:bodyDiv w:val="1"/>
      <w:marLeft w:val="0"/>
      <w:marRight w:val="0"/>
      <w:marTop w:val="0"/>
      <w:marBottom w:val="0"/>
      <w:divBdr>
        <w:top w:val="none" w:sz="0" w:space="0" w:color="auto"/>
        <w:left w:val="none" w:sz="0" w:space="0" w:color="auto"/>
        <w:bottom w:val="none" w:sz="0" w:space="0" w:color="auto"/>
        <w:right w:val="none" w:sz="0" w:space="0" w:color="auto"/>
      </w:divBdr>
    </w:div>
    <w:div w:id="1873112301">
      <w:bodyDiv w:val="1"/>
      <w:marLeft w:val="0"/>
      <w:marRight w:val="0"/>
      <w:marTop w:val="0"/>
      <w:marBottom w:val="0"/>
      <w:divBdr>
        <w:top w:val="none" w:sz="0" w:space="0" w:color="auto"/>
        <w:left w:val="none" w:sz="0" w:space="0" w:color="auto"/>
        <w:bottom w:val="none" w:sz="0" w:space="0" w:color="auto"/>
        <w:right w:val="none" w:sz="0" w:space="0" w:color="auto"/>
      </w:divBdr>
    </w:div>
    <w:div w:id="1878155148">
      <w:bodyDiv w:val="1"/>
      <w:marLeft w:val="0"/>
      <w:marRight w:val="0"/>
      <w:marTop w:val="0"/>
      <w:marBottom w:val="0"/>
      <w:divBdr>
        <w:top w:val="none" w:sz="0" w:space="0" w:color="auto"/>
        <w:left w:val="none" w:sz="0" w:space="0" w:color="auto"/>
        <w:bottom w:val="none" w:sz="0" w:space="0" w:color="auto"/>
        <w:right w:val="none" w:sz="0" w:space="0" w:color="auto"/>
      </w:divBdr>
    </w:div>
    <w:div w:id="1888952102">
      <w:bodyDiv w:val="1"/>
      <w:marLeft w:val="0"/>
      <w:marRight w:val="0"/>
      <w:marTop w:val="0"/>
      <w:marBottom w:val="0"/>
      <w:divBdr>
        <w:top w:val="none" w:sz="0" w:space="0" w:color="auto"/>
        <w:left w:val="none" w:sz="0" w:space="0" w:color="auto"/>
        <w:bottom w:val="none" w:sz="0" w:space="0" w:color="auto"/>
        <w:right w:val="none" w:sz="0" w:space="0" w:color="auto"/>
      </w:divBdr>
    </w:div>
    <w:div w:id="1916933036">
      <w:bodyDiv w:val="1"/>
      <w:marLeft w:val="0"/>
      <w:marRight w:val="0"/>
      <w:marTop w:val="0"/>
      <w:marBottom w:val="0"/>
      <w:divBdr>
        <w:top w:val="none" w:sz="0" w:space="0" w:color="auto"/>
        <w:left w:val="none" w:sz="0" w:space="0" w:color="auto"/>
        <w:bottom w:val="none" w:sz="0" w:space="0" w:color="auto"/>
        <w:right w:val="none" w:sz="0" w:space="0" w:color="auto"/>
      </w:divBdr>
    </w:div>
    <w:div w:id="1932735903">
      <w:bodyDiv w:val="1"/>
      <w:marLeft w:val="0"/>
      <w:marRight w:val="0"/>
      <w:marTop w:val="0"/>
      <w:marBottom w:val="0"/>
      <w:divBdr>
        <w:top w:val="none" w:sz="0" w:space="0" w:color="auto"/>
        <w:left w:val="none" w:sz="0" w:space="0" w:color="auto"/>
        <w:bottom w:val="none" w:sz="0" w:space="0" w:color="auto"/>
        <w:right w:val="none" w:sz="0" w:space="0" w:color="auto"/>
      </w:divBdr>
    </w:div>
    <w:div w:id="1937596263">
      <w:bodyDiv w:val="1"/>
      <w:marLeft w:val="0"/>
      <w:marRight w:val="0"/>
      <w:marTop w:val="0"/>
      <w:marBottom w:val="0"/>
      <w:divBdr>
        <w:top w:val="none" w:sz="0" w:space="0" w:color="auto"/>
        <w:left w:val="none" w:sz="0" w:space="0" w:color="auto"/>
        <w:bottom w:val="none" w:sz="0" w:space="0" w:color="auto"/>
        <w:right w:val="none" w:sz="0" w:space="0" w:color="auto"/>
      </w:divBdr>
    </w:div>
    <w:div w:id="1938324797">
      <w:bodyDiv w:val="1"/>
      <w:marLeft w:val="0"/>
      <w:marRight w:val="0"/>
      <w:marTop w:val="0"/>
      <w:marBottom w:val="0"/>
      <w:divBdr>
        <w:top w:val="none" w:sz="0" w:space="0" w:color="auto"/>
        <w:left w:val="none" w:sz="0" w:space="0" w:color="auto"/>
        <w:bottom w:val="none" w:sz="0" w:space="0" w:color="auto"/>
        <w:right w:val="none" w:sz="0" w:space="0" w:color="auto"/>
      </w:divBdr>
    </w:div>
    <w:div w:id="1941833032">
      <w:bodyDiv w:val="1"/>
      <w:marLeft w:val="0"/>
      <w:marRight w:val="0"/>
      <w:marTop w:val="0"/>
      <w:marBottom w:val="0"/>
      <w:divBdr>
        <w:top w:val="none" w:sz="0" w:space="0" w:color="auto"/>
        <w:left w:val="none" w:sz="0" w:space="0" w:color="auto"/>
        <w:bottom w:val="none" w:sz="0" w:space="0" w:color="auto"/>
        <w:right w:val="none" w:sz="0" w:space="0" w:color="auto"/>
      </w:divBdr>
    </w:div>
    <w:div w:id="1996254928">
      <w:bodyDiv w:val="1"/>
      <w:marLeft w:val="0"/>
      <w:marRight w:val="0"/>
      <w:marTop w:val="0"/>
      <w:marBottom w:val="0"/>
      <w:divBdr>
        <w:top w:val="none" w:sz="0" w:space="0" w:color="auto"/>
        <w:left w:val="none" w:sz="0" w:space="0" w:color="auto"/>
        <w:bottom w:val="none" w:sz="0" w:space="0" w:color="auto"/>
        <w:right w:val="none" w:sz="0" w:space="0" w:color="auto"/>
      </w:divBdr>
    </w:div>
    <w:div w:id="2026131230">
      <w:bodyDiv w:val="1"/>
      <w:marLeft w:val="0"/>
      <w:marRight w:val="0"/>
      <w:marTop w:val="0"/>
      <w:marBottom w:val="0"/>
      <w:divBdr>
        <w:top w:val="none" w:sz="0" w:space="0" w:color="auto"/>
        <w:left w:val="none" w:sz="0" w:space="0" w:color="auto"/>
        <w:bottom w:val="none" w:sz="0" w:space="0" w:color="auto"/>
        <w:right w:val="none" w:sz="0" w:space="0" w:color="auto"/>
      </w:divBdr>
    </w:div>
    <w:div w:id="2029211151">
      <w:bodyDiv w:val="1"/>
      <w:marLeft w:val="0"/>
      <w:marRight w:val="0"/>
      <w:marTop w:val="0"/>
      <w:marBottom w:val="0"/>
      <w:divBdr>
        <w:top w:val="none" w:sz="0" w:space="0" w:color="auto"/>
        <w:left w:val="none" w:sz="0" w:space="0" w:color="auto"/>
        <w:bottom w:val="none" w:sz="0" w:space="0" w:color="auto"/>
        <w:right w:val="none" w:sz="0" w:space="0" w:color="auto"/>
      </w:divBdr>
    </w:div>
    <w:div w:id="2061204785">
      <w:bodyDiv w:val="1"/>
      <w:marLeft w:val="0"/>
      <w:marRight w:val="0"/>
      <w:marTop w:val="0"/>
      <w:marBottom w:val="0"/>
      <w:divBdr>
        <w:top w:val="none" w:sz="0" w:space="0" w:color="auto"/>
        <w:left w:val="none" w:sz="0" w:space="0" w:color="auto"/>
        <w:bottom w:val="none" w:sz="0" w:space="0" w:color="auto"/>
        <w:right w:val="none" w:sz="0" w:space="0" w:color="auto"/>
      </w:divBdr>
    </w:div>
    <w:div w:id="2078093018">
      <w:bodyDiv w:val="1"/>
      <w:marLeft w:val="0"/>
      <w:marRight w:val="0"/>
      <w:marTop w:val="0"/>
      <w:marBottom w:val="0"/>
      <w:divBdr>
        <w:top w:val="none" w:sz="0" w:space="0" w:color="auto"/>
        <w:left w:val="none" w:sz="0" w:space="0" w:color="auto"/>
        <w:bottom w:val="none" w:sz="0" w:space="0" w:color="auto"/>
        <w:right w:val="none" w:sz="0" w:space="0" w:color="auto"/>
      </w:divBdr>
    </w:div>
    <w:div w:id="2079553851">
      <w:bodyDiv w:val="1"/>
      <w:marLeft w:val="0"/>
      <w:marRight w:val="0"/>
      <w:marTop w:val="0"/>
      <w:marBottom w:val="0"/>
      <w:divBdr>
        <w:top w:val="none" w:sz="0" w:space="0" w:color="auto"/>
        <w:left w:val="none" w:sz="0" w:space="0" w:color="auto"/>
        <w:bottom w:val="none" w:sz="0" w:space="0" w:color="auto"/>
        <w:right w:val="none" w:sz="0" w:space="0" w:color="auto"/>
      </w:divBdr>
    </w:div>
    <w:div w:id="2084831434">
      <w:bodyDiv w:val="1"/>
      <w:marLeft w:val="0"/>
      <w:marRight w:val="0"/>
      <w:marTop w:val="0"/>
      <w:marBottom w:val="0"/>
      <w:divBdr>
        <w:top w:val="none" w:sz="0" w:space="0" w:color="auto"/>
        <w:left w:val="none" w:sz="0" w:space="0" w:color="auto"/>
        <w:bottom w:val="none" w:sz="0" w:space="0" w:color="auto"/>
        <w:right w:val="none" w:sz="0" w:space="0" w:color="auto"/>
      </w:divBdr>
    </w:div>
    <w:div w:id="2109228499">
      <w:bodyDiv w:val="1"/>
      <w:marLeft w:val="0"/>
      <w:marRight w:val="0"/>
      <w:marTop w:val="0"/>
      <w:marBottom w:val="0"/>
      <w:divBdr>
        <w:top w:val="none" w:sz="0" w:space="0" w:color="auto"/>
        <w:left w:val="none" w:sz="0" w:space="0" w:color="auto"/>
        <w:bottom w:val="none" w:sz="0" w:space="0" w:color="auto"/>
        <w:right w:val="none" w:sz="0" w:space="0" w:color="auto"/>
      </w:divBdr>
    </w:div>
    <w:div w:id="2109230617">
      <w:bodyDiv w:val="1"/>
      <w:marLeft w:val="0"/>
      <w:marRight w:val="0"/>
      <w:marTop w:val="0"/>
      <w:marBottom w:val="0"/>
      <w:divBdr>
        <w:top w:val="none" w:sz="0" w:space="0" w:color="auto"/>
        <w:left w:val="none" w:sz="0" w:space="0" w:color="auto"/>
        <w:bottom w:val="none" w:sz="0" w:space="0" w:color="auto"/>
        <w:right w:val="none" w:sz="0" w:space="0" w:color="auto"/>
      </w:divBdr>
    </w:div>
    <w:div w:id="21452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en.fi.cr" TargetMode="Externa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supen.fi.cr" TargetMode="External"/><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microsoft.com/office/2014/relationships/chartEx" Target="charts/chartEx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 Id="rId22" Type="http://schemas.openxmlformats.org/officeDocument/2006/relationships/image" Target="media/image4.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spedesld\Desktop\20181231_InformeConassif\ActivoDic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spedesld\OneDrive\20181231_InformeConassif\Inversiones_2018123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espedesld\OneDrive\20181231_InformeConassif\Inversiones_2018123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espedesld\OneDrive\20181231_InformeConassif\Inversiones_20181231.xlsx" TargetMode="External"/><Relationship Id="rId2" Type="http://schemas.microsoft.com/office/2011/relationships/chartColorStyle" Target="colors4.xml"/><Relationship Id="rId1" Type="http://schemas.microsoft.com/office/2011/relationships/chartStyle" Target="style4.xm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cespedesld\Desktop\20181231_InformeConassif\Inversiones_2018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PIB!$C$28</c:f>
              <c:strCache>
                <c:ptCount val="1"/>
                <c:pt idx="0">
                  <c:v>Activo SNP</c:v>
                </c:pt>
              </c:strCache>
            </c:strRef>
          </c:tx>
          <c:spPr>
            <a:solidFill>
              <a:schemeClr val="accent1"/>
            </a:solidFill>
            <a:ln>
              <a:noFill/>
            </a:ln>
            <a:effectLst/>
          </c:spPr>
          <c:invertIfNegative val="0"/>
          <c:cat>
            <c:strRef>
              <c:f>PIB!$A$29:$A$38</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PIB!$C$29:$C$38</c:f>
              <c:numCache>
                <c:formatCode>_-* #,##0_-;\-* #,##0_-;_-* "-"??_-;_-@_-</c:formatCode>
                <c:ptCount val="10"/>
                <c:pt idx="0">
                  <c:v>4.1066807625864001</c:v>
                </c:pt>
                <c:pt idx="1">
                  <c:v>4.8010820497219102</c:v>
                </c:pt>
                <c:pt idx="2">
                  <c:v>5.4654034562166194</c:v>
                </c:pt>
                <c:pt idx="3">
                  <c:v>6.3474321119446504</c:v>
                </c:pt>
                <c:pt idx="4">
                  <c:v>7.3538914486732585</c:v>
                </c:pt>
                <c:pt idx="5">
                  <c:v>8.3074397827819304</c:v>
                </c:pt>
                <c:pt idx="6">
                  <c:v>9.5744620491926309</c:v>
                </c:pt>
                <c:pt idx="7">
                  <c:v>10.59344583102205</c:v>
                </c:pt>
                <c:pt idx="8">
                  <c:v>11.81182968151575</c:v>
                </c:pt>
                <c:pt idx="9">
                  <c:v>13.191104599117379</c:v>
                </c:pt>
              </c:numCache>
            </c:numRef>
          </c:val>
          <c:extLst>
            <c:ext xmlns:c16="http://schemas.microsoft.com/office/drawing/2014/chart" uri="{C3380CC4-5D6E-409C-BE32-E72D297353CC}">
              <c16:uniqueId val="{00000000-E0E9-49A8-A87E-16B2EE1D289C}"/>
            </c:ext>
          </c:extLst>
        </c:ser>
        <c:dLbls>
          <c:showLegendKey val="0"/>
          <c:showVal val="0"/>
          <c:showCatName val="0"/>
          <c:showSerName val="0"/>
          <c:showPercent val="0"/>
          <c:showBubbleSize val="0"/>
        </c:dLbls>
        <c:gapWidth val="219"/>
        <c:overlap val="-27"/>
        <c:axId val="582801576"/>
        <c:axId val="582791408"/>
      </c:barChart>
      <c:lineChart>
        <c:grouping val="standard"/>
        <c:varyColors val="0"/>
        <c:ser>
          <c:idx val="1"/>
          <c:order val="1"/>
          <c:tx>
            <c:strRef>
              <c:f>PIB!$D$28</c:f>
              <c:strCache>
                <c:ptCount val="1"/>
                <c:pt idx="0">
                  <c:v>Porcentaje del PIB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PIB!$D$29:$D$38</c:f>
              <c:numCache>
                <c:formatCode>0%</c:formatCode>
                <c:ptCount val="10"/>
                <c:pt idx="0">
                  <c:v>0.23438574204635063</c:v>
                </c:pt>
                <c:pt idx="1">
                  <c:v>0.24499145599009475</c:v>
                </c:pt>
                <c:pt idx="2">
                  <c:v>0.25574243902643307</c:v>
                </c:pt>
                <c:pt idx="3">
                  <c:v>0.27158965671396751</c:v>
                </c:pt>
                <c:pt idx="4">
                  <c:v>0.29580097989038923</c:v>
                </c:pt>
                <c:pt idx="5">
                  <c:v>0.30511901226967375</c:v>
                </c:pt>
                <c:pt idx="6">
                  <c:v>0.326981318399653</c:v>
                </c:pt>
                <c:pt idx="7">
                  <c:v>0.34022913063624216</c:v>
                </c:pt>
                <c:pt idx="8">
                  <c:v>0.36012045579698826</c:v>
                </c:pt>
                <c:pt idx="9">
                  <c:v>0.38137216572585758</c:v>
                </c:pt>
              </c:numCache>
            </c:numRef>
          </c:val>
          <c:smooth val="0"/>
          <c:extLst>
            <c:ext xmlns:c16="http://schemas.microsoft.com/office/drawing/2014/chart" uri="{C3380CC4-5D6E-409C-BE32-E72D297353CC}">
              <c16:uniqueId val="{00000001-E0E9-49A8-A87E-16B2EE1D289C}"/>
            </c:ext>
          </c:extLst>
        </c:ser>
        <c:dLbls>
          <c:showLegendKey val="0"/>
          <c:showVal val="0"/>
          <c:showCatName val="0"/>
          <c:showSerName val="0"/>
          <c:showPercent val="0"/>
          <c:showBubbleSize val="0"/>
        </c:dLbls>
        <c:marker val="1"/>
        <c:smooth val="0"/>
        <c:axId val="582793704"/>
        <c:axId val="582797640"/>
      </c:lineChart>
      <c:catAx>
        <c:axId val="58280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crossAx val="582791408"/>
        <c:crosses val="autoZero"/>
        <c:auto val="1"/>
        <c:lblAlgn val="ctr"/>
        <c:lblOffset val="100"/>
        <c:noMultiLvlLbl val="0"/>
      </c:catAx>
      <c:valAx>
        <c:axId val="58279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Activo del</a:t>
                </a:r>
                <a:r>
                  <a:rPr lang="en-US" baseline="0">
                    <a:latin typeface="+mj-lt"/>
                  </a:rPr>
                  <a:t> SNP</a:t>
                </a:r>
                <a:endParaRPr lang="en-US">
                  <a:latin typeface="+mj-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s-CR"/>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crossAx val="582801576"/>
        <c:crosses val="autoZero"/>
        <c:crossBetween val="between"/>
      </c:valAx>
      <c:valAx>
        <c:axId val="5827976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Porcentaje del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s-C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crossAx val="582793704"/>
        <c:crosses val="max"/>
        <c:crossBetween val="between"/>
      </c:valAx>
      <c:catAx>
        <c:axId val="582793704"/>
        <c:scaling>
          <c:orientation val="minMax"/>
        </c:scaling>
        <c:delete val="1"/>
        <c:axPos val="b"/>
        <c:majorTickMark val="none"/>
        <c:minorTickMark val="none"/>
        <c:tickLblPos val="nextTo"/>
        <c:crossAx val="582797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Límites!$B$65</c:f>
              <c:strCache>
                <c:ptCount val="1"/>
                <c:pt idx="0">
                  <c:v> ROP </c:v>
                </c:pt>
              </c:strCache>
            </c:strRef>
          </c:tx>
          <c:spPr>
            <a:solidFill>
              <a:schemeClr val="accent1"/>
            </a:solidFill>
            <a:ln>
              <a:noFill/>
            </a:ln>
            <a:effectLst/>
          </c:spPr>
          <c:invertIfNegative val="0"/>
          <c:cat>
            <c:strRef>
              <c:f>Límites!$A$66:$A$71</c:f>
              <c:strCache>
                <c:ptCount val="6"/>
                <c:pt idx="0">
                  <c:v> BCR-PENSION </c:v>
                </c:pt>
                <c:pt idx="1">
                  <c:v> BN-VITAL </c:v>
                </c:pt>
                <c:pt idx="2">
                  <c:v> CCSS-OPC </c:v>
                </c:pt>
                <c:pt idx="3">
                  <c:v> POPULAR </c:v>
                </c:pt>
                <c:pt idx="4">
                  <c:v> SJ-PENSIONES </c:v>
                </c:pt>
                <c:pt idx="5">
                  <c:v> VIDA PLENA </c:v>
                </c:pt>
              </c:strCache>
            </c:strRef>
          </c:cat>
          <c:val>
            <c:numRef>
              <c:f>Límites!$B$66:$B$71</c:f>
              <c:numCache>
                <c:formatCode>0%</c:formatCode>
                <c:ptCount val="6"/>
                <c:pt idx="0">
                  <c:v>0.70571392103488884</c:v>
                </c:pt>
                <c:pt idx="1">
                  <c:v>0.66497101677872317</c:v>
                </c:pt>
                <c:pt idx="2">
                  <c:v>0.44012872479161169</c:v>
                </c:pt>
                <c:pt idx="3">
                  <c:v>0.60922567172656117</c:v>
                </c:pt>
                <c:pt idx="4">
                  <c:v>0.6382075789353806</c:v>
                </c:pt>
                <c:pt idx="5">
                  <c:v>0.64951950107276768</c:v>
                </c:pt>
              </c:numCache>
            </c:numRef>
          </c:val>
          <c:extLst>
            <c:ext xmlns:c16="http://schemas.microsoft.com/office/drawing/2014/chart" uri="{C3380CC4-5D6E-409C-BE32-E72D297353CC}">
              <c16:uniqueId val="{00000000-F9D8-4552-988B-485DD966C9E0}"/>
            </c:ext>
          </c:extLst>
        </c:ser>
        <c:ser>
          <c:idx val="1"/>
          <c:order val="1"/>
          <c:tx>
            <c:strRef>
              <c:f>Límites!$C$65</c:f>
              <c:strCache>
                <c:ptCount val="1"/>
                <c:pt idx="0">
                  <c:v> FCL </c:v>
                </c:pt>
              </c:strCache>
            </c:strRef>
          </c:tx>
          <c:spPr>
            <a:solidFill>
              <a:schemeClr val="accent2"/>
            </a:solidFill>
            <a:ln>
              <a:noFill/>
            </a:ln>
            <a:effectLst/>
          </c:spPr>
          <c:invertIfNegative val="0"/>
          <c:cat>
            <c:strRef>
              <c:f>Límites!$A$66:$A$71</c:f>
              <c:strCache>
                <c:ptCount val="6"/>
                <c:pt idx="0">
                  <c:v> BCR-PENSION </c:v>
                </c:pt>
                <c:pt idx="1">
                  <c:v> BN-VITAL </c:v>
                </c:pt>
                <c:pt idx="2">
                  <c:v> CCSS-OPC </c:v>
                </c:pt>
                <c:pt idx="3">
                  <c:v> POPULAR </c:v>
                </c:pt>
                <c:pt idx="4">
                  <c:v> SJ-PENSIONES </c:v>
                </c:pt>
                <c:pt idx="5">
                  <c:v> VIDA PLENA </c:v>
                </c:pt>
              </c:strCache>
            </c:strRef>
          </c:cat>
          <c:val>
            <c:numRef>
              <c:f>Límites!$C$66:$C$71</c:f>
              <c:numCache>
                <c:formatCode>0%</c:formatCode>
                <c:ptCount val="6"/>
                <c:pt idx="0">
                  <c:v>0.47803096943768231</c:v>
                </c:pt>
                <c:pt idx="1">
                  <c:v>0.53895283273341643</c:v>
                </c:pt>
                <c:pt idx="2">
                  <c:v>0.47297255688156359</c:v>
                </c:pt>
                <c:pt idx="3">
                  <c:v>0.4978799290414842</c:v>
                </c:pt>
                <c:pt idx="4">
                  <c:v>0.58655505554686194</c:v>
                </c:pt>
                <c:pt idx="5">
                  <c:v>0.59594848620827912</c:v>
                </c:pt>
              </c:numCache>
            </c:numRef>
          </c:val>
          <c:extLst>
            <c:ext xmlns:c16="http://schemas.microsoft.com/office/drawing/2014/chart" uri="{C3380CC4-5D6E-409C-BE32-E72D297353CC}">
              <c16:uniqueId val="{00000001-F9D8-4552-988B-485DD966C9E0}"/>
            </c:ext>
          </c:extLst>
        </c:ser>
        <c:ser>
          <c:idx val="2"/>
          <c:order val="2"/>
          <c:tx>
            <c:strRef>
              <c:f>Límites!$D$65</c:f>
              <c:strCache>
                <c:ptCount val="1"/>
                <c:pt idx="0">
                  <c:v> VOL A COL </c:v>
                </c:pt>
              </c:strCache>
            </c:strRef>
          </c:tx>
          <c:spPr>
            <a:solidFill>
              <a:schemeClr val="accent3"/>
            </a:solidFill>
            <a:ln>
              <a:noFill/>
            </a:ln>
            <a:effectLst/>
          </c:spPr>
          <c:invertIfNegative val="0"/>
          <c:cat>
            <c:strRef>
              <c:f>Límites!$A$66:$A$71</c:f>
              <c:strCache>
                <c:ptCount val="6"/>
                <c:pt idx="0">
                  <c:v> BCR-PENSION </c:v>
                </c:pt>
                <c:pt idx="1">
                  <c:v> BN-VITAL </c:v>
                </c:pt>
                <c:pt idx="2">
                  <c:v> CCSS-OPC </c:v>
                </c:pt>
                <c:pt idx="3">
                  <c:v> POPULAR </c:v>
                </c:pt>
                <c:pt idx="4">
                  <c:v> SJ-PENSIONES </c:v>
                </c:pt>
                <c:pt idx="5">
                  <c:v> VIDA PLENA </c:v>
                </c:pt>
              </c:strCache>
            </c:strRef>
          </c:cat>
          <c:val>
            <c:numRef>
              <c:f>Límites!$D$66:$D$71</c:f>
              <c:numCache>
                <c:formatCode>0%</c:formatCode>
                <c:ptCount val="6"/>
                <c:pt idx="0">
                  <c:v>0.51229941169928017</c:v>
                </c:pt>
                <c:pt idx="1">
                  <c:v>0.55410283072491195</c:v>
                </c:pt>
                <c:pt idx="2">
                  <c:v>0</c:v>
                </c:pt>
                <c:pt idx="3">
                  <c:v>0.6291729738404449</c:v>
                </c:pt>
                <c:pt idx="4">
                  <c:v>0.70496297276462327</c:v>
                </c:pt>
                <c:pt idx="5">
                  <c:v>0.62978251062649537</c:v>
                </c:pt>
              </c:numCache>
            </c:numRef>
          </c:val>
          <c:extLst>
            <c:ext xmlns:c16="http://schemas.microsoft.com/office/drawing/2014/chart" uri="{C3380CC4-5D6E-409C-BE32-E72D297353CC}">
              <c16:uniqueId val="{00000002-F9D8-4552-988B-485DD966C9E0}"/>
            </c:ext>
          </c:extLst>
        </c:ser>
        <c:ser>
          <c:idx val="3"/>
          <c:order val="3"/>
          <c:tx>
            <c:strRef>
              <c:f>Límites!$E$65</c:f>
              <c:strCache>
                <c:ptCount val="1"/>
                <c:pt idx="0">
                  <c:v> VOL A DOL </c:v>
                </c:pt>
              </c:strCache>
            </c:strRef>
          </c:tx>
          <c:spPr>
            <a:solidFill>
              <a:schemeClr val="accent4"/>
            </a:solidFill>
            <a:ln>
              <a:noFill/>
            </a:ln>
            <a:effectLst/>
          </c:spPr>
          <c:invertIfNegative val="0"/>
          <c:cat>
            <c:strRef>
              <c:f>Límites!$A$66:$A$71</c:f>
              <c:strCache>
                <c:ptCount val="6"/>
                <c:pt idx="0">
                  <c:v> BCR-PENSION </c:v>
                </c:pt>
                <c:pt idx="1">
                  <c:v> BN-VITAL </c:v>
                </c:pt>
                <c:pt idx="2">
                  <c:v> CCSS-OPC </c:v>
                </c:pt>
                <c:pt idx="3">
                  <c:v> POPULAR </c:v>
                </c:pt>
                <c:pt idx="4">
                  <c:v> SJ-PENSIONES </c:v>
                </c:pt>
                <c:pt idx="5">
                  <c:v> VIDA PLENA </c:v>
                </c:pt>
              </c:strCache>
            </c:strRef>
          </c:cat>
          <c:val>
            <c:numRef>
              <c:f>Límites!$E$66:$E$71</c:f>
              <c:numCache>
                <c:formatCode>0%</c:formatCode>
                <c:ptCount val="6"/>
                <c:pt idx="0">
                  <c:v>0.34497115360399455</c:v>
                </c:pt>
                <c:pt idx="1">
                  <c:v>0.61130411705110632</c:v>
                </c:pt>
                <c:pt idx="2">
                  <c:v>0</c:v>
                </c:pt>
                <c:pt idx="3">
                  <c:v>0.51528796875017546</c:v>
                </c:pt>
                <c:pt idx="4">
                  <c:v>0.61098798028466228</c:v>
                </c:pt>
                <c:pt idx="5">
                  <c:v>0</c:v>
                </c:pt>
              </c:numCache>
            </c:numRef>
          </c:val>
          <c:extLst>
            <c:ext xmlns:c16="http://schemas.microsoft.com/office/drawing/2014/chart" uri="{C3380CC4-5D6E-409C-BE32-E72D297353CC}">
              <c16:uniqueId val="{00000003-F9D8-4552-988B-485DD966C9E0}"/>
            </c:ext>
          </c:extLst>
        </c:ser>
        <c:ser>
          <c:idx val="4"/>
          <c:order val="4"/>
          <c:tx>
            <c:strRef>
              <c:f>Límites!$F$65</c:f>
              <c:strCache>
                <c:ptCount val="1"/>
                <c:pt idx="0">
                  <c:v> VOL B COL </c:v>
                </c:pt>
              </c:strCache>
            </c:strRef>
          </c:tx>
          <c:spPr>
            <a:solidFill>
              <a:schemeClr val="accent5"/>
            </a:solidFill>
            <a:ln>
              <a:noFill/>
            </a:ln>
            <a:effectLst/>
          </c:spPr>
          <c:invertIfNegative val="0"/>
          <c:cat>
            <c:strRef>
              <c:f>Límites!$A$66:$A$71</c:f>
              <c:strCache>
                <c:ptCount val="6"/>
                <c:pt idx="0">
                  <c:v> BCR-PENSION </c:v>
                </c:pt>
                <c:pt idx="1">
                  <c:v> BN-VITAL </c:v>
                </c:pt>
                <c:pt idx="2">
                  <c:v> CCSS-OPC </c:v>
                </c:pt>
                <c:pt idx="3">
                  <c:v> POPULAR </c:v>
                </c:pt>
                <c:pt idx="4">
                  <c:v> SJ-PENSIONES </c:v>
                </c:pt>
                <c:pt idx="5">
                  <c:v> VIDA PLENA </c:v>
                </c:pt>
              </c:strCache>
            </c:strRef>
          </c:cat>
          <c:val>
            <c:numRef>
              <c:f>Límites!$F$66:$F$71</c:f>
              <c:numCache>
                <c:formatCode>0%</c:formatCode>
                <c:ptCount val="6"/>
                <c:pt idx="0">
                  <c:v>0.50236982486725523</c:v>
                </c:pt>
                <c:pt idx="1">
                  <c:v>0.47505185394652072</c:v>
                </c:pt>
                <c:pt idx="2">
                  <c:v>0</c:v>
                </c:pt>
                <c:pt idx="3">
                  <c:v>0.59474105338465777</c:v>
                </c:pt>
                <c:pt idx="4">
                  <c:v>0.68148565215745449</c:v>
                </c:pt>
                <c:pt idx="5">
                  <c:v>0.59732723516703345</c:v>
                </c:pt>
              </c:numCache>
            </c:numRef>
          </c:val>
          <c:extLst>
            <c:ext xmlns:c16="http://schemas.microsoft.com/office/drawing/2014/chart" uri="{C3380CC4-5D6E-409C-BE32-E72D297353CC}">
              <c16:uniqueId val="{00000004-F9D8-4552-988B-485DD966C9E0}"/>
            </c:ext>
          </c:extLst>
        </c:ser>
        <c:ser>
          <c:idx val="5"/>
          <c:order val="5"/>
          <c:tx>
            <c:strRef>
              <c:f>Límites!$G$65</c:f>
              <c:strCache>
                <c:ptCount val="1"/>
                <c:pt idx="0">
                  <c:v> VOL B DOL </c:v>
                </c:pt>
              </c:strCache>
            </c:strRef>
          </c:tx>
          <c:spPr>
            <a:solidFill>
              <a:schemeClr val="accent6"/>
            </a:solidFill>
            <a:ln>
              <a:noFill/>
            </a:ln>
            <a:effectLst/>
          </c:spPr>
          <c:invertIfNegative val="0"/>
          <c:cat>
            <c:strRef>
              <c:f>Límites!$A$66:$A$71</c:f>
              <c:strCache>
                <c:ptCount val="6"/>
                <c:pt idx="0">
                  <c:v> BCR-PENSION </c:v>
                </c:pt>
                <c:pt idx="1">
                  <c:v> BN-VITAL </c:v>
                </c:pt>
                <c:pt idx="2">
                  <c:v> CCSS-OPC </c:v>
                </c:pt>
                <c:pt idx="3">
                  <c:v> POPULAR </c:v>
                </c:pt>
                <c:pt idx="4">
                  <c:v> SJ-PENSIONES </c:v>
                </c:pt>
                <c:pt idx="5">
                  <c:v> VIDA PLENA </c:v>
                </c:pt>
              </c:strCache>
            </c:strRef>
          </c:cat>
          <c:val>
            <c:numRef>
              <c:f>Límites!$G$66:$G$71</c:f>
              <c:numCache>
                <c:formatCode>0%</c:formatCode>
                <c:ptCount val="6"/>
                <c:pt idx="0">
                  <c:v>0.3399156905149911</c:v>
                </c:pt>
                <c:pt idx="1">
                  <c:v>0.64429805527216444</c:v>
                </c:pt>
                <c:pt idx="2">
                  <c:v>0</c:v>
                </c:pt>
                <c:pt idx="3">
                  <c:v>0.54211779050529685</c:v>
                </c:pt>
                <c:pt idx="4">
                  <c:v>0.53081380235373499</c:v>
                </c:pt>
                <c:pt idx="5">
                  <c:v>0</c:v>
                </c:pt>
              </c:numCache>
            </c:numRef>
          </c:val>
          <c:extLst>
            <c:ext xmlns:c16="http://schemas.microsoft.com/office/drawing/2014/chart" uri="{C3380CC4-5D6E-409C-BE32-E72D297353CC}">
              <c16:uniqueId val="{00000005-F9D8-4552-988B-485DD966C9E0}"/>
            </c:ext>
          </c:extLst>
        </c:ser>
        <c:ser>
          <c:idx val="6"/>
          <c:order val="6"/>
          <c:tx>
            <c:strRef>
              <c:f>Límites!$H$65</c:f>
              <c:strCache>
                <c:ptCount val="1"/>
                <c:pt idx="0">
                  <c:v> FICT </c:v>
                </c:pt>
              </c:strCache>
            </c:strRef>
          </c:tx>
          <c:spPr>
            <a:solidFill>
              <a:schemeClr val="accent1">
                <a:lumMod val="60000"/>
              </a:schemeClr>
            </a:solidFill>
            <a:ln>
              <a:noFill/>
            </a:ln>
            <a:effectLst/>
          </c:spPr>
          <c:invertIfNegative val="0"/>
          <c:cat>
            <c:strRef>
              <c:f>Límites!$A$66:$A$71</c:f>
              <c:strCache>
                <c:ptCount val="6"/>
                <c:pt idx="0">
                  <c:v> BCR-PENSION </c:v>
                </c:pt>
                <c:pt idx="1">
                  <c:v> BN-VITAL </c:v>
                </c:pt>
                <c:pt idx="2">
                  <c:v> CCSS-OPC </c:v>
                </c:pt>
                <c:pt idx="3">
                  <c:v> POPULAR </c:v>
                </c:pt>
                <c:pt idx="4">
                  <c:v> SJ-PENSIONES </c:v>
                </c:pt>
                <c:pt idx="5">
                  <c:v> VIDA PLENA </c:v>
                </c:pt>
              </c:strCache>
            </c:strRef>
          </c:cat>
          <c:val>
            <c:numRef>
              <c:f>Límites!$H$66:$H$71</c:f>
              <c:numCache>
                <c:formatCode>0%</c:formatCode>
                <c:ptCount val="6"/>
                <c:pt idx="0">
                  <c:v>0</c:v>
                </c:pt>
                <c:pt idx="1">
                  <c:v>0</c:v>
                </c:pt>
                <c:pt idx="2">
                  <c:v>0</c:v>
                </c:pt>
                <c:pt idx="3">
                  <c:v>0.63320557853895865</c:v>
                </c:pt>
                <c:pt idx="4">
                  <c:v>0</c:v>
                </c:pt>
                <c:pt idx="5">
                  <c:v>0</c:v>
                </c:pt>
              </c:numCache>
            </c:numRef>
          </c:val>
          <c:extLst>
            <c:ext xmlns:c16="http://schemas.microsoft.com/office/drawing/2014/chart" uri="{C3380CC4-5D6E-409C-BE32-E72D297353CC}">
              <c16:uniqueId val="{00000006-F9D8-4552-988B-485DD966C9E0}"/>
            </c:ext>
          </c:extLst>
        </c:ser>
        <c:ser>
          <c:idx val="7"/>
          <c:order val="7"/>
          <c:tx>
            <c:strRef>
              <c:f>Límites!$I$65</c:f>
              <c:strCache>
                <c:ptCount val="1"/>
                <c:pt idx="0">
                  <c:v> FBCR </c:v>
                </c:pt>
              </c:strCache>
            </c:strRef>
          </c:tx>
          <c:spPr>
            <a:solidFill>
              <a:schemeClr val="accent2">
                <a:lumMod val="60000"/>
              </a:schemeClr>
            </a:solidFill>
            <a:ln>
              <a:noFill/>
            </a:ln>
            <a:effectLst/>
          </c:spPr>
          <c:invertIfNegative val="0"/>
          <c:cat>
            <c:strRef>
              <c:f>Límites!$A$66:$A$71</c:f>
              <c:strCache>
                <c:ptCount val="6"/>
                <c:pt idx="0">
                  <c:v> BCR-PENSION </c:v>
                </c:pt>
                <c:pt idx="1">
                  <c:v> BN-VITAL </c:v>
                </c:pt>
                <c:pt idx="2">
                  <c:v> CCSS-OPC </c:v>
                </c:pt>
                <c:pt idx="3">
                  <c:v> POPULAR </c:v>
                </c:pt>
                <c:pt idx="4">
                  <c:v> SJ-PENSIONES </c:v>
                </c:pt>
                <c:pt idx="5">
                  <c:v> VIDA PLENA </c:v>
                </c:pt>
              </c:strCache>
            </c:strRef>
          </c:cat>
          <c:val>
            <c:numRef>
              <c:f>Límites!$I$66:$I$71</c:f>
              <c:numCache>
                <c:formatCode>0%</c:formatCode>
                <c:ptCount val="6"/>
                <c:pt idx="0">
                  <c:v>0.66962588552232472</c:v>
                </c:pt>
                <c:pt idx="1">
                  <c:v>0</c:v>
                </c:pt>
                <c:pt idx="2">
                  <c:v>0</c:v>
                </c:pt>
                <c:pt idx="3">
                  <c:v>0</c:v>
                </c:pt>
                <c:pt idx="4">
                  <c:v>0</c:v>
                </c:pt>
                <c:pt idx="5">
                  <c:v>0</c:v>
                </c:pt>
              </c:numCache>
            </c:numRef>
          </c:val>
          <c:extLst>
            <c:ext xmlns:c16="http://schemas.microsoft.com/office/drawing/2014/chart" uri="{C3380CC4-5D6E-409C-BE32-E72D297353CC}">
              <c16:uniqueId val="{00000007-F9D8-4552-988B-485DD966C9E0}"/>
            </c:ext>
          </c:extLst>
        </c:ser>
        <c:dLbls>
          <c:showLegendKey val="0"/>
          <c:showVal val="0"/>
          <c:showCatName val="0"/>
          <c:showSerName val="0"/>
          <c:showPercent val="0"/>
          <c:showBubbleSize val="0"/>
        </c:dLbls>
        <c:gapWidth val="219"/>
        <c:overlap val="-27"/>
        <c:axId val="589974248"/>
        <c:axId val="589971952"/>
      </c:barChart>
      <c:catAx>
        <c:axId val="58997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crossAx val="589971952"/>
        <c:crosses val="autoZero"/>
        <c:auto val="1"/>
        <c:lblAlgn val="ctr"/>
        <c:lblOffset val="100"/>
        <c:noMultiLvlLbl val="0"/>
      </c:catAx>
      <c:valAx>
        <c:axId val="589971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crossAx val="589974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Límites!$B$275</c:f>
              <c:strCache>
                <c:ptCount val="1"/>
                <c:pt idx="0">
                  <c:v>ROP</c:v>
                </c:pt>
              </c:strCache>
            </c:strRef>
          </c:tx>
          <c:spPr>
            <a:solidFill>
              <a:schemeClr val="accent1"/>
            </a:solidFill>
            <a:ln>
              <a:noFill/>
            </a:ln>
            <a:effectLst/>
          </c:spPr>
          <c:invertIfNegative val="0"/>
          <c:cat>
            <c:strRef>
              <c:f>Límites!$A$276:$A$281</c:f>
              <c:strCache>
                <c:ptCount val="6"/>
                <c:pt idx="0">
                  <c:v>BCR-PENSION</c:v>
                </c:pt>
                <c:pt idx="1">
                  <c:v>BN-VITAL</c:v>
                </c:pt>
                <c:pt idx="2">
                  <c:v>CCSS-OPC</c:v>
                </c:pt>
                <c:pt idx="3">
                  <c:v>POPULAR</c:v>
                </c:pt>
                <c:pt idx="4">
                  <c:v>SJ-PENSIONES</c:v>
                </c:pt>
                <c:pt idx="5">
                  <c:v>VIDA PLENA</c:v>
                </c:pt>
              </c:strCache>
            </c:strRef>
          </c:cat>
          <c:val>
            <c:numRef>
              <c:f>Límites!$B$276:$B$281</c:f>
              <c:numCache>
                <c:formatCode>0%</c:formatCode>
                <c:ptCount val="6"/>
                <c:pt idx="0">
                  <c:v>0.27217665056698476</c:v>
                </c:pt>
                <c:pt idx="1">
                  <c:v>0.26138632670868989</c:v>
                </c:pt>
                <c:pt idx="2">
                  <c:v>0.32234090415848798</c:v>
                </c:pt>
                <c:pt idx="3">
                  <c:v>8.3983990488167459E-2</c:v>
                </c:pt>
                <c:pt idx="4">
                  <c:v>0.15170950073373296</c:v>
                </c:pt>
                <c:pt idx="5">
                  <c:v>0.2692130535478946</c:v>
                </c:pt>
              </c:numCache>
            </c:numRef>
          </c:val>
          <c:extLst>
            <c:ext xmlns:c16="http://schemas.microsoft.com/office/drawing/2014/chart" uri="{C3380CC4-5D6E-409C-BE32-E72D297353CC}">
              <c16:uniqueId val="{00000000-A881-4201-95BE-FE4AA09EBC56}"/>
            </c:ext>
          </c:extLst>
        </c:ser>
        <c:ser>
          <c:idx val="1"/>
          <c:order val="1"/>
          <c:tx>
            <c:strRef>
              <c:f>Límites!$C$275</c:f>
              <c:strCache>
                <c:ptCount val="1"/>
                <c:pt idx="0">
                  <c:v>FCL</c:v>
                </c:pt>
              </c:strCache>
            </c:strRef>
          </c:tx>
          <c:spPr>
            <a:solidFill>
              <a:schemeClr val="accent2"/>
            </a:solidFill>
            <a:ln>
              <a:noFill/>
            </a:ln>
            <a:effectLst/>
          </c:spPr>
          <c:invertIfNegative val="0"/>
          <c:cat>
            <c:strRef>
              <c:f>Límites!$A$276:$A$281</c:f>
              <c:strCache>
                <c:ptCount val="6"/>
                <c:pt idx="0">
                  <c:v>BCR-PENSION</c:v>
                </c:pt>
                <c:pt idx="1">
                  <c:v>BN-VITAL</c:v>
                </c:pt>
                <c:pt idx="2">
                  <c:v>CCSS-OPC</c:v>
                </c:pt>
                <c:pt idx="3">
                  <c:v>POPULAR</c:v>
                </c:pt>
                <c:pt idx="4">
                  <c:v>SJ-PENSIONES</c:v>
                </c:pt>
                <c:pt idx="5">
                  <c:v>VIDA PLENA</c:v>
                </c:pt>
              </c:strCache>
            </c:strRef>
          </c:cat>
          <c:val>
            <c:numRef>
              <c:f>Límites!$C$276:$C$281</c:f>
              <c:numCache>
                <c:formatCode>0%</c:formatCode>
                <c:ptCount val="6"/>
                <c:pt idx="0">
                  <c:v>0.4604820348327987</c:v>
                </c:pt>
                <c:pt idx="1">
                  <c:v>0.3870778011712569</c:v>
                </c:pt>
                <c:pt idx="2">
                  <c:v>0.27597822384842985</c:v>
                </c:pt>
                <c:pt idx="3">
                  <c:v>0.23883588193562583</c:v>
                </c:pt>
                <c:pt idx="4">
                  <c:v>0.23952263704124199</c:v>
                </c:pt>
                <c:pt idx="5">
                  <c:v>0.33343468200075288</c:v>
                </c:pt>
              </c:numCache>
            </c:numRef>
          </c:val>
          <c:extLst>
            <c:ext xmlns:c16="http://schemas.microsoft.com/office/drawing/2014/chart" uri="{C3380CC4-5D6E-409C-BE32-E72D297353CC}">
              <c16:uniqueId val="{00000001-A881-4201-95BE-FE4AA09EBC56}"/>
            </c:ext>
          </c:extLst>
        </c:ser>
        <c:ser>
          <c:idx val="2"/>
          <c:order val="2"/>
          <c:tx>
            <c:strRef>
              <c:f>Límites!$D$275</c:f>
              <c:strCache>
                <c:ptCount val="1"/>
                <c:pt idx="0">
                  <c:v>VOL A COL</c:v>
                </c:pt>
              </c:strCache>
            </c:strRef>
          </c:tx>
          <c:spPr>
            <a:solidFill>
              <a:schemeClr val="accent3"/>
            </a:solidFill>
            <a:ln>
              <a:noFill/>
            </a:ln>
            <a:effectLst/>
          </c:spPr>
          <c:invertIfNegative val="0"/>
          <c:cat>
            <c:strRef>
              <c:f>Límites!$A$276:$A$281</c:f>
              <c:strCache>
                <c:ptCount val="6"/>
                <c:pt idx="0">
                  <c:v>BCR-PENSION</c:v>
                </c:pt>
                <c:pt idx="1">
                  <c:v>BN-VITAL</c:v>
                </c:pt>
                <c:pt idx="2">
                  <c:v>CCSS-OPC</c:v>
                </c:pt>
                <c:pt idx="3">
                  <c:v>POPULAR</c:v>
                </c:pt>
                <c:pt idx="4">
                  <c:v>SJ-PENSIONES</c:v>
                </c:pt>
                <c:pt idx="5">
                  <c:v>VIDA PLENA</c:v>
                </c:pt>
              </c:strCache>
            </c:strRef>
          </c:cat>
          <c:val>
            <c:numRef>
              <c:f>Límites!$D$276:$D$281</c:f>
              <c:numCache>
                <c:formatCode>0%</c:formatCode>
                <c:ptCount val="6"/>
                <c:pt idx="0">
                  <c:v>0.46212049479056799</c:v>
                </c:pt>
                <c:pt idx="1">
                  <c:v>0.39543058440033169</c:v>
                </c:pt>
                <c:pt idx="2">
                  <c:v>0</c:v>
                </c:pt>
                <c:pt idx="3">
                  <c:v>0.24848413892959548</c:v>
                </c:pt>
                <c:pt idx="4">
                  <c:v>0.19620866884328586</c:v>
                </c:pt>
                <c:pt idx="5">
                  <c:v>0.31459191659089303</c:v>
                </c:pt>
              </c:numCache>
            </c:numRef>
          </c:val>
          <c:extLst>
            <c:ext xmlns:c16="http://schemas.microsoft.com/office/drawing/2014/chart" uri="{C3380CC4-5D6E-409C-BE32-E72D297353CC}">
              <c16:uniqueId val="{00000002-A881-4201-95BE-FE4AA09EBC56}"/>
            </c:ext>
          </c:extLst>
        </c:ser>
        <c:ser>
          <c:idx val="3"/>
          <c:order val="3"/>
          <c:tx>
            <c:strRef>
              <c:f>Límites!$E$275</c:f>
              <c:strCache>
                <c:ptCount val="1"/>
                <c:pt idx="0">
                  <c:v>VOL A DOL</c:v>
                </c:pt>
              </c:strCache>
            </c:strRef>
          </c:tx>
          <c:spPr>
            <a:solidFill>
              <a:schemeClr val="accent4"/>
            </a:solidFill>
            <a:ln>
              <a:noFill/>
            </a:ln>
            <a:effectLst/>
          </c:spPr>
          <c:invertIfNegative val="0"/>
          <c:cat>
            <c:strRef>
              <c:f>Límites!$A$276:$A$281</c:f>
              <c:strCache>
                <c:ptCount val="6"/>
                <c:pt idx="0">
                  <c:v>BCR-PENSION</c:v>
                </c:pt>
                <c:pt idx="1">
                  <c:v>BN-VITAL</c:v>
                </c:pt>
                <c:pt idx="2">
                  <c:v>CCSS-OPC</c:v>
                </c:pt>
                <c:pt idx="3">
                  <c:v>POPULAR</c:v>
                </c:pt>
                <c:pt idx="4">
                  <c:v>SJ-PENSIONES</c:v>
                </c:pt>
                <c:pt idx="5">
                  <c:v>VIDA PLENA</c:v>
                </c:pt>
              </c:strCache>
            </c:strRef>
          </c:cat>
          <c:val>
            <c:numRef>
              <c:f>Límites!$E$276:$E$281</c:f>
              <c:numCache>
                <c:formatCode>0%</c:formatCode>
                <c:ptCount val="6"/>
                <c:pt idx="0">
                  <c:v>0.56933583146512334</c:v>
                </c:pt>
                <c:pt idx="1">
                  <c:v>0.32224974709457943</c:v>
                </c:pt>
                <c:pt idx="2">
                  <c:v>0</c:v>
                </c:pt>
                <c:pt idx="3">
                  <c:v>0.36833159460087855</c:v>
                </c:pt>
                <c:pt idx="4">
                  <c:v>0.29237452804676217</c:v>
                </c:pt>
                <c:pt idx="5">
                  <c:v>0</c:v>
                </c:pt>
              </c:numCache>
            </c:numRef>
          </c:val>
          <c:extLst>
            <c:ext xmlns:c16="http://schemas.microsoft.com/office/drawing/2014/chart" uri="{C3380CC4-5D6E-409C-BE32-E72D297353CC}">
              <c16:uniqueId val="{00000003-A881-4201-95BE-FE4AA09EBC56}"/>
            </c:ext>
          </c:extLst>
        </c:ser>
        <c:ser>
          <c:idx val="4"/>
          <c:order val="4"/>
          <c:tx>
            <c:strRef>
              <c:f>Límites!$F$275</c:f>
              <c:strCache>
                <c:ptCount val="1"/>
                <c:pt idx="0">
                  <c:v>VOL B COL</c:v>
                </c:pt>
              </c:strCache>
            </c:strRef>
          </c:tx>
          <c:spPr>
            <a:solidFill>
              <a:schemeClr val="accent5"/>
            </a:solidFill>
            <a:ln>
              <a:noFill/>
            </a:ln>
            <a:effectLst/>
          </c:spPr>
          <c:invertIfNegative val="0"/>
          <c:cat>
            <c:strRef>
              <c:f>Límites!$A$276:$A$281</c:f>
              <c:strCache>
                <c:ptCount val="6"/>
                <c:pt idx="0">
                  <c:v>BCR-PENSION</c:v>
                </c:pt>
                <c:pt idx="1">
                  <c:v>BN-VITAL</c:v>
                </c:pt>
                <c:pt idx="2">
                  <c:v>CCSS-OPC</c:v>
                </c:pt>
                <c:pt idx="3">
                  <c:v>POPULAR</c:v>
                </c:pt>
                <c:pt idx="4">
                  <c:v>SJ-PENSIONES</c:v>
                </c:pt>
                <c:pt idx="5">
                  <c:v>VIDA PLENA</c:v>
                </c:pt>
              </c:strCache>
            </c:strRef>
          </c:cat>
          <c:val>
            <c:numRef>
              <c:f>Límites!$F$276:$F$281</c:f>
              <c:numCache>
                <c:formatCode>0%</c:formatCode>
                <c:ptCount val="6"/>
                <c:pt idx="0">
                  <c:v>0.44554034987778163</c:v>
                </c:pt>
                <c:pt idx="1">
                  <c:v>0.43787956329729227</c:v>
                </c:pt>
                <c:pt idx="2">
                  <c:v>0</c:v>
                </c:pt>
                <c:pt idx="3">
                  <c:v>0.27649117297498871</c:v>
                </c:pt>
                <c:pt idx="4">
                  <c:v>0.19186159213814657</c:v>
                </c:pt>
                <c:pt idx="5">
                  <c:v>0.32193733701262439</c:v>
                </c:pt>
              </c:numCache>
            </c:numRef>
          </c:val>
          <c:extLst>
            <c:ext xmlns:c16="http://schemas.microsoft.com/office/drawing/2014/chart" uri="{C3380CC4-5D6E-409C-BE32-E72D297353CC}">
              <c16:uniqueId val="{00000004-A881-4201-95BE-FE4AA09EBC56}"/>
            </c:ext>
          </c:extLst>
        </c:ser>
        <c:ser>
          <c:idx val="5"/>
          <c:order val="5"/>
          <c:tx>
            <c:strRef>
              <c:f>Límites!$G$275</c:f>
              <c:strCache>
                <c:ptCount val="1"/>
                <c:pt idx="0">
                  <c:v>VOL B DOL</c:v>
                </c:pt>
              </c:strCache>
            </c:strRef>
          </c:tx>
          <c:spPr>
            <a:solidFill>
              <a:schemeClr val="accent6"/>
            </a:solidFill>
            <a:ln>
              <a:noFill/>
            </a:ln>
            <a:effectLst/>
          </c:spPr>
          <c:invertIfNegative val="0"/>
          <c:cat>
            <c:strRef>
              <c:f>Límites!$A$276:$A$281</c:f>
              <c:strCache>
                <c:ptCount val="6"/>
                <c:pt idx="0">
                  <c:v>BCR-PENSION</c:v>
                </c:pt>
                <c:pt idx="1">
                  <c:v>BN-VITAL</c:v>
                </c:pt>
                <c:pt idx="2">
                  <c:v>CCSS-OPC</c:v>
                </c:pt>
                <c:pt idx="3">
                  <c:v>POPULAR</c:v>
                </c:pt>
                <c:pt idx="4">
                  <c:v>SJ-PENSIONES</c:v>
                </c:pt>
                <c:pt idx="5">
                  <c:v>VIDA PLENA</c:v>
                </c:pt>
              </c:strCache>
            </c:strRef>
          </c:cat>
          <c:val>
            <c:numRef>
              <c:f>Límites!$G$276:$G$281</c:f>
              <c:numCache>
                <c:formatCode>0%</c:formatCode>
                <c:ptCount val="6"/>
                <c:pt idx="0">
                  <c:v>0.61236115804962121</c:v>
                </c:pt>
                <c:pt idx="1">
                  <c:v>0.25765990625752355</c:v>
                </c:pt>
                <c:pt idx="2">
                  <c:v>0</c:v>
                </c:pt>
                <c:pt idx="3">
                  <c:v>0.28162140678943648</c:v>
                </c:pt>
                <c:pt idx="4">
                  <c:v>0.26693702460475999</c:v>
                </c:pt>
                <c:pt idx="5">
                  <c:v>0</c:v>
                </c:pt>
              </c:numCache>
            </c:numRef>
          </c:val>
          <c:extLst>
            <c:ext xmlns:c16="http://schemas.microsoft.com/office/drawing/2014/chart" uri="{C3380CC4-5D6E-409C-BE32-E72D297353CC}">
              <c16:uniqueId val="{00000005-A881-4201-95BE-FE4AA09EBC56}"/>
            </c:ext>
          </c:extLst>
        </c:ser>
        <c:ser>
          <c:idx val="6"/>
          <c:order val="6"/>
          <c:tx>
            <c:strRef>
              <c:f>Límites!$H$275</c:f>
              <c:strCache>
                <c:ptCount val="1"/>
                <c:pt idx="0">
                  <c:v>FICT</c:v>
                </c:pt>
              </c:strCache>
            </c:strRef>
          </c:tx>
          <c:spPr>
            <a:solidFill>
              <a:schemeClr val="accent1">
                <a:lumMod val="60000"/>
              </a:schemeClr>
            </a:solidFill>
            <a:ln>
              <a:noFill/>
            </a:ln>
            <a:effectLst/>
          </c:spPr>
          <c:invertIfNegative val="0"/>
          <c:cat>
            <c:strRef>
              <c:f>Límites!$A$276:$A$281</c:f>
              <c:strCache>
                <c:ptCount val="6"/>
                <c:pt idx="0">
                  <c:v>BCR-PENSION</c:v>
                </c:pt>
                <c:pt idx="1">
                  <c:v>BN-VITAL</c:v>
                </c:pt>
                <c:pt idx="2">
                  <c:v>CCSS-OPC</c:v>
                </c:pt>
                <c:pt idx="3">
                  <c:v>POPULAR</c:v>
                </c:pt>
                <c:pt idx="4">
                  <c:v>SJ-PENSIONES</c:v>
                </c:pt>
                <c:pt idx="5">
                  <c:v>VIDA PLENA</c:v>
                </c:pt>
              </c:strCache>
            </c:strRef>
          </c:cat>
          <c:val>
            <c:numRef>
              <c:f>Límites!$H$276:$H$281</c:f>
              <c:numCache>
                <c:formatCode>0%</c:formatCode>
                <c:ptCount val="6"/>
                <c:pt idx="0">
                  <c:v>0</c:v>
                </c:pt>
                <c:pt idx="1">
                  <c:v>0</c:v>
                </c:pt>
                <c:pt idx="2">
                  <c:v>0</c:v>
                </c:pt>
                <c:pt idx="3">
                  <c:v>0.21007897362690509</c:v>
                </c:pt>
                <c:pt idx="4">
                  <c:v>0</c:v>
                </c:pt>
                <c:pt idx="5">
                  <c:v>0</c:v>
                </c:pt>
              </c:numCache>
            </c:numRef>
          </c:val>
          <c:extLst>
            <c:ext xmlns:c16="http://schemas.microsoft.com/office/drawing/2014/chart" uri="{C3380CC4-5D6E-409C-BE32-E72D297353CC}">
              <c16:uniqueId val="{00000006-A881-4201-95BE-FE4AA09EBC56}"/>
            </c:ext>
          </c:extLst>
        </c:ser>
        <c:ser>
          <c:idx val="7"/>
          <c:order val="7"/>
          <c:tx>
            <c:strRef>
              <c:f>Límites!$I$275</c:f>
              <c:strCache>
                <c:ptCount val="1"/>
                <c:pt idx="0">
                  <c:v>FBCR</c:v>
                </c:pt>
              </c:strCache>
            </c:strRef>
          </c:tx>
          <c:spPr>
            <a:solidFill>
              <a:schemeClr val="accent2">
                <a:lumMod val="60000"/>
              </a:schemeClr>
            </a:solidFill>
            <a:ln>
              <a:noFill/>
            </a:ln>
            <a:effectLst/>
          </c:spPr>
          <c:invertIfNegative val="0"/>
          <c:cat>
            <c:strRef>
              <c:f>Límites!$A$276:$A$281</c:f>
              <c:strCache>
                <c:ptCount val="6"/>
                <c:pt idx="0">
                  <c:v>BCR-PENSION</c:v>
                </c:pt>
                <c:pt idx="1">
                  <c:v>BN-VITAL</c:v>
                </c:pt>
                <c:pt idx="2">
                  <c:v>CCSS-OPC</c:v>
                </c:pt>
                <c:pt idx="3">
                  <c:v>POPULAR</c:v>
                </c:pt>
                <c:pt idx="4">
                  <c:v>SJ-PENSIONES</c:v>
                </c:pt>
                <c:pt idx="5">
                  <c:v>VIDA PLENA</c:v>
                </c:pt>
              </c:strCache>
            </c:strRef>
          </c:cat>
          <c:val>
            <c:numRef>
              <c:f>Límites!$I$276:$I$281</c:f>
              <c:numCache>
                <c:formatCode>0%</c:formatCode>
                <c:ptCount val="6"/>
                <c:pt idx="0">
                  <c:v>0.31003297081707121</c:v>
                </c:pt>
                <c:pt idx="1">
                  <c:v>0</c:v>
                </c:pt>
                <c:pt idx="2">
                  <c:v>0</c:v>
                </c:pt>
                <c:pt idx="3">
                  <c:v>0</c:v>
                </c:pt>
                <c:pt idx="4">
                  <c:v>0</c:v>
                </c:pt>
                <c:pt idx="5">
                  <c:v>0</c:v>
                </c:pt>
              </c:numCache>
            </c:numRef>
          </c:val>
          <c:extLst>
            <c:ext xmlns:c16="http://schemas.microsoft.com/office/drawing/2014/chart" uri="{C3380CC4-5D6E-409C-BE32-E72D297353CC}">
              <c16:uniqueId val="{00000007-A881-4201-95BE-FE4AA09EBC56}"/>
            </c:ext>
          </c:extLst>
        </c:ser>
        <c:dLbls>
          <c:showLegendKey val="0"/>
          <c:showVal val="0"/>
          <c:showCatName val="0"/>
          <c:showSerName val="0"/>
          <c:showPercent val="0"/>
          <c:showBubbleSize val="0"/>
        </c:dLbls>
        <c:gapWidth val="219"/>
        <c:overlap val="-27"/>
        <c:axId val="916945568"/>
        <c:axId val="916948192"/>
      </c:barChart>
      <c:catAx>
        <c:axId val="91694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crossAx val="916948192"/>
        <c:crosses val="autoZero"/>
        <c:auto val="1"/>
        <c:lblAlgn val="ctr"/>
        <c:lblOffset val="100"/>
        <c:noMultiLvlLbl val="0"/>
      </c:catAx>
      <c:valAx>
        <c:axId val="916948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crossAx val="91694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Límites!$B$179:$B$180</c:f>
              <c:strCache>
                <c:ptCount val="2"/>
                <c:pt idx="0">
                  <c:v> ROP </c:v>
                </c:pt>
              </c:strCache>
            </c:strRef>
          </c:tx>
          <c:spPr>
            <a:solidFill>
              <a:schemeClr val="accent1"/>
            </a:solidFill>
            <a:ln>
              <a:noFill/>
            </a:ln>
            <a:effectLst/>
          </c:spPr>
          <c:invertIfNegative val="0"/>
          <c:cat>
            <c:strRef>
              <c:f>Límites!$A$181:$A$185</c:f>
              <c:strCache>
                <c:ptCount val="5"/>
                <c:pt idx="0">
                  <c:v> BN-VITAL </c:v>
                </c:pt>
                <c:pt idx="1">
                  <c:v> CCSS-OPC </c:v>
                </c:pt>
                <c:pt idx="2">
                  <c:v> POPULAR </c:v>
                </c:pt>
                <c:pt idx="3">
                  <c:v> SJ-PENSIONES </c:v>
                </c:pt>
                <c:pt idx="4">
                  <c:v> VIDA PLENA </c:v>
                </c:pt>
              </c:strCache>
            </c:strRef>
          </c:cat>
          <c:val>
            <c:numRef>
              <c:f>Límites!$B$181:$B$185</c:f>
              <c:numCache>
                <c:formatCode>0%</c:formatCode>
                <c:ptCount val="5"/>
                <c:pt idx="0">
                  <c:v>4.7571693247273984E-2</c:v>
                </c:pt>
                <c:pt idx="1">
                  <c:v>0.17189074850982772</c:v>
                </c:pt>
                <c:pt idx="2">
                  <c:v>0.25461217649989099</c:v>
                </c:pt>
                <c:pt idx="3">
                  <c:v>0.12313107779438247</c:v>
                </c:pt>
                <c:pt idx="4">
                  <c:v>5.5116182798987119E-2</c:v>
                </c:pt>
              </c:numCache>
            </c:numRef>
          </c:val>
          <c:extLst>
            <c:ext xmlns:c16="http://schemas.microsoft.com/office/drawing/2014/chart" uri="{C3380CC4-5D6E-409C-BE32-E72D297353CC}">
              <c16:uniqueId val="{00000000-F20C-4778-BF1C-1EE239202DA9}"/>
            </c:ext>
          </c:extLst>
        </c:ser>
        <c:ser>
          <c:idx val="1"/>
          <c:order val="1"/>
          <c:tx>
            <c:strRef>
              <c:f>Límites!$C$179:$C$180</c:f>
              <c:strCache>
                <c:ptCount val="2"/>
                <c:pt idx="0">
                  <c:v> FCL </c:v>
                </c:pt>
              </c:strCache>
            </c:strRef>
          </c:tx>
          <c:spPr>
            <a:solidFill>
              <a:schemeClr val="accent2"/>
            </a:solidFill>
            <a:ln>
              <a:noFill/>
            </a:ln>
            <a:effectLst/>
          </c:spPr>
          <c:invertIfNegative val="0"/>
          <c:cat>
            <c:strRef>
              <c:f>Límites!$A$181:$A$185</c:f>
              <c:strCache>
                <c:ptCount val="5"/>
                <c:pt idx="0">
                  <c:v> BN-VITAL </c:v>
                </c:pt>
                <c:pt idx="1">
                  <c:v> CCSS-OPC </c:v>
                </c:pt>
                <c:pt idx="2">
                  <c:v> POPULAR </c:v>
                </c:pt>
                <c:pt idx="3">
                  <c:v> SJ-PENSIONES </c:v>
                </c:pt>
                <c:pt idx="4">
                  <c:v> VIDA PLENA </c:v>
                </c:pt>
              </c:strCache>
            </c:strRef>
          </c:cat>
          <c:val>
            <c:numRef>
              <c:f>Límites!$C$181:$C$185</c:f>
              <c:numCache>
                <c:formatCode>0%</c:formatCode>
                <c:ptCount val="5"/>
                <c:pt idx="0">
                  <c:v>1.44042646577981E-3</c:v>
                </c:pt>
                <c:pt idx="1">
                  <c:v>0.1672163147056123</c:v>
                </c:pt>
                <c:pt idx="2">
                  <c:v>4.2176793976116261E-2</c:v>
                </c:pt>
                <c:pt idx="3">
                  <c:v>5.586483627689541E-2</c:v>
                </c:pt>
              </c:numCache>
            </c:numRef>
          </c:val>
          <c:extLst>
            <c:ext xmlns:c16="http://schemas.microsoft.com/office/drawing/2014/chart" uri="{C3380CC4-5D6E-409C-BE32-E72D297353CC}">
              <c16:uniqueId val="{00000001-F20C-4778-BF1C-1EE239202DA9}"/>
            </c:ext>
          </c:extLst>
        </c:ser>
        <c:ser>
          <c:idx val="2"/>
          <c:order val="2"/>
          <c:tx>
            <c:strRef>
              <c:f>Límites!$D$179:$D$180</c:f>
              <c:strCache>
                <c:ptCount val="2"/>
                <c:pt idx="0">
                  <c:v> VOL A COL </c:v>
                </c:pt>
              </c:strCache>
            </c:strRef>
          </c:tx>
          <c:spPr>
            <a:solidFill>
              <a:schemeClr val="accent3"/>
            </a:solidFill>
            <a:ln>
              <a:noFill/>
            </a:ln>
            <a:effectLst/>
          </c:spPr>
          <c:invertIfNegative val="0"/>
          <c:cat>
            <c:strRef>
              <c:f>Límites!$A$181:$A$185</c:f>
              <c:strCache>
                <c:ptCount val="5"/>
                <c:pt idx="0">
                  <c:v> BN-VITAL </c:v>
                </c:pt>
                <c:pt idx="1">
                  <c:v> CCSS-OPC </c:v>
                </c:pt>
                <c:pt idx="2">
                  <c:v> POPULAR </c:v>
                </c:pt>
                <c:pt idx="3">
                  <c:v> SJ-PENSIONES </c:v>
                </c:pt>
                <c:pt idx="4">
                  <c:v> VIDA PLENA </c:v>
                </c:pt>
              </c:strCache>
            </c:strRef>
          </c:cat>
          <c:val>
            <c:numRef>
              <c:f>Límites!$D$181:$D$185</c:f>
              <c:numCache>
                <c:formatCode>0%</c:formatCode>
                <c:ptCount val="5"/>
                <c:pt idx="1">
                  <c:v>0</c:v>
                </c:pt>
                <c:pt idx="2">
                  <c:v>4.0308597986318688E-2</c:v>
                </c:pt>
              </c:numCache>
            </c:numRef>
          </c:val>
          <c:extLst>
            <c:ext xmlns:c16="http://schemas.microsoft.com/office/drawing/2014/chart" uri="{C3380CC4-5D6E-409C-BE32-E72D297353CC}">
              <c16:uniqueId val="{00000002-F20C-4778-BF1C-1EE239202DA9}"/>
            </c:ext>
          </c:extLst>
        </c:ser>
        <c:ser>
          <c:idx val="3"/>
          <c:order val="3"/>
          <c:tx>
            <c:strRef>
              <c:f>Límites!$E$179:$E$180</c:f>
              <c:strCache>
                <c:ptCount val="2"/>
                <c:pt idx="0">
                  <c:v> VOL A DOL </c:v>
                </c:pt>
              </c:strCache>
            </c:strRef>
          </c:tx>
          <c:spPr>
            <a:solidFill>
              <a:schemeClr val="accent4"/>
            </a:solidFill>
            <a:ln>
              <a:noFill/>
            </a:ln>
            <a:effectLst/>
          </c:spPr>
          <c:invertIfNegative val="0"/>
          <c:cat>
            <c:strRef>
              <c:f>Límites!$A$181:$A$185</c:f>
              <c:strCache>
                <c:ptCount val="5"/>
                <c:pt idx="0">
                  <c:v> BN-VITAL </c:v>
                </c:pt>
                <c:pt idx="1">
                  <c:v> CCSS-OPC </c:v>
                </c:pt>
                <c:pt idx="2">
                  <c:v> POPULAR </c:v>
                </c:pt>
                <c:pt idx="3">
                  <c:v> SJ-PENSIONES </c:v>
                </c:pt>
                <c:pt idx="4">
                  <c:v> VIDA PLENA </c:v>
                </c:pt>
              </c:strCache>
            </c:strRef>
          </c:cat>
          <c:val>
            <c:numRef>
              <c:f>Límites!$E$181:$E$185</c:f>
              <c:numCache>
                <c:formatCode>0%</c:formatCode>
                <c:ptCount val="5"/>
                <c:pt idx="1">
                  <c:v>0</c:v>
                </c:pt>
                <c:pt idx="2">
                  <c:v>3.9361194986863045E-2</c:v>
                </c:pt>
              </c:numCache>
            </c:numRef>
          </c:val>
          <c:extLst>
            <c:ext xmlns:c16="http://schemas.microsoft.com/office/drawing/2014/chart" uri="{C3380CC4-5D6E-409C-BE32-E72D297353CC}">
              <c16:uniqueId val="{00000003-F20C-4778-BF1C-1EE239202DA9}"/>
            </c:ext>
          </c:extLst>
        </c:ser>
        <c:ser>
          <c:idx val="4"/>
          <c:order val="4"/>
          <c:tx>
            <c:strRef>
              <c:f>Límites!$F$179:$F$180</c:f>
              <c:strCache>
                <c:ptCount val="2"/>
                <c:pt idx="0">
                  <c:v> VOL B COL </c:v>
                </c:pt>
              </c:strCache>
            </c:strRef>
          </c:tx>
          <c:spPr>
            <a:solidFill>
              <a:schemeClr val="accent5"/>
            </a:solidFill>
            <a:ln>
              <a:noFill/>
            </a:ln>
            <a:effectLst/>
          </c:spPr>
          <c:invertIfNegative val="0"/>
          <c:cat>
            <c:strRef>
              <c:f>Límites!$A$181:$A$185</c:f>
              <c:strCache>
                <c:ptCount val="5"/>
                <c:pt idx="0">
                  <c:v> BN-VITAL </c:v>
                </c:pt>
                <c:pt idx="1">
                  <c:v> CCSS-OPC </c:v>
                </c:pt>
                <c:pt idx="2">
                  <c:v> POPULAR </c:v>
                </c:pt>
                <c:pt idx="3">
                  <c:v> SJ-PENSIONES </c:v>
                </c:pt>
                <c:pt idx="4">
                  <c:v> VIDA PLENA </c:v>
                </c:pt>
              </c:strCache>
            </c:strRef>
          </c:cat>
          <c:val>
            <c:numRef>
              <c:f>Límites!$F$181:$F$185</c:f>
              <c:numCache>
                <c:formatCode>0%</c:formatCode>
                <c:ptCount val="5"/>
                <c:pt idx="1">
                  <c:v>0</c:v>
                </c:pt>
                <c:pt idx="2">
                  <c:v>3.8951899093903522E-2</c:v>
                </c:pt>
                <c:pt idx="3">
                  <c:v>5.9998219126633487E-2</c:v>
                </c:pt>
              </c:numCache>
            </c:numRef>
          </c:val>
          <c:extLst>
            <c:ext xmlns:c16="http://schemas.microsoft.com/office/drawing/2014/chart" uri="{C3380CC4-5D6E-409C-BE32-E72D297353CC}">
              <c16:uniqueId val="{00000004-F20C-4778-BF1C-1EE239202DA9}"/>
            </c:ext>
          </c:extLst>
        </c:ser>
        <c:ser>
          <c:idx val="5"/>
          <c:order val="5"/>
          <c:tx>
            <c:strRef>
              <c:f>Límites!$G$179:$G$180</c:f>
              <c:strCache>
                <c:ptCount val="2"/>
                <c:pt idx="0">
                  <c:v> VOL B DOL </c:v>
                </c:pt>
              </c:strCache>
            </c:strRef>
          </c:tx>
          <c:spPr>
            <a:solidFill>
              <a:schemeClr val="accent6"/>
            </a:solidFill>
            <a:ln>
              <a:noFill/>
            </a:ln>
            <a:effectLst/>
          </c:spPr>
          <c:invertIfNegative val="0"/>
          <c:cat>
            <c:strRef>
              <c:f>Límites!$A$181:$A$185</c:f>
              <c:strCache>
                <c:ptCount val="5"/>
                <c:pt idx="0">
                  <c:v> BN-VITAL </c:v>
                </c:pt>
                <c:pt idx="1">
                  <c:v> CCSS-OPC </c:v>
                </c:pt>
                <c:pt idx="2">
                  <c:v> POPULAR </c:v>
                </c:pt>
                <c:pt idx="3">
                  <c:v> SJ-PENSIONES </c:v>
                </c:pt>
                <c:pt idx="4">
                  <c:v> VIDA PLENA </c:v>
                </c:pt>
              </c:strCache>
            </c:strRef>
          </c:cat>
          <c:val>
            <c:numRef>
              <c:f>Límites!$G$181:$G$185</c:f>
              <c:numCache>
                <c:formatCode>0%</c:formatCode>
                <c:ptCount val="5"/>
                <c:pt idx="1">
                  <c:v>0</c:v>
                </c:pt>
                <c:pt idx="2">
                  <c:v>3.7247917179418479E-2</c:v>
                </c:pt>
                <c:pt idx="3">
                  <c:v>0.10610564361396098</c:v>
                </c:pt>
              </c:numCache>
            </c:numRef>
          </c:val>
          <c:extLst>
            <c:ext xmlns:c16="http://schemas.microsoft.com/office/drawing/2014/chart" uri="{C3380CC4-5D6E-409C-BE32-E72D297353CC}">
              <c16:uniqueId val="{00000005-F20C-4778-BF1C-1EE239202DA9}"/>
            </c:ext>
          </c:extLst>
        </c:ser>
        <c:ser>
          <c:idx val="6"/>
          <c:order val="6"/>
          <c:tx>
            <c:strRef>
              <c:f>Límites!$H$179:$H$180</c:f>
              <c:strCache>
                <c:ptCount val="2"/>
                <c:pt idx="0">
                  <c:v> FICT </c:v>
                </c:pt>
              </c:strCache>
            </c:strRef>
          </c:tx>
          <c:spPr>
            <a:solidFill>
              <a:schemeClr val="accent1">
                <a:lumMod val="60000"/>
              </a:schemeClr>
            </a:solidFill>
            <a:ln>
              <a:noFill/>
            </a:ln>
            <a:effectLst/>
          </c:spPr>
          <c:invertIfNegative val="0"/>
          <c:cat>
            <c:strRef>
              <c:f>Límites!$A$181:$A$185</c:f>
              <c:strCache>
                <c:ptCount val="5"/>
                <c:pt idx="0">
                  <c:v> BN-VITAL </c:v>
                </c:pt>
                <c:pt idx="1">
                  <c:v> CCSS-OPC </c:v>
                </c:pt>
                <c:pt idx="2">
                  <c:v> POPULAR </c:v>
                </c:pt>
                <c:pt idx="3">
                  <c:v> SJ-PENSIONES </c:v>
                </c:pt>
                <c:pt idx="4">
                  <c:v> VIDA PLENA </c:v>
                </c:pt>
              </c:strCache>
            </c:strRef>
          </c:cat>
          <c:val>
            <c:numRef>
              <c:f>Límites!$H$181:$H$185</c:f>
              <c:numCache>
                <c:formatCode>0%</c:formatCode>
                <c:ptCount val="5"/>
                <c:pt idx="0">
                  <c:v>0</c:v>
                </c:pt>
                <c:pt idx="1">
                  <c:v>0</c:v>
                </c:pt>
                <c:pt idx="2">
                  <c:v>4.9754952353242794E-2</c:v>
                </c:pt>
                <c:pt idx="3">
                  <c:v>0</c:v>
                </c:pt>
                <c:pt idx="4">
                  <c:v>0</c:v>
                </c:pt>
              </c:numCache>
            </c:numRef>
          </c:val>
          <c:extLst>
            <c:ext xmlns:c16="http://schemas.microsoft.com/office/drawing/2014/chart" uri="{C3380CC4-5D6E-409C-BE32-E72D297353CC}">
              <c16:uniqueId val="{00000006-F20C-4778-BF1C-1EE239202DA9}"/>
            </c:ext>
          </c:extLst>
        </c:ser>
        <c:dLbls>
          <c:showLegendKey val="0"/>
          <c:showVal val="0"/>
          <c:showCatName val="0"/>
          <c:showSerName val="0"/>
          <c:showPercent val="0"/>
          <c:showBubbleSize val="0"/>
        </c:dLbls>
        <c:gapWidth val="219"/>
        <c:overlap val="-27"/>
        <c:axId val="586949752"/>
        <c:axId val="586950736"/>
      </c:barChart>
      <c:catAx>
        <c:axId val="58694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crossAx val="586950736"/>
        <c:crosses val="autoZero"/>
        <c:auto val="1"/>
        <c:lblAlgn val="ctr"/>
        <c:lblOffset val="100"/>
        <c:noMultiLvlLbl val="0"/>
      </c:catAx>
      <c:valAx>
        <c:axId val="58695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crossAx val="586949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s-CR"/>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ROP!$B$23:$D$23</cx:f>
        <cx:lvl ptCount="3">
          <cx:pt idx="0">Sector Extranjero</cx:pt>
          <cx:pt idx="1">Sector Privado</cx:pt>
          <cx:pt idx="2">Sector Público</cx:pt>
        </cx:lvl>
      </cx:strDim>
      <cx:numDim type="val">
        <cx:f dir="row">ROP!$B$24:$D$24</cx:f>
        <cx:lvl ptCount="3" formatCode="0%">
          <cx:pt idx="0">0.095100383162468591</cx:pt>
          <cx:pt idx="1">0.1951411038431024</cx:pt>
          <cx:pt idx="2">0.68373588493292403</cx:pt>
        </cx:lvl>
      </cx:numDim>
    </cx:data>
    <cx:data id="1">
      <cx:strDim type="cat">
        <cx:f dir="row">ROP!$B$23:$D$23</cx:f>
        <cx:lvl ptCount="3">
          <cx:pt idx="0">Sector Extranjero</cx:pt>
          <cx:pt idx="1">Sector Privado</cx:pt>
          <cx:pt idx="2">Sector Público</cx:pt>
        </cx:lvl>
      </cx:strDim>
      <cx:numDim type="val">
        <cx:f dir="row">ROP!$B$25:$D$25</cx:f>
        <cx:lvl ptCount="3" formatCode="0%">
          <cx:pt idx="0">0.13198342999363374</cx:pt>
          <cx:pt idx="1">0.18706250392792365</cx:pt>
          <cx:pt idx="2">0.63957614053816836</cx:pt>
        </cx:lvl>
      </cx:numDim>
    </cx:data>
  </cx:chartData>
  <cx:chart>
    <cx:plotArea>
      <cx:plotAreaRegion>
        <cx:series layoutId="boxWhisker" uniqueId="{6A8541A9-A196-4F9B-9800-BE641AA4AE30}">
          <cx:tx>
            <cx:txData>
              <cx:f>ROP!$A$24</cx:f>
              <cx:v>Dic 2017          </cx:v>
            </cx:txData>
          </cx:tx>
          <cx:dataId val="0"/>
          <cx:layoutPr>
            <cx:visibility meanLine="0" meanMarker="1" nonoutliers="0" outliers="1"/>
            <cx:statistics quartileMethod="exclusive"/>
          </cx:layoutPr>
        </cx:series>
        <cx:series layoutId="boxWhisker" uniqueId="{C50B53F6-0C01-42E8-B4A7-219AC9724E6E}">
          <cx:tx>
            <cx:txData>
              <cx:f>ROP!$A$25</cx:f>
              <cx:v>Dic 2018         </cx:v>
            </cx:txData>
          </cx:tx>
          <cx:dataId val="1"/>
          <cx:layoutPr>
            <cx:visibility meanLine="0" meanMarker="1" nonoutliers="0" outliers="1"/>
            <cx:statistics quartileMethod="exclusive"/>
          </cx:layoutPr>
        </cx:series>
      </cx:plotAreaRegion>
      <cx:axis id="0">
        <cx:catScaling gapWidth="1.5"/>
        <cx:tickLabels/>
        <cx:txPr>
          <a:bodyPr spcFirstLastPara="1" vertOverflow="ellipsis" horzOverflow="overflow" wrap="square" lIns="0" tIns="0" rIns="0" bIns="0" anchor="ctr" anchorCtr="1"/>
          <a:lstStyle/>
          <a:p>
            <a:pPr algn="ctr" rtl="0">
              <a:defRPr>
                <a:latin typeface="+mj-lt"/>
              </a:defRPr>
            </a:pPr>
            <a:endParaRPr lang="es-ES" sz="900" b="0" i="0" u="none" strike="noStrike" baseline="0">
              <a:solidFill>
                <a:sysClr val="windowText" lastClr="000000">
                  <a:lumMod val="65000"/>
                  <a:lumOff val="35000"/>
                </a:sysClr>
              </a:solidFill>
              <a:latin typeface="+mj-lt"/>
            </a:endParaRPr>
          </a:p>
        </cx:txPr>
      </cx:axis>
      <cx:axis id="1">
        <cx:valScaling/>
        <cx:title>
          <cx:tx>
            <cx:txData>
              <cx:v>Porcentaje invertido</cx:v>
            </cx:txData>
          </cx:tx>
          <cx:txPr>
            <a:bodyPr spcFirstLastPara="1" vertOverflow="ellipsis" horzOverflow="overflow" wrap="square" lIns="0" tIns="0" rIns="0" bIns="0" anchor="ctr" anchorCtr="1"/>
            <a:lstStyle/>
            <a:p>
              <a:pPr algn="ctr" rtl="0">
                <a:defRPr>
                  <a:latin typeface="+mj-lt"/>
                </a:defRPr>
              </a:pPr>
              <a:r>
                <a:rPr lang="es-ES" sz="900" b="0" i="0" u="none" strike="noStrike" baseline="0">
                  <a:solidFill>
                    <a:sysClr val="windowText" lastClr="000000">
                      <a:lumMod val="65000"/>
                      <a:lumOff val="35000"/>
                    </a:sysClr>
                  </a:solidFill>
                  <a:latin typeface="+mj-lt"/>
                </a:rPr>
                <a:t>Porcentaje invertido</a:t>
              </a:r>
            </a:p>
          </cx:txPr>
        </cx:title>
        <cx:majorGridlines/>
        <cx:majorTickMarks type="out"/>
        <cx:tickLabels/>
        <cx:txPr>
          <a:bodyPr spcFirstLastPara="1" vertOverflow="ellipsis" horzOverflow="overflow" wrap="square" lIns="0" tIns="0" rIns="0" bIns="0" anchor="ctr" anchorCtr="1"/>
          <a:lstStyle/>
          <a:p>
            <a:pPr algn="ctr" rtl="0">
              <a:defRPr>
                <a:latin typeface="+mj-lt"/>
              </a:defRPr>
            </a:pPr>
            <a:endParaRPr lang="es-ES" sz="900" b="0" i="0" u="none" strike="noStrike" baseline="0">
              <a:solidFill>
                <a:sysClr val="windowText" lastClr="000000">
                  <a:lumMod val="65000"/>
                  <a:lumOff val="35000"/>
                </a:sysClr>
              </a:solidFill>
              <a:latin typeface="+mj-lt"/>
            </a:endParaRPr>
          </a:p>
        </cx:txPr>
      </cx:axis>
    </cx:plotArea>
    <cx:legend pos="b" align="ctr" overlay="0">
      <cx:txPr>
        <a:bodyPr spcFirstLastPara="1" vertOverflow="ellipsis" horzOverflow="overflow" wrap="square" lIns="0" tIns="0" rIns="0" bIns="0" anchor="ctr" anchorCtr="1"/>
        <a:lstStyle/>
        <a:p>
          <a:pPr algn="ctr" rtl="0">
            <a:defRPr>
              <a:latin typeface="+mj-lt"/>
            </a:defRPr>
          </a:pPr>
          <a:endParaRPr lang="es-ES" sz="900" b="0" i="0" u="none" strike="noStrike" baseline="0">
            <a:solidFill>
              <a:sysClr val="windowText" lastClr="000000">
                <a:lumMod val="65000"/>
                <a:lumOff val="35000"/>
              </a:sysClr>
            </a:solidFill>
            <a:latin typeface="+mj-lt"/>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15" ma:contentTypeDescription="Crear nuevo documento." ma:contentTypeScope="" ma:versionID="4501574d38d00e1fb72723bdc82e798d">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fc7686051c726bc07f01a0ec9081e91c"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2BEB-3750-4985-8CEC-93B53988B290}">
  <ds:schemaRefs>
    <ds:schemaRef ds:uri="abcd77d0-6cc8-47bc-9c9c-502c201b5bcf"/>
    <ds:schemaRef ds:uri="http://purl.org/dc/terms/"/>
    <ds:schemaRef ds:uri="http://purl.org/dc/elements/1.1/"/>
    <ds:schemaRef ds:uri="0f01b33b-af6d-466e-808f-b63681c2fce0"/>
    <ds:schemaRef ds:uri="b0165f23-38c6-4bfa-a027-891af1b4e757"/>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6171E57-EA24-4666-8C06-DFF8E355096D}">
  <ds:schemaRefs>
    <ds:schemaRef ds:uri="http://schemas.microsoft.com/sharepoint/v3/contenttype/forms"/>
  </ds:schemaRefs>
</ds:datastoreItem>
</file>

<file path=customXml/itemProps3.xml><?xml version="1.0" encoding="utf-8"?>
<ds:datastoreItem xmlns:ds="http://schemas.openxmlformats.org/officeDocument/2006/customXml" ds:itemID="{45498CBE-0766-45A8-BBF2-3F6B354AB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87C94-838C-49B7-9CC1-88FBF248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7831</Words>
  <Characters>43074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201809Informecoyuntura.docx</vt:lpstr>
    </vt:vector>
  </TitlesOfParts>
  <Company/>
  <LinksUpToDate>false</LinksUpToDate>
  <CharactersWithSpaces>50804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201809Informecoyuntura.docx</dc:title>
  <dc:subject/>
  <dc:creator>Rudy Corrales Vega</dc:creator>
  <cp:keywords/>
  <dc:description/>
  <cp:lastModifiedBy>ROJAS FAJARDO PORFIRIO</cp:lastModifiedBy>
  <cp:revision>2</cp:revision>
  <dcterms:created xsi:type="dcterms:W3CDTF">2019-09-16T16:32:00Z</dcterms:created>
  <dcterms:modified xsi:type="dcterms:W3CDTF">2019-09-16T16:32:00Z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y fmtid="{D5CDD505-2E9C-101B-9397-08002B2CF9AE}" pid="3" name="AuthorIds_UIVersion_9">
    <vt:lpwstr>19</vt:lpwstr>
  </property>
</Properties>
</file>