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63A49" w14:textId="646889AB" w:rsidR="00DC6F3B" w:rsidRPr="009B09B5" w:rsidRDefault="002721AA" w:rsidP="00AE3107">
      <w:pPr>
        <w:spacing w:after="0" w:line="21" w:lineRule="atLeast"/>
        <w:jc w:val="both"/>
        <w:rPr>
          <w:rFonts w:ascii="Times New Roman" w:hAnsi="Times New Roman" w:cs="Times New Roman"/>
        </w:rPr>
      </w:pPr>
      <w:r w:rsidRPr="009B09B5">
        <w:rPr>
          <w:rFonts w:ascii="Times New Roman" w:hAnsi="Times New Roman" w:cs="Times New Roman"/>
        </w:rPr>
        <w:t xml:space="preserve">  </w:t>
      </w:r>
      <w:r w:rsidR="00FC0898" w:rsidRPr="009B09B5">
        <w:rPr>
          <w:rFonts w:ascii="Times New Roman" w:hAnsi="Times New Roman" w:cs="Times New Roman"/>
        </w:rPr>
        <w:t xml:space="preserve"> </w:t>
      </w:r>
    </w:p>
    <w:p w14:paraId="78FE5B6A" w14:textId="77777777" w:rsidR="00DC6F3B" w:rsidRPr="009B09B5" w:rsidRDefault="00DC6F3B" w:rsidP="00AE3107">
      <w:pPr>
        <w:spacing w:after="0" w:line="21" w:lineRule="atLeast"/>
        <w:jc w:val="both"/>
        <w:rPr>
          <w:rFonts w:ascii="Times New Roman" w:hAnsi="Times New Roman" w:cs="Times New Roman"/>
        </w:rPr>
      </w:pPr>
    </w:p>
    <w:p w14:paraId="27E20036" w14:textId="5556AB81" w:rsidR="00081470" w:rsidRPr="009B09B5" w:rsidRDefault="00081470" w:rsidP="00AE3107">
      <w:pPr>
        <w:spacing w:after="0" w:line="21" w:lineRule="atLeast"/>
        <w:jc w:val="both"/>
        <w:rPr>
          <w:rFonts w:ascii="Times New Roman" w:hAnsi="Times New Roman" w:cs="Times New Roman"/>
        </w:rPr>
      </w:pPr>
      <w:r w:rsidRPr="009B09B5">
        <w:rPr>
          <w:rFonts w:ascii="Times New Roman" w:hAnsi="Times New Roman" w:cs="Times New Roman"/>
          <w:noProof/>
          <w:lang w:val="es-CR" w:eastAsia="es-CR"/>
        </w:rPr>
        <w:drawing>
          <wp:anchor distT="0" distB="0" distL="114300" distR="114300" simplePos="0" relativeHeight="251658241" behindDoc="0" locked="0" layoutInCell="1" allowOverlap="1" wp14:anchorId="7D1C7510" wp14:editId="47C3EF7B">
            <wp:simplePos x="1076325" y="895350"/>
            <wp:positionH relativeFrom="margin">
              <wp:align>left</wp:align>
            </wp:positionH>
            <wp:positionV relativeFrom="margin">
              <wp:align>center</wp:align>
            </wp:positionV>
            <wp:extent cx="1910392" cy="738963"/>
            <wp:effectExtent l="0" t="0" r="0" b="4445"/>
            <wp:wrapSquare wrapText="bothSides"/>
            <wp:docPr id="8" name="Imagen 8" descr="Logos_Transparente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 descr="Logos_Transparentes-01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392" cy="738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09B5">
        <w:rPr>
          <w:rFonts w:ascii="Times New Roman" w:hAnsi="Times New Roman" w:cs="Times New Roman"/>
          <w:noProof/>
          <w:lang w:val="es-CR" w:eastAsia="es-CR"/>
        </w:rPr>
        <mc:AlternateContent>
          <mc:Choice Requires="wps">
            <w:drawing>
              <wp:anchor distT="0" distB="0" distL="457200" distR="118745" simplePos="0" relativeHeight="251658240" behindDoc="0" locked="0" layoutInCell="0" allowOverlap="1" wp14:anchorId="42C72783" wp14:editId="6D43A0A8">
                <wp:simplePos x="0" y="0"/>
                <wp:positionH relativeFrom="margin">
                  <wp:posOffset>2491740</wp:posOffset>
                </wp:positionH>
                <wp:positionV relativeFrom="paragraph">
                  <wp:posOffset>-23495</wp:posOffset>
                </wp:positionV>
                <wp:extent cx="3743325" cy="8277860"/>
                <wp:effectExtent l="0" t="0" r="0" b="0"/>
                <wp:wrapSquare wrapText="bothSides"/>
                <wp:docPr id="205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827786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084AFEC" w14:textId="77777777" w:rsidR="00CF382E" w:rsidRPr="00C26828" w:rsidRDefault="00CF382E" w:rsidP="00081470">
                            <w:pPr>
                              <w:pBdr>
                                <w:left w:val="single" w:sz="4" w:space="9" w:color="4F81BD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sz w:val="40"/>
                                <w:szCs w:val="40"/>
                              </w:rPr>
                            </w:pPr>
                          </w:p>
                          <w:p w14:paraId="7D5D9E23" w14:textId="77777777" w:rsidR="00CF382E" w:rsidRPr="00C26828" w:rsidRDefault="00CF382E" w:rsidP="00081470">
                            <w:pPr>
                              <w:pBdr>
                                <w:left w:val="single" w:sz="4" w:space="9" w:color="4F81BD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sz w:val="40"/>
                                <w:szCs w:val="40"/>
                              </w:rPr>
                            </w:pPr>
                          </w:p>
                          <w:p w14:paraId="0B88A7C5" w14:textId="77777777" w:rsidR="00CF382E" w:rsidRPr="00C26828" w:rsidRDefault="00CF382E" w:rsidP="00081470">
                            <w:pPr>
                              <w:pBdr>
                                <w:left w:val="single" w:sz="4" w:space="9" w:color="4F81BD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sz w:val="40"/>
                                <w:szCs w:val="40"/>
                              </w:rPr>
                            </w:pPr>
                          </w:p>
                          <w:p w14:paraId="1498E3BF" w14:textId="77777777" w:rsidR="00CF382E" w:rsidRPr="00C26828" w:rsidRDefault="00CF382E" w:rsidP="00081470">
                            <w:pPr>
                              <w:pBdr>
                                <w:left w:val="single" w:sz="4" w:space="9" w:color="4F81BD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sz w:val="40"/>
                                <w:szCs w:val="40"/>
                              </w:rPr>
                            </w:pPr>
                          </w:p>
                          <w:p w14:paraId="4865CC2F" w14:textId="1198CCD6" w:rsidR="00CF382E" w:rsidRPr="00C41D98" w:rsidRDefault="00CF382E" w:rsidP="00081470">
                            <w:pPr>
                              <w:pBdr>
                                <w:left w:val="single" w:sz="4" w:space="9" w:color="4F81BD" w:themeColor="accent1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z w:val="44"/>
                                <w:szCs w:val="40"/>
                              </w:rPr>
                            </w:pPr>
                            <w:r w:rsidRPr="00387393">
                              <w:rPr>
                                <w:rFonts w:asciiTheme="majorHAnsi" w:eastAsiaTheme="majorEastAsia" w:hAnsiTheme="majorHAnsi" w:cstheme="majorBidi"/>
                                <w:b/>
                                <w:sz w:val="44"/>
                                <w:szCs w:val="40"/>
                              </w:rPr>
                              <w:t xml:space="preserve">EXTRACTO DEL </w:t>
                            </w:r>
                            <w:r w:rsidRPr="00C41D98">
                              <w:rPr>
                                <w:rFonts w:asciiTheme="majorHAnsi" w:eastAsiaTheme="majorEastAsia" w:hAnsiTheme="majorHAnsi" w:cstheme="majorBidi"/>
                                <w:b/>
                                <w:sz w:val="44"/>
                                <w:szCs w:val="40"/>
                              </w:rPr>
                              <w:t xml:space="preserve">INFORME DE </w:t>
                            </w:r>
                          </w:p>
                          <w:p w14:paraId="045710F4" w14:textId="77777777" w:rsidR="00CF382E" w:rsidRPr="00C41D98" w:rsidRDefault="00CF382E" w:rsidP="00081470">
                            <w:pPr>
                              <w:pBdr>
                                <w:left w:val="single" w:sz="4" w:space="9" w:color="4F81BD" w:themeColor="accent1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z w:val="44"/>
                                <w:szCs w:val="40"/>
                              </w:rPr>
                            </w:pPr>
                            <w:r w:rsidRPr="00C41D98">
                              <w:rPr>
                                <w:rFonts w:asciiTheme="majorHAnsi" w:eastAsiaTheme="majorEastAsia" w:hAnsiTheme="majorHAnsi" w:cstheme="majorBidi"/>
                                <w:b/>
                                <w:sz w:val="44"/>
                                <w:szCs w:val="40"/>
                              </w:rPr>
                              <w:t xml:space="preserve">COYUNTURA Y </w:t>
                            </w:r>
                          </w:p>
                          <w:p w14:paraId="1B320702" w14:textId="77777777" w:rsidR="00CF382E" w:rsidRPr="00C41D98" w:rsidRDefault="00CF382E" w:rsidP="00081470">
                            <w:pPr>
                              <w:pBdr>
                                <w:left w:val="single" w:sz="4" w:space="9" w:color="4F81BD" w:themeColor="accent1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z w:val="44"/>
                                <w:szCs w:val="40"/>
                              </w:rPr>
                            </w:pPr>
                            <w:r w:rsidRPr="00C41D98">
                              <w:rPr>
                                <w:rFonts w:asciiTheme="majorHAnsi" w:eastAsiaTheme="majorEastAsia" w:hAnsiTheme="majorHAnsi" w:cstheme="majorBidi"/>
                                <w:b/>
                                <w:sz w:val="44"/>
                                <w:szCs w:val="40"/>
                              </w:rPr>
                              <w:t xml:space="preserve">SUPERVISIÓN DEL </w:t>
                            </w:r>
                          </w:p>
                          <w:p w14:paraId="69438B33" w14:textId="77777777" w:rsidR="00CF382E" w:rsidRPr="00C41D98" w:rsidRDefault="00CF382E" w:rsidP="00081470">
                            <w:pPr>
                              <w:pBdr>
                                <w:left w:val="single" w:sz="4" w:space="9" w:color="4F81BD" w:themeColor="accent1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z w:val="44"/>
                                <w:szCs w:val="40"/>
                              </w:rPr>
                            </w:pPr>
                            <w:r w:rsidRPr="00C41D98">
                              <w:rPr>
                                <w:rFonts w:asciiTheme="majorHAnsi" w:eastAsiaTheme="majorEastAsia" w:hAnsiTheme="majorHAnsi" w:cstheme="majorBidi"/>
                                <w:b/>
                                <w:sz w:val="44"/>
                                <w:szCs w:val="40"/>
                              </w:rPr>
                              <w:t>SECTOR PENSIONES</w:t>
                            </w:r>
                          </w:p>
                          <w:p w14:paraId="5F401B90" w14:textId="77777777" w:rsidR="00CF382E" w:rsidRPr="00C26828" w:rsidRDefault="00CF382E" w:rsidP="00081470">
                            <w:pPr>
                              <w:pBdr>
                                <w:left w:val="single" w:sz="4" w:space="9" w:color="4F81BD" w:themeColor="accent1"/>
                              </w:pBdr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32"/>
                                <w:szCs w:val="40"/>
                              </w:rPr>
                            </w:pPr>
                          </w:p>
                          <w:p w14:paraId="396E3CB4" w14:textId="77777777" w:rsidR="00CF382E" w:rsidRPr="00C26828" w:rsidRDefault="00CF382E" w:rsidP="00081470">
                            <w:pPr>
                              <w:pBdr>
                                <w:left w:val="single" w:sz="4" w:space="9" w:color="4F81BD" w:themeColor="accent1"/>
                              </w:pBdr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32"/>
                                <w:szCs w:val="40"/>
                              </w:rPr>
                            </w:pPr>
                          </w:p>
                          <w:p w14:paraId="1DFAE027" w14:textId="77777777" w:rsidR="00CF382E" w:rsidRPr="00C26828" w:rsidRDefault="00CF382E" w:rsidP="00081470">
                            <w:pPr>
                              <w:pBdr>
                                <w:left w:val="single" w:sz="4" w:space="9" w:color="4F81BD" w:themeColor="accent1"/>
                              </w:pBdr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32"/>
                                <w:szCs w:val="40"/>
                              </w:rPr>
                            </w:pPr>
                          </w:p>
                          <w:p w14:paraId="3C760425" w14:textId="77777777" w:rsidR="00CF382E" w:rsidRPr="00AC2538" w:rsidRDefault="00CF382E" w:rsidP="00081470">
                            <w:pPr>
                              <w:pBdr>
                                <w:left w:val="single" w:sz="4" w:space="9" w:color="4F81BD" w:themeColor="accent1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32"/>
                                <w:szCs w:val="40"/>
                              </w:rPr>
                            </w:pPr>
                            <w:r w:rsidRPr="00AC2538">
                              <w:rPr>
                                <w:rFonts w:asciiTheme="majorHAnsi" w:eastAsiaTheme="majorEastAsia" w:hAnsiTheme="majorHAnsi" w:cstheme="majorBidi"/>
                                <w:sz w:val="32"/>
                                <w:szCs w:val="40"/>
                              </w:rPr>
                              <w:t xml:space="preserve">Evolución de los sistemas de pensiones y situación de los entes supervisados </w:t>
                            </w:r>
                          </w:p>
                          <w:p w14:paraId="1689E054" w14:textId="59626A08" w:rsidR="00CF382E" w:rsidRPr="00AC2538" w:rsidRDefault="00CF382E" w:rsidP="00081470">
                            <w:pPr>
                              <w:pBdr>
                                <w:left w:val="single" w:sz="4" w:space="9" w:color="4F81BD" w:themeColor="accent1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32"/>
                                <w:szCs w:val="40"/>
                              </w:rPr>
                            </w:pPr>
                            <w:r w:rsidRPr="00AC2538">
                              <w:rPr>
                                <w:rFonts w:asciiTheme="majorHAnsi" w:eastAsiaTheme="majorEastAsia" w:hAnsiTheme="majorHAnsi" w:cstheme="majorBidi"/>
                                <w:sz w:val="32"/>
                                <w:szCs w:val="40"/>
                              </w:rPr>
                              <w:t>Segundo Trimestre</w:t>
                            </w:r>
                          </w:p>
                          <w:p w14:paraId="426FA4AC" w14:textId="51735A75" w:rsidR="00CF382E" w:rsidRPr="00AC2538" w:rsidRDefault="00CF382E" w:rsidP="006D24E2">
                            <w:pPr>
                              <w:pBdr>
                                <w:left w:val="single" w:sz="4" w:space="9" w:color="4F81BD" w:themeColor="accent1"/>
                              </w:pBdr>
                              <w:jc w:val="center"/>
                            </w:pPr>
                            <w:r w:rsidRPr="00AC2538">
                              <w:rPr>
                                <w:rFonts w:asciiTheme="majorHAnsi" w:eastAsiaTheme="majorEastAsia" w:hAnsiTheme="majorHAnsi" w:cstheme="majorBidi"/>
                                <w:sz w:val="32"/>
                                <w:szCs w:val="40"/>
                              </w:rPr>
                              <w:t>2018</w:t>
                            </w:r>
                          </w:p>
                          <w:p w14:paraId="500D3020" w14:textId="77777777" w:rsidR="00CF382E" w:rsidRPr="00AC2538" w:rsidRDefault="00CF382E" w:rsidP="00081470">
                            <w:pPr>
                              <w:pBdr>
                                <w:left w:val="single" w:sz="4" w:space="9" w:color="4F81BD" w:themeColor="accent1"/>
                              </w:pBd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Cs w:val="40"/>
                              </w:rPr>
                            </w:pPr>
                          </w:p>
                          <w:p w14:paraId="24FC2D12" w14:textId="77777777" w:rsidR="00CF382E" w:rsidRPr="00AC2538" w:rsidRDefault="00CF382E" w:rsidP="00081470">
                            <w:pPr>
                              <w:pBdr>
                                <w:left w:val="single" w:sz="4" w:space="9" w:color="4F81BD" w:themeColor="accent1"/>
                              </w:pBd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Cs w:val="40"/>
                              </w:rPr>
                            </w:pPr>
                          </w:p>
                          <w:p w14:paraId="7959BF29" w14:textId="77777777" w:rsidR="00CF382E" w:rsidRPr="00AC2538" w:rsidRDefault="00CF382E" w:rsidP="00081470">
                            <w:pPr>
                              <w:pBdr>
                                <w:left w:val="single" w:sz="4" w:space="9" w:color="4F81BD" w:themeColor="accent1"/>
                              </w:pBd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Cs w:val="40"/>
                              </w:rPr>
                            </w:pPr>
                          </w:p>
                          <w:p w14:paraId="03078DDF" w14:textId="77777777" w:rsidR="00CF382E" w:rsidRPr="00AC2538" w:rsidRDefault="00CF382E" w:rsidP="00081470">
                            <w:pPr>
                              <w:pBdr>
                                <w:left w:val="single" w:sz="4" w:space="9" w:color="4F81BD" w:themeColor="accent1"/>
                              </w:pBd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Cs w:val="40"/>
                              </w:rPr>
                            </w:pPr>
                          </w:p>
                          <w:p w14:paraId="53DA4ECB" w14:textId="77777777" w:rsidR="00CF382E" w:rsidRPr="00AC2538" w:rsidRDefault="00CF382E" w:rsidP="00081470">
                            <w:pPr>
                              <w:pBdr>
                                <w:left w:val="single" w:sz="4" w:space="9" w:color="4F81BD" w:themeColor="accent1"/>
                              </w:pBd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Cs w:val="40"/>
                              </w:rPr>
                            </w:pPr>
                            <w:r w:rsidRPr="00AC2538">
                              <w:rPr>
                                <w:rFonts w:asciiTheme="majorHAnsi" w:eastAsiaTheme="majorEastAsia" w:hAnsiTheme="majorHAnsi" w:cstheme="majorBidi"/>
                                <w:szCs w:val="40"/>
                              </w:rPr>
                              <w:t>Superintendencia de Pensiones</w:t>
                            </w:r>
                          </w:p>
                          <w:p w14:paraId="790DB715" w14:textId="77777777" w:rsidR="00CF382E" w:rsidRPr="00AC2538" w:rsidRDefault="00CF382E" w:rsidP="00081470">
                            <w:pPr>
                              <w:pBdr>
                                <w:left w:val="single" w:sz="4" w:space="9" w:color="4F81BD" w:themeColor="accent1"/>
                              </w:pBd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Cs w:val="40"/>
                              </w:rPr>
                            </w:pPr>
                            <w:r w:rsidRPr="00AC2538">
                              <w:rPr>
                                <w:rFonts w:asciiTheme="majorHAnsi" w:eastAsiaTheme="majorEastAsia" w:hAnsiTheme="majorHAnsi" w:cstheme="majorBidi"/>
                                <w:szCs w:val="40"/>
                              </w:rPr>
                              <w:t>San José, Costa Rica</w:t>
                            </w:r>
                          </w:p>
                          <w:p w14:paraId="1E35A2B5" w14:textId="222B78B1" w:rsidR="00CF382E" w:rsidRPr="00C26828" w:rsidRDefault="00D04D16" w:rsidP="00081470">
                            <w:pPr>
                              <w:pBdr>
                                <w:left w:val="single" w:sz="4" w:space="9" w:color="4F81BD" w:themeColor="accent1"/>
                              </w:pBd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Cs w:val="40"/>
                              </w:rPr>
                            </w:pPr>
                            <w:hyperlink r:id="rId12" w:history="1">
                              <w:r w:rsidR="00CF382E" w:rsidRPr="00C26828">
                                <w:rPr>
                                  <w:rStyle w:val="Hipervnculo"/>
                                  <w:rFonts w:asciiTheme="majorHAnsi" w:eastAsiaTheme="majorEastAsia" w:hAnsiTheme="majorHAnsi" w:cstheme="majorBidi"/>
                                  <w:color w:val="auto"/>
                                  <w:szCs w:val="40"/>
                                </w:rPr>
                                <w:t>http://www.</w:t>
                              </w:r>
                              <w:r w:rsidR="00CF382E">
                                <w:rPr>
                                  <w:rStyle w:val="Hipervnculo"/>
                                  <w:rFonts w:asciiTheme="majorHAnsi" w:eastAsiaTheme="majorEastAsia" w:hAnsiTheme="majorHAnsi" w:cstheme="majorBidi"/>
                                  <w:color w:val="auto"/>
                                  <w:szCs w:val="40"/>
                                </w:rPr>
                                <w:t>Supen</w:t>
                              </w:r>
                              <w:r w:rsidR="00CF382E" w:rsidRPr="00C26828">
                                <w:rPr>
                                  <w:rStyle w:val="Hipervnculo"/>
                                  <w:rFonts w:asciiTheme="majorHAnsi" w:eastAsiaTheme="majorEastAsia" w:hAnsiTheme="majorHAnsi" w:cstheme="majorBidi"/>
                                  <w:color w:val="auto"/>
                                  <w:szCs w:val="40"/>
                                </w:rPr>
                                <w:t>.fi.cr</w:t>
                              </w:r>
                            </w:hyperlink>
                            <w:r w:rsidR="00CF382E" w:rsidRPr="00C26828">
                              <w:rPr>
                                <w:rFonts w:asciiTheme="majorHAnsi" w:eastAsiaTheme="majorEastAsia" w:hAnsiTheme="majorHAnsi" w:cstheme="majorBidi"/>
                                <w:szCs w:val="40"/>
                              </w:rPr>
                              <w:t xml:space="preserve"> </w:t>
                            </w:r>
                          </w:p>
                          <w:p w14:paraId="0AAFB9D2" w14:textId="77777777" w:rsidR="00CF382E" w:rsidRPr="00C26828" w:rsidRDefault="00CF382E" w:rsidP="00081470">
                            <w:pPr>
                              <w:pBdr>
                                <w:left w:val="single" w:sz="4" w:space="9" w:color="4F81BD" w:themeColor="accent1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72783" id="Autoforma 14" o:spid="_x0000_s1026" style="position:absolute;left:0;text-align:left;margin-left:196.2pt;margin-top:-1.85pt;width:294.75pt;height:651.8pt;z-index:251658240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" o:allowincell="f" filled="f" stroked="f" strokeweight="1.25pt">
                <v:textbox inset=",7.2pt,,7.2pt">
                  <w:txbxContent>
                    <w:p w14:paraId="0084AFEC" w14:textId="77777777" w:rsidR="00CF382E" w:rsidRPr="00C26828" w:rsidRDefault="00CF382E" w:rsidP="00081470">
                      <w:pPr>
                        <w:pBdr>
                          <w:left w:val="single" w:sz="4" w:space="9" w:color="4F81BD" w:themeColor="accent1"/>
                        </w:pBdr>
                        <w:rPr>
                          <w:rFonts w:asciiTheme="majorHAnsi" w:eastAsiaTheme="majorEastAsia" w:hAnsiTheme="majorHAnsi" w:cstheme="majorBidi"/>
                          <w:sz w:val="40"/>
                          <w:szCs w:val="40"/>
                        </w:rPr>
                      </w:pPr>
                    </w:p>
                    <w:p w14:paraId="7D5D9E23" w14:textId="77777777" w:rsidR="00CF382E" w:rsidRPr="00C26828" w:rsidRDefault="00CF382E" w:rsidP="00081470">
                      <w:pPr>
                        <w:pBdr>
                          <w:left w:val="single" w:sz="4" w:space="9" w:color="4F81BD" w:themeColor="accent1"/>
                        </w:pBdr>
                        <w:rPr>
                          <w:rFonts w:asciiTheme="majorHAnsi" w:eastAsiaTheme="majorEastAsia" w:hAnsiTheme="majorHAnsi" w:cstheme="majorBidi"/>
                          <w:sz w:val="40"/>
                          <w:szCs w:val="40"/>
                        </w:rPr>
                      </w:pPr>
                    </w:p>
                    <w:p w14:paraId="0B88A7C5" w14:textId="77777777" w:rsidR="00CF382E" w:rsidRPr="00C26828" w:rsidRDefault="00CF382E" w:rsidP="00081470">
                      <w:pPr>
                        <w:pBdr>
                          <w:left w:val="single" w:sz="4" w:space="9" w:color="4F81BD" w:themeColor="accent1"/>
                        </w:pBdr>
                        <w:rPr>
                          <w:rFonts w:asciiTheme="majorHAnsi" w:eastAsiaTheme="majorEastAsia" w:hAnsiTheme="majorHAnsi" w:cstheme="majorBidi"/>
                          <w:sz w:val="40"/>
                          <w:szCs w:val="40"/>
                        </w:rPr>
                      </w:pPr>
                    </w:p>
                    <w:p w14:paraId="1498E3BF" w14:textId="77777777" w:rsidR="00CF382E" w:rsidRPr="00C26828" w:rsidRDefault="00CF382E" w:rsidP="00081470">
                      <w:pPr>
                        <w:pBdr>
                          <w:left w:val="single" w:sz="4" w:space="9" w:color="4F81BD" w:themeColor="accent1"/>
                        </w:pBdr>
                        <w:rPr>
                          <w:rFonts w:asciiTheme="majorHAnsi" w:eastAsiaTheme="majorEastAsia" w:hAnsiTheme="majorHAnsi" w:cstheme="majorBidi"/>
                          <w:sz w:val="40"/>
                          <w:szCs w:val="40"/>
                        </w:rPr>
                      </w:pPr>
                    </w:p>
                    <w:p w14:paraId="4865CC2F" w14:textId="1198CCD6" w:rsidR="00CF382E" w:rsidRPr="00C41D98" w:rsidRDefault="00CF382E" w:rsidP="00081470">
                      <w:pPr>
                        <w:pBdr>
                          <w:left w:val="single" w:sz="4" w:space="9" w:color="4F81BD" w:themeColor="accent1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z w:val="44"/>
                          <w:szCs w:val="40"/>
                        </w:rPr>
                      </w:pPr>
                      <w:r w:rsidRPr="00387393">
                        <w:rPr>
                          <w:rFonts w:asciiTheme="majorHAnsi" w:eastAsiaTheme="majorEastAsia" w:hAnsiTheme="majorHAnsi" w:cstheme="majorBidi"/>
                          <w:b/>
                          <w:sz w:val="44"/>
                          <w:szCs w:val="40"/>
                        </w:rPr>
                        <w:t xml:space="preserve">EXTRACTO DEL </w:t>
                      </w:r>
                      <w:r w:rsidRPr="00C41D98">
                        <w:rPr>
                          <w:rFonts w:asciiTheme="majorHAnsi" w:eastAsiaTheme="majorEastAsia" w:hAnsiTheme="majorHAnsi" w:cstheme="majorBidi"/>
                          <w:b/>
                          <w:sz w:val="44"/>
                          <w:szCs w:val="40"/>
                        </w:rPr>
                        <w:t xml:space="preserve">INFORME DE </w:t>
                      </w:r>
                    </w:p>
                    <w:p w14:paraId="045710F4" w14:textId="77777777" w:rsidR="00CF382E" w:rsidRPr="00C41D98" w:rsidRDefault="00CF382E" w:rsidP="00081470">
                      <w:pPr>
                        <w:pBdr>
                          <w:left w:val="single" w:sz="4" w:space="9" w:color="4F81BD" w:themeColor="accent1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z w:val="44"/>
                          <w:szCs w:val="40"/>
                        </w:rPr>
                      </w:pPr>
                      <w:r w:rsidRPr="00C41D98">
                        <w:rPr>
                          <w:rFonts w:asciiTheme="majorHAnsi" w:eastAsiaTheme="majorEastAsia" w:hAnsiTheme="majorHAnsi" w:cstheme="majorBidi"/>
                          <w:b/>
                          <w:sz w:val="44"/>
                          <w:szCs w:val="40"/>
                        </w:rPr>
                        <w:t xml:space="preserve">COYUNTURA Y </w:t>
                      </w:r>
                    </w:p>
                    <w:p w14:paraId="1B320702" w14:textId="77777777" w:rsidR="00CF382E" w:rsidRPr="00C41D98" w:rsidRDefault="00CF382E" w:rsidP="00081470">
                      <w:pPr>
                        <w:pBdr>
                          <w:left w:val="single" w:sz="4" w:space="9" w:color="4F81BD" w:themeColor="accent1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z w:val="44"/>
                          <w:szCs w:val="40"/>
                        </w:rPr>
                      </w:pPr>
                      <w:r w:rsidRPr="00C41D98">
                        <w:rPr>
                          <w:rFonts w:asciiTheme="majorHAnsi" w:eastAsiaTheme="majorEastAsia" w:hAnsiTheme="majorHAnsi" w:cstheme="majorBidi"/>
                          <w:b/>
                          <w:sz w:val="44"/>
                          <w:szCs w:val="40"/>
                        </w:rPr>
                        <w:t xml:space="preserve">SUPERVISIÓN DEL </w:t>
                      </w:r>
                    </w:p>
                    <w:p w14:paraId="69438B33" w14:textId="77777777" w:rsidR="00CF382E" w:rsidRPr="00C41D98" w:rsidRDefault="00CF382E" w:rsidP="00081470">
                      <w:pPr>
                        <w:pBdr>
                          <w:left w:val="single" w:sz="4" w:space="9" w:color="4F81BD" w:themeColor="accent1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z w:val="44"/>
                          <w:szCs w:val="40"/>
                        </w:rPr>
                      </w:pPr>
                      <w:r w:rsidRPr="00C41D98">
                        <w:rPr>
                          <w:rFonts w:asciiTheme="majorHAnsi" w:eastAsiaTheme="majorEastAsia" w:hAnsiTheme="majorHAnsi" w:cstheme="majorBidi"/>
                          <w:b/>
                          <w:sz w:val="44"/>
                          <w:szCs w:val="40"/>
                        </w:rPr>
                        <w:t>SECTOR PENSIONES</w:t>
                      </w:r>
                    </w:p>
                    <w:p w14:paraId="5F401B90" w14:textId="77777777" w:rsidR="00CF382E" w:rsidRPr="00C26828" w:rsidRDefault="00CF382E" w:rsidP="00081470">
                      <w:pPr>
                        <w:pBdr>
                          <w:left w:val="single" w:sz="4" w:space="9" w:color="4F81BD" w:themeColor="accent1"/>
                        </w:pBdr>
                        <w:jc w:val="right"/>
                        <w:rPr>
                          <w:rFonts w:asciiTheme="majorHAnsi" w:eastAsiaTheme="majorEastAsia" w:hAnsiTheme="majorHAnsi" w:cstheme="majorBidi"/>
                          <w:sz w:val="32"/>
                          <w:szCs w:val="40"/>
                        </w:rPr>
                      </w:pPr>
                    </w:p>
                    <w:p w14:paraId="396E3CB4" w14:textId="77777777" w:rsidR="00CF382E" w:rsidRPr="00C26828" w:rsidRDefault="00CF382E" w:rsidP="00081470">
                      <w:pPr>
                        <w:pBdr>
                          <w:left w:val="single" w:sz="4" w:space="9" w:color="4F81BD" w:themeColor="accent1"/>
                        </w:pBdr>
                        <w:jc w:val="right"/>
                        <w:rPr>
                          <w:rFonts w:asciiTheme="majorHAnsi" w:eastAsiaTheme="majorEastAsia" w:hAnsiTheme="majorHAnsi" w:cstheme="majorBidi"/>
                          <w:sz w:val="32"/>
                          <w:szCs w:val="40"/>
                        </w:rPr>
                      </w:pPr>
                    </w:p>
                    <w:p w14:paraId="1DFAE027" w14:textId="77777777" w:rsidR="00CF382E" w:rsidRPr="00C26828" w:rsidRDefault="00CF382E" w:rsidP="00081470">
                      <w:pPr>
                        <w:pBdr>
                          <w:left w:val="single" w:sz="4" w:space="9" w:color="4F81BD" w:themeColor="accent1"/>
                        </w:pBdr>
                        <w:jc w:val="right"/>
                        <w:rPr>
                          <w:rFonts w:asciiTheme="majorHAnsi" w:eastAsiaTheme="majorEastAsia" w:hAnsiTheme="majorHAnsi" w:cstheme="majorBidi"/>
                          <w:sz w:val="32"/>
                          <w:szCs w:val="40"/>
                        </w:rPr>
                      </w:pPr>
                    </w:p>
                    <w:p w14:paraId="3C760425" w14:textId="77777777" w:rsidR="00CF382E" w:rsidRPr="00AC2538" w:rsidRDefault="00CF382E" w:rsidP="00081470">
                      <w:pPr>
                        <w:pBdr>
                          <w:left w:val="single" w:sz="4" w:space="9" w:color="4F81BD" w:themeColor="accent1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sz w:val="32"/>
                          <w:szCs w:val="40"/>
                        </w:rPr>
                      </w:pPr>
                      <w:r w:rsidRPr="00AC2538">
                        <w:rPr>
                          <w:rFonts w:asciiTheme="majorHAnsi" w:eastAsiaTheme="majorEastAsia" w:hAnsiTheme="majorHAnsi" w:cstheme="majorBidi"/>
                          <w:sz w:val="32"/>
                          <w:szCs w:val="40"/>
                        </w:rPr>
                        <w:t xml:space="preserve">Evolución de los sistemas de pensiones y situación de los entes supervisados </w:t>
                      </w:r>
                    </w:p>
                    <w:p w14:paraId="1689E054" w14:textId="59626A08" w:rsidR="00CF382E" w:rsidRPr="00AC2538" w:rsidRDefault="00CF382E" w:rsidP="00081470">
                      <w:pPr>
                        <w:pBdr>
                          <w:left w:val="single" w:sz="4" w:space="9" w:color="4F81BD" w:themeColor="accent1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sz w:val="32"/>
                          <w:szCs w:val="40"/>
                        </w:rPr>
                      </w:pPr>
                      <w:r w:rsidRPr="00AC2538">
                        <w:rPr>
                          <w:rFonts w:asciiTheme="majorHAnsi" w:eastAsiaTheme="majorEastAsia" w:hAnsiTheme="majorHAnsi" w:cstheme="majorBidi"/>
                          <w:sz w:val="32"/>
                          <w:szCs w:val="40"/>
                        </w:rPr>
                        <w:t>Segundo Trimestre</w:t>
                      </w:r>
                    </w:p>
                    <w:p w14:paraId="426FA4AC" w14:textId="51735A75" w:rsidR="00CF382E" w:rsidRPr="00AC2538" w:rsidRDefault="00CF382E" w:rsidP="006D24E2">
                      <w:pPr>
                        <w:pBdr>
                          <w:left w:val="single" w:sz="4" w:space="9" w:color="4F81BD" w:themeColor="accent1"/>
                        </w:pBdr>
                        <w:jc w:val="center"/>
                      </w:pPr>
                      <w:r w:rsidRPr="00AC2538">
                        <w:rPr>
                          <w:rFonts w:asciiTheme="majorHAnsi" w:eastAsiaTheme="majorEastAsia" w:hAnsiTheme="majorHAnsi" w:cstheme="majorBidi"/>
                          <w:sz w:val="32"/>
                          <w:szCs w:val="40"/>
                        </w:rPr>
                        <w:t>2018</w:t>
                      </w:r>
                    </w:p>
                    <w:p w14:paraId="500D3020" w14:textId="77777777" w:rsidR="00CF382E" w:rsidRPr="00AC2538" w:rsidRDefault="00CF382E" w:rsidP="00081470">
                      <w:pPr>
                        <w:pBdr>
                          <w:left w:val="single" w:sz="4" w:space="9" w:color="4F81BD" w:themeColor="accent1"/>
                        </w:pBd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szCs w:val="40"/>
                        </w:rPr>
                      </w:pPr>
                    </w:p>
                    <w:p w14:paraId="24FC2D12" w14:textId="77777777" w:rsidR="00CF382E" w:rsidRPr="00AC2538" w:rsidRDefault="00CF382E" w:rsidP="00081470">
                      <w:pPr>
                        <w:pBdr>
                          <w:left w:val="single" w:sz="4" w:space="9" w:color="4F81BD" w:themeColor="accent1"/>
                        </w:pBd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szCs w:val="40"/>
                        </w:rPr>
                      </w:pPr>
                    </w:p>
                    <w:p w14:paraId="7959BF29" w14:textId="77777777" w:rsidR="00CF382E" w:rsidRPr="00AC2538" w:rsidRDefault="00CF382E" w:rsidP="00081470">
                      <w:pPr>
                        <w:pBdr>
                          <w:left w:val="single" w:sz="4" w:space="9" w:color="4F81BD" w:themeColor="accent1"/>
                        </w:pBd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szCs w:val="40"/>
                        </w:rPr>
                      </w:pPr>
                    </w:p>
                    <w:p w14:paraId="03078DDF" w14:textId="77777777" w:rsidR="00CF382E" w:rsidRPr="00AC2538" w:rsidRDefault="00CF382E" w:rsidP="00081470">
                      <w:pPr>
                        <w:pBdr>
                          <w:left w:val="single" w:sz="4" w:space="9" w:color="4F81BD" w:themeColor="accent1"/>
                        </w:pBd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szCs w:val="40"/>
                        </w:rPr>
                      </w:pPr>
                    </w:p>
                    <w:p w14:paraId="53DA4ECB" w14:textId="77777777" w:rsidR="00CF382E" w:rsidRPr="00AC2538" w:rsidRDefault="00CF382E" w:rsidP="00081470">
                      <w:pPr>
                        <w:pBdr>
                          <w:left w:val="single" w:sz="4" w:space="9" w:color="4F81BD" w:themeColor="accent1"/>
                        </w:pBd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szCs w:val="40"/>
                        </w:rPr>
                      </w:pPr>
                      <w:r w:rsidRPr="00AC2538">
                        <w:rPr>
                          <w:rFonts w:asciiTheme="majorHAnsi" w:eastAsiaTheme="majorEastAsia" w:hAnsiTheme="majorHAnsi" w:cstheme="majorBidi"/>
                          <w:szCs w:val="40"/>
                        </w:rPr>
                        <w:t>Superintendencia de Pensiones</w:t>
                      </w:r>
                    </w:p>
                    <w:p w14:paraId="790DB715" w14:textId="77777777" w:rsidR="00CF382E" w:rsidRPr="00AC2538" w:rsidRDefault="00CF382E" w:rsidP="00081470">
                      <w:pPr>
                        <w:pBdr>
                          <w:left w:val="single" w:sz="4" w:space="9" w:color="4F81BD" w:themeColor="accent1"/>
                        </w:pBd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szCs w:val="40"/>
                        </w:rPr>
                      </w:pPr>
                      <w:r w:rsidRPr="00AC2538">
                        <w:rPr>
                          <w:rFonts w:asciiTheme="majorHAnsi" w:eastAsiaTheme="majorEastAsia" w:hAnsiTheme="majorHAnsi" w:cstheme="majorBidi"/>
                          <w:szCs w:val="40"/>
                        </w:rPr>
                        <w:t>San José, Costa Rica</w:t>
                      </w:r>
                    </w:p>
                    <w:p w14:paraId="1E35A2B5" w14:textId="222B78B1" w:rsidR="00CF382E" w:rsidRPr="00C26828" w:rsidRDefault="00D04D16" w:rsidP="00081470">
                      <w:pPr>
                        <w:pBdr>
                          <w:left w:val="single" w:sz="4" w:space="9" w:color="4F81BD" w:themeColor="accent1"/>
                        </w:pBd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szCs w:val="40"/>
                        </w:rPr>
                      </w:pPr>
                      <w:hyperlink r:id="rId13" w:history="1">
                        <w:r w:rsidR="00CF382E" w:rsidRPr="00C26828">
                          <w:rPr>
                            <w:rStyle w:val="Hipervnculo"/>
                            <w:rFonts w:asciiTheme="majorHAnsi" w:eastAsiaTheme="majorEastAsia" w:hAnsiTheme="majorHAnsi" w:cstheme="majorBidi"/>
                            <w:color w:val="auto"/>
                            <w:szCs w:val="40"/>
                          </w:rPr>
                          <w:t>http://www.</w:t>
                        </w:r>
                        <w:r w:rsidR="00CF382E">
                          <w:rPr>
                            <w:rStyle w:val="Hipervnculo"/>
                            <w:rFonts w:asciiTheme="majorHAnsi" w:eastAsiaTheme="majorEastAsia" w:hAnsiTheme="majorHAnsi" w:cstheme="majorBidi"/>
                            <w:color w:val="auto"/>
                            <w:szCs w:val="40"/>
                          </w:rPr>
                          <w:t>Supen</w:t>
                        </w:r>
                        <w:r w:rsidR="00CF382E" w:rsidRPr="00C26828">
                          <w:rPr>
                            <w:rStyle w:val="Hipervnculo"/>
                            <w:rFonts w:asciiTheme="majorHAnsi" w:eastAsiaTheme="majorEastAsia" w:hAnsiTheme="majorHAnsi" w:cstheme="majorBidi"/>
                            <w:color w:val="auto"/>
                            <w:szCs w:val="40"/>
                          </w:rPr>
                          <w:t>.fi.cr</w:t>
                        </w:r>
                      </w:hyperlink>
                      <w:r w:rsidR="00CF382E" w:rsidRPr="00C26828">
                        <w:rPr>
                          <w:rFonts w:asciiTheme="majorHAnsi" w:eastAsiaTheme="majorEastAsia" w:hAnsiTheme="majorHAnsi" w:cstheme="majorBidi"/>
                          <w:szCs w:val="40"/>
                        </w:rPr>
                        <w:t xml:space="preserve"> </w:t>
                      </w:r>
                    </w:p>
                    <w:p w14:paraId="0AAFB9D2" w14:textId="77777777" w:rsidR="00CF382E" w:rsidRPr="00C26828" w:rsidRDefault="00CF382E" w:rsidP="00081470">
                      <w:pPr>
                        <w:pBdr>
                          <w:left w:val="single" w:sz="4" w:space="9" w:color="4F81BD" w:themeColor="accent1"/>
                        </w:pBd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016C90EA" w14:textId="38588747" w:rsidR="004C5B85" w:rsidRPr="009B09B5" w:rsidRDefault="00081470" w:rsidP="00AE3107">
      <w:pPr>
        <w:spacing w:after="0"/>
        <w:rPr>
          <w:rFonts w:ascii="Times New Roman" w:hAnsi="Times New Roman" w:cs="Times New Roman"/>
        </w:rPr>
      </w:pPr>
      <w:r w:rsidRPr="009B09B5">
        <w:rPr>
          <w:rFonts w:ascii="Times New Roman" w:hAnsi="Times New Roman" w:cs="Times New Roman"/>
        </w:rPr>
        <w:br w:type="page"/>
      </w:r>
    </w:p>
    <w:p w14:paraId="3D000875" w14:textId="793D6056" w:rsidR="00081470" w:rsidRPr="009B09B5" w:rsidRDefault="00081470" w:rsidP="00AE3107">
      <w:pPr>
        <w:pStyle w:val="Textoindependienteprimerasangra2"/>
        <w:spacing w:after="0"/>
        <w:ind w:left="0" w:firstLine="0"/>
        <w:jc w:val="both"/>
        <w:rPr>
          <w:rStyle w:val="Hipervnculo"/>
          <w:rFonts w:ascii="Times New Roman" w:hAnsi="Times New Roman" w:cs="Times New Roman"/>
          <w:color w:val="auto"/>
        </w:rPr>
      </w:pPr>
      <w:r w:rsidRPr="009B09B5">
        <w:rPr>
          <w:rFonts w:ascii="Times New Roman" w:hAnsi="Times New Roman" w:cs="Times New Roman"/>
        </w:rPr>
        <w:lastRenderedPageBreak/>
        <w:t xml:space="preserve">El Informe de Coyuntura y Supervisión del Sistema Nacional de Pensiones, se elabora para atender lo dispuesto en el artículo 38, inciso n) de la Ley N°7523, Régimen Privado de Pensiones Complementarias. La información contenida en este documento es propiedad intelectual de la </w:t>
      </w:r>
      <w:r w:rsidR="009622EA" w:rsidRPr="009B09B5">
        <w:rPr>
          <w:rFonts w:ascii="Times New Roman" w:hAnsi="Times New Roman" w:cs="Times New Roman"/>
        </w:rPr>
        <w:t>Superintendencia de Pensiones (</w:t>
      </w:r>
      <w:r w:rsidR="00ED3227">
        <w:rPr>
          <w:rFonts w:ascii="Times New Roman" w:hAnsi="Times New Roman" w:cs="Times New Roman"/>
        </w:rPr>
        <w:t>SUPEN</w:t>
      </w:r>
      <w:r w:rsidR="009622EA" w:rsidRPr="009B09B5">
        <w:rPr>
          <w:rFonts w:ascii="Times New Roman" w:hAnsi="Times New Roman" w:cs="Times New Roman"/>
        </w:rPr>
        <w:t>)</w:t>
      </w:r>
      <w:r w:rsidRPr="009B09B5">
        <w:rPr>
          <w:rFonts w:ascii="Times New Roman" w:hAnsi="Times New Roman" w:cs="Times New Roman"/>
        </w:rPr>
        <w:t xml:space="preserve"> y de uso reservado para el Consejo Nacional de Supervisión del Sistema Financiero (CONASSIF). Dicha información podría ser de carácter confidencial o tener derechos reservados y privilegios legales asociados. La </w:t>
      </w:r>
      <w:r w:rsidR="00ED3227">
        <w:rPr>
          <w:rFonts w:ascii="Times New Roman" w:hAnsi="Times New Roman" w:cs="Times New Roman"/>
        </w:rPr>
        <w:t>SUPEN</w:t>
      </w:r>
      <w:r w:rsidRPr="009B09B5">
        <w:rPr>
          <w:rFonts w:ascii="Times New Roman" w:hAnsi="Times New Roman" w:cs="Times New Roman"/>
        </w:rPr>
        <w:t xml:space="preserve"> no se hace legalmente responsable de la transmisión incorrecta de la información aquí contenida. La confección del documento estuvo a cargo de la División de Planificación y Normativa de la</w:t>
      </w:r>
      <w:r w:rsidR="009622EA" w:rsidRPr="009B09B5">
        <w:rPr>
          <w:rFonts w:ascii="Times New Roman" w:hAnsi="Times New Roman" w:cs="Times New Roman"/>
        </w:rPr>
        <w:t xml:space="preserve"> </w:t>
      </w:r>
      <w:r w:rsidR="00ED3227">
        <w:rPr>
          <w:rFonts w:ascii="Times New Roman" w:hAnsi="Times New Roman" w:cs="Times New Roman"/>
        </w:rPr>
        <w:t>SUPEN</w:t>
      </w:r>
      <w:r w:rsidRPr="009B09B5">
        <w:rPr>
          <w:rFonts w:ascii="Times New Roman" w:hAnsi="Times New Roman" w:cs="Times New Roman"/>
        </w:rPr>
        <w:t xml:space="preserve">. Cualquier duda a consulta sobre este documento favor canalizarla a la dirección de correo: </w:t>
      </w:r>
      <w:hyperlink r:id="rId14" w:history="1">
        <w:r w:rsidR="00ED3227">
          <w:rPr>
            <w:rStyle w:val="Hipervnculo"/>
            <w:rFonts w:ascii="Times New Roman" w:hAnsi="Times New Roman" w:cs="Times New Roman"/>
            <w:color w:val="548DD4" w:themeColor="text2" w:themeTint="99"/>
          </w:rPr>
          <w:t>Supen</w:t>
        </w:r>
        <w:r w:rsidRPr="009B09B5">
          <w:rPr>
            <w:rStyle w:val="Hipervnculo"/>
            <w:rFonts w:ascii="Times New Roman" w:hAnsi="Times New Roman" w:cs="Times New Roman"/>
            <w:color w:val="548DD4" w:themeColor="text2" w:themeTint="99"/>
          </w:rPr>
          <w:t>@</w:t>
        </w:r>
        <w:r w:rsidR="00ED3227">
          <w:rPr>
            <w:rStyle w:val="Hipervnculo"/>
            <w:rFonts w:ascii="Times New Roman" w:hAnsi="Times New Roman" w:cs="Times New Roman"/>
            <w:color w:val="548DD4" w:themeColor="text2" w:themeTint="99"/>
          </w:rPr>
          <w:t>Supen</w:t>
        </w:r>
        <w:r w:rsidRPr="009B09B5">
          <w:rPr>
            <w:rStyle w:val="Hipervnculo"/>
            <w:rFonts w:ascii="Times New Roman" w:hAnsi="Times New Roman" w:cs="Times New Roman"/>
            <w:color w:val="548DD4" w:themeColor="text2" w:themeTint="99"/>
          </w:rPr>
          <w:t>.fi.cr</w:t>
        </w:r>
      </w:hyperlink>
    </w:p>
    <w:p w14:paraId="45514F7A" w14:textId="77777777" w:rsidR="00D1240C" w:rsidRPr="009B09B5" w:rsidRDefault="00D1240C" w:rsidP="00AE3107">
      <w:pPr>
        <w:tabs>
          <w:tab w:val="left" w:pos="1056"/>
        </w:tabs>
        <w:spacing w:after="0"/>
        <w:rPr>
          <w:rFonts w:ascii="Times New Roman" w:hAnsi="Times New Roman" w:cs="Times New Roman"/>
        </w:rPr>
      </w:pPr>
    </w:p>
    <w:p w14:paraId="2A09A825" w14:textId="77777777" w:rsidR="00041D06" w:rsidRPr="009B09B5" w:rsidRDefault="00041D06" w:rsidP="00AE3107">
      <w:pPr>
        <w:spacing w:after="0"/>
        <w:rPr>
          <w:rFonts w:ascii="Times New Roman" w:hAnsi="Times New Roman" w:cs="Times New Roman"/>
          <w:b/>
        </w:rPr>
      </w:pPr>
    </w:p>
    <w:p w14:paraId="632975D7" w14:textId="279213AD" w:rsidR="00417DAE" w:rsidRPr="009B09B5" w:rsidRDefault="00D6259D" w:rsidP="00AE3107">
      <w:pPr>
        <w:spacing w:after="0"/>
        <w:rPr>
          <w:rFonts w:ascii="Times New Roman" w:hAnsi="Times New Roman" w:cs="Times New Roman"/>
          <w:b/>
        </w:rPr>
      </w:pPr>
      <w:r w:rsidRPr="009B09B5">
        <w:rPr>
          <w:rFonts w:ascii="Times New Roman" w:hAnsi="Times New Roman" w:cs="Times New Roman"/>
        </w:rPr>
        <w:br w:type="page"/>
      </w:r>
    </w:p>
    <w:bookmarkStart w:id="0" w:name="_Toc488389825" w:displacedByCustomXml="next"/>
    <w:bookmarkStart w:id="1" w:name="_Toc490730419" w:displacedByCustomXml="next"/>
    <w:bookmarkStart w:id="2" w:name="_Toc496876552" w:displacedByCustomXml="next"/>
    <w:bookmarkStart w:id="3" w:name="_Toc505348331" w:displacedByCustomXml="next"/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es-ES" w:eastAsia="en-US"/>
        </w:rPr>
        <w:id w:val="14007119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7D2DB3E" w14:textId="08E34E9D" w:rsidR="000C466A" w:rsidRPr="009B09B5" w:rsidRDefault="00AF4D6A" w:rsidP="00AE3107">
          <w:pPr>
            <w:pStyle w:val="TtuloTDC"/>
            <w:spacing w:before="0"/>
            <w:rPr>
              <w:rFonts w:ascii="Times New Roman" w:hAnsi="Times New Roman" w:cs="Times New Roman"/>
              <w:sz w:val="22"/>
              <w:szCs w:val="22"/>
            </w:rPr>
          </w:pPr>
          <w:r w:rsidRPr="009B09B5">
            <w:rPr>
              <w:rFonts w:ascii="Times New Roman" w:hAnsi="Times New Roman" w:cs="Times New Roman"/>
              <w:sz w:val="22"/>
              <w:szCs w:val="22"/>
              <w:lang w:val="es-ES"/>
            </w:rPr>
            <w:t>Contenido</w:t>
          </w:r>
        </w:p>
        <w:p w14:paraId="4F56DC78" w14:textId="44E752D2" w:rsidR="00B9258D" w:rsidRDefault="000C466A">
          <w:pPr>
            <w:pStyle w:val="TDC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val="es-CR" w:eastAsia="es-CR"/>
            </w:rPr>
          </w:pPr>
          <w:r w:rsidRPr="009B09B5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9B09B5">
            <w:rPr>
              <w:rFonts w:ascii="Times New Roman" w:hAnsi="Times New Roman" w:cs="Times New Roman"/>
              <w:sz w:val="22"/>
              <w:szCs w:val="22"/>
            </w:rPr>
            <w:instrText xml:space="preserve"> TOC \o "1-3" \h \z \u </w:instrText>
          </w:r>
          <w:r w:rsidRPr="009B09B5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hyperlink w:anchor="_Toc526840851" w:history="1">
            <w:r w:rsidR="00B9258D" w:rsidRPr="00ED287F">
              <w:rPr>
                <w:rStyle w:val="Hipervnculo"/>
                <w:noProof/>
              </w:rPr>
              <w:t>Resumen ejecutivo</w:t>
            </w:r>
            <w:r w:rsidR="00B9258D">
              <w:rPr>
                <w:noProof/>
                <w:webHidden/>
              </w:rPr>
              <w:tab/>
            </w:r>
            <w:r w:rsidR="00B9258D">
              <w:rPr>
                <w:noProof/>
                <w:webHidden/>
              </w:rPr>
              <w:fldChar w:fldCharType="begin"/>
            </w:r>
            <w:r w:rsidR="00B9258D">
              <w:rPr>
                <w:noProof/>
                <w:webHidden/>
              </w:rPr>
              <w:instrText xml:space="preserve"> PAGEREF _Toc526840851 \h </w:instrText>
            </w:r>
            <w:r w:rsidR="00B9258D">
              <w:rPr>
                <w:noProof/>
                <w:webHidden/>
              </w:rPr>
            </w:r>
            <w:r w:rsidR="00B9258D">
              <w:rPr>
                <w:noProof/>
                <w:webHidden/>
              </w:rPr>
              <w:fldChar w:fldCharType="separate"/>
            </w:r>
            <w:r w:rsidR="00B9258D">
              <w:rPr>
                <w:noProof/>
                <w:webHidden/>
              </w:rPr>
              <w:t>4</w:t>
            </w:r>
            <w:r w:rsidR="00B9258D">
              <w:rPr>
                <w:noProof/>
                <w:webHidden/>
              </w:rPr>
              <w:fldChar w:fldCharType="end"/>
            </w:r>
          </w:hyperlink>
        </w:p>
        <w:p w14:paraId="5254C567" w14:textId="399702F2" w:rsidR="00B9258D" w:rsidRDefault="00B9258D">
          <w:pPr>
            <w:pStyle w:val="TDC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val="es-CR" w:eastAsia="es-CR"/>
            </w:rPr>
          </w:pPr>
          <w:hyperlink w:anchor="_Toc526840852" w:history="1">
            <w:r w:rsidRPr="00ED287F">
              <w:rPr>
                <w:rStyle w:val="Hipervnculo"/>
                <w:noProof/>
              </w:rPr>
              <w:t>Cifras del sistema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_Toc526840852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25EA25" w14:textId="37611A7F" w:rsidR="00B9258D" w:rsidRDefault="00B9258D">
          <w:pPr>
            <w:pStyle w:val="TDC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val="es-CR" w:eastAsia="es-CR"/>
            </w:rPr>
          </w:pPr>
          <w:hyperlink w:anchor="_Toc526840853" w:history="1">
            <w:r w:rsidRPr="00ED287F">
              <w:rPr>
                <w:rStyle w:val="Hipervnculo"/>
                <w:noProof/>
              </w:rPr>
              <w:t>Inversiones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_Toc526840853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944C3B" w14:textId="3DC99FED" w:rsidR="00B9258D" w:rsidRDefault="00B9258D">
          <w:pPr>
            <w:pStyle w:val="TDC2"/>
            <w:tabs>
              <w:tab w:val="right" w:pos="1005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s-CR" w:eastAsia="es-CR"/>
            </w:rPr>
          </w:pPr>
          <w:hyperlink w:anchor="_Toc526840854" w:history="1">
            <w:r w:rsidRPr="00ED287F">
              <w:rPr>
                <w:rStyle w:val="Hipervnculo"/>
                <w:noProof/>
              </w:rPr>
              <w:t>Composición de carteras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_Toc526840854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D5583" w14:textId="03879261" w:rsidR="00B9258D" w:rsidRDefault="00B9258D">
          <w:pPr>
            <w:pStyle w:val="TDC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val="es-CR" w:eastAsia="es-CR"/>
            </w:rPr>
          </w:pPr>
          <w:hyperlink w:anchor="_Toc526840855" w:history="1">
            <w:r w:rsidRPr="00ED287F">
              <w:rPr>
                <w:rStyle w:val="Hipervnculo"/>
                <w:noProof/>
              </w:rPr>
              <w:t>Comparación de carteras por entidad y año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_Toc526840855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0679E1" w14:textId="2AA6BED6" w:rsidR="00B9258D" w:rsidRDefault="00B9258D">
          <w:pPr>
            <w:pStyle w:val="TDC2"/>
            <w:tabs>
              <w:tab w:val="right" w:pos="1005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s-CR" w:eastAsia="es-CR"/>
            </w:rPr>
          </w:pPr>
          <w:hyperlink w:anchor="_Toc526840856" w:history="1">
            <w:r w:rsidRPr="00ED287F">
              <w:rPr>
                <w:rStyle w:val="Hipervnculo"/>
                <w:noProof/>
              </w:rPr>
              <w:t>Evaluación de la situación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_Toc526840856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7E66CE" w14:textId="33EB9748" w:rsidR="00B9258D" w:rsidRDefault="00B9258D">
          <w:pPr>
            <w:pStyle w:val="TDC3"/>
            <w:tabs>
              <w:tab w:val="right" w:pos="10054"/>
            </w:tabs>
            <w:rPr>
              <w:rFonts w:eastAsiaTheme="minorEastAsia" w:cstheme="minorBidi"/>
              <w:noProof/>
              <w:sz w:val="22"/>
              <w:szCs w:val="22"/>
              <w:lang w:val="es-CR" w:eastAsia="es-CR"/>
            </w:rPr>
          </w:pPr>
          <w:hyperlink w:anchor="_Toc526840857" w:history="1">
            <w:r w:rsidRPr="00ED287F">
              <w:rPr>
                <w:rStyle w:val="Hipervnculo"/>
                <w:noProof/>
              </w:rPr>
              <w:t>Explicación de lo observado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_Toc526840857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3AE447" w14:textId="42443F66" w:rsidR="00B9258D" w:rsidRDefault="00B9258D">
          <w:pPr>
            <w:pStyle w:val="TDC3"/>
            <w:tabs>
              <w:tab w:val="right" w:pos="10054"/>
            </w:tabs>
            <w:rPr>
              <w:rFonts w:eastAsiaTheme="minorEastAsia" w:cstheme="minorBidi"/>
              <w:noProof/>
              <w:sz w:val="22"/>
              <w:szCs w:val="22"/>
              <w:lang w:val="es-CR" w:eastAsia="es-CR"/>
            </w:rPr>
          </w:pPr>
          <w:hyperlink w:anchor="_Toc526840858" w:history="1">
            <w:r w:rsidRPr="00ED287F">
              <w:rPr>
                <w:rStyle w:val="Hipervnculo"/>
                <w:noProof/>
              </w:rPr>
              <w:t>Fondos de las entidades Popular Pensiones OPC y CCSS-OPC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_Toc526840858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541996" w14:textId="29C6EB7E" w:rsidR="00B9258D" w:rsidRDefault="00B9258D">
          <w:pPr>
            <w:pStyle w:val="TDC2"/>
            <w:tabs>
              <w:tab w:val="right" w:pos="1005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s-CR" w:eastAsia="es-CR"/>
            </w:rPr>
          </w:pPr>
          <w:hyperlink w:anchor="_Toc526840859" w:history="1">
            <w:r w:rsidRPr="00ED287F">
              <w:rPr>
                <w:rStyle w:val="Hipervnculo"/>
                <w:noProof/>
              </w:rPr>
              <w:t>Duración y plazos al vencimiento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_Toc526840859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666642" w14:textId="1305EE95" w:rsidR="00B9258D" w:rsidRDefault="00B9258D">
          <w:pPr>
            <w:pStyle w:val="TDC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val="es-CR" w:eastAsia="es-CR"/>
            </w:rPr>
          </w:pPr>
          <w:hyperlink w:anchor="_Toc526840860" w:history="1">
            <w:r w:rsidRPr="00ED287F">
              <w:rPr>
                <w:rStyle w:val="Hipervnculo"/>
                <w:noProof/>
              </w:rPr>
              <w:t>Rentabilidad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_Toc526840860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6DE452" w14:textId="45EF9D31" w:rsidR="00B9258D" w:rsidRDefault="00B9258D">
          <w:pPr>
            <w:pStyle w:val="TDC2"/>
            <w:tabs>
              <w:tab w:val="right" w:pos="1005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s-CR" w:eastAsia="es-CR"/>
            </w:rPr>
          </w:pPr>
          <w:hyperlink w:anchor="_Toc526840861" w:history="1">
            <w:r w:rsidRPr="00ED287F">
              <w:rPr>
                <w:rStyle w:val="Hipervnculo"/>
                <w:noProof/>
              </w:rPr>
              <w:t>Plusvalías y minusvalías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_Toc526840861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DCD875" w14:textId="1EC72824" w:rsidR="00B9258D" w:rsidRDefault="00B9258D">
          <w:pPr>
            <w:pStyle w:val="TDC2"/>
            <w:tabs>
              <w:tab w:val="right" w:pos="1005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s-CR" w:eastAsia="es-CR"/>
            </w:rPr>
          </w:pPr>
          <w:hyperlink w:anchor="_Toc526840862" w:history="1">
            <w:r w:rsidRPr="00ED287F">
              <w:rPr>
                <w:rStyle w:val="Hipervnculo"/>
                <w:noProof/>
              </w:rPr>
              <w:t>Rentabilidades a 3, 5 y 10 años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_Toc526840862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68E2F6" w14:textId="370EE618" w:rsidR="00B9258D" w:rsidRDefault="00B9258D">
          <w:pPr>
            <w:pStyle w:val="TDC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val="es-CR" w:eastAsia="es-CR"/>
            </w:rPr>
          </w:pPr>
          <w:hyperlink w:anchor="_Toc526840863" w:history="1">
            <w:r w:rsidRPr="00ED287F">
              <w:rPr>
                <w:rStyle w:val="Hipervnculo"/>
                <w:noProof/>
              </w:rPr>
              <w:t>Pensionados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_Toc526840863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D7C4EA" w14:textId="0BE90EE2" w:rsidR="00B9258D" w:rsidRDefault="00B9258D">
          <w:pPr>
            <w:pStyle w:val="TDC2"/>
            <w:tabs>
              <w:tab w:val="right" w:pos="1005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s-CR" w:eastAsia="es-CR"/>
            </w:rPr>
          </w:pPr>
          <w:hyperlink w:anchor="_Toc526840864" w:history="1">
            <w:r w:rsidRPr="00ED287F">
              <w:rPr>
                <w:rStyle w:val="Hipervnculo"/>
                <w:noProof/>
              </w:rPr>
              <w:t>Pensionados por el Régimen Obligatorio de Pensiones Complementarias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_Toc526840864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31A31B" w14:textId="3224F850" w:rsidR="000C466A" w:rsidRPr="009B09B5" w:rsidRDefault="000C466A" w:rsidP="00AE3107">
          <w:pPr>
            <w:spacing w:after="0"/>
            <w:rPr>
              <w:rFonts w:ascii="Times New Roman" w:hAnsi="Times New Roman" w:cs="Times New Roman"/>
            </w:rPr>
          </w:pPr>
          <w:r w:rsidRPr="009B09B5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1C69986A" w14:textId="4D58ED89" w:rsidR="00041D06" w:rsidRPr="009B09B5" w:rsidRDefault="00041D06" w:rsidP="00AE3107">
      <w:pPr>
        <w:pStyle w:val="Ttulo1"/>
        <w:rPr>
          <w:rFonts w:ascii="Times New Roman" w:hAnsi="Times New Roman" w:cs="Times New Roman"/>
          <w:sz w:val="22"/>
        </w:rPr>
      </w:pPr>
    </w:p>
    <w:p w14:paraId="679D895E" w14:textId="7C327813" w:rsidR="00B57745" w:rsidRPr="009B09B5" w:rsidRDefault="00B57745" w:rsidP="00AE3107">
      <w:pPr>
        <w:rPr>
          <w:rFonts w:ascii="Times New Roman" w:hAnsi="Times New Roman" w:cs="Times New Roman"/>
        </w:rPr>
      </w:pPr>
    </w:p>
    <w:p w14:paraId="3735748D" w14:textId="75996AC0" w:rsidR="00B57745" w:rsidRPr="009B09B5" w:rsidRDefault="00B57745" w:rsidP="00AE3107">
      <w:pPr>
        <w:rPr>
          <w:rFonts w:ascii="Times New Roman" w:hAnsi="Times New Roman" w:cs="Times New Roman"/>
        </w:rPr>
      </w:pPr>
    </w:p>
    <w:p w14:paraId="19A14FD3" w14:textId="7818008B" w:rsidR="006547EA" w:rsidRPr="009B09B5" w:rsidRDefault="006547EA" w:rsidP="00AE3107">
      <w:pPr>
        <w:rPr>
          <w:rFonts w:ascii="Times New Roman" w:hAnsi="Times New Roman" w:cs="Times New Roman"/>
        </w:rPr>
      </w:pPr>
    </w:p>
    <w:p w14:paraId="4BD9C257" w14:textId="7F7B0F38" w:rsidR="006547EA" w:rsidRPr="009B09B5" w:rsidRDefault="006547EA" w:rsidP="00AE3107">
      <w:pPr>
        <w:rPr>
          <w:rFonts w:ascii="Times New Roman" w:hAnsi="Times New Roman" w:cs="Times New Roman"/>
        </w:rPr>
      </w:pPr>
    </w:p>
    <w:p w14:paraId="2F03CD22" w14:textId="6D6FD51B" w:rsidR="006547EA" w:rsidRPr="009B09B5" w:rsidRDefault="006547EA" w:rsidP="00AE3107">
      <w:pPr>
        <w:rPr>
          <w:rFonts w:ascii="Times New Roman" w:hAnsi="Times New Roman" w:cs="Times New Roman"/>
        </w:rPr>
      </w:pPr>
    </w:p>
    <w:p w14:paraId="764F6597" w14:textId="09B08384" w:rsidR="006547EA" w:rsidRPr="009B09B5" w:rsidRDefault="006547EA" w:rsidP="00AE3107">
      <w:pPr>
        <w:rPr>
          <w:rFonts w:ascii="Times New Roman" w:hAnsi="Times New Roman" w:cs="Times New Roman"/>
        </w:rPr>
      </w:pPr>
    </w:p>
    <w:p w14:paraId="53B221B7" w14:textId="27E71CAC" w:rsidR="006547EA" w:rsidRPr="009B09B5" w:rsidRDefault="006547EA" w:rsidP="00AE3107">
      <w:pPr>
        <w:rPr>
          <w:rFonts w:ascii="Times New Roman" w:hAnsi="Times New Roman" w:cs="Times New Roman"/>
        </w:rPr>
      </w:pPr>
    </w:p>
    <w:p w14:paraId="6843AA61" w14:textId="4B65AB42" w:rsidR="006547EA" w:rsidRPr="009B09B5" w:rsidRDefault="006547EA" w:rsidP="00AE3107">
      <w:pPr>
        <w:rPr>
          <w:rFonts w:ascii="Times New Roman" w:hAnsi="Times New Roman" w:cs="Times New Roman"/>
        </w:rPr>
      </w:pPr>
    </w:p>
    <w:p w14:paraId="1667D45A" w14:textId="31D39DAD" w:rsidR="006547EA" w:rsidRPr="009B09B5" w:rsidRDefault="006547EA" w:rsidP="00AE3107">
      <w:pPr>
        <w:rPr>
          <w:rFonts w:ascii="Times New Roman" w:hAnsi="Times New Roman" w:cs="Times New Roman"/>
        </w:rPr>
      </w:pPr>
    </w:p>
    <w:p w14:paraId="1E54BD08" w14:textId="5EF5DCEC" w:rsidR="006547EA" w:rsidRPr="009B09B5" w:rsidRDefault="006547EA" w:rsidP="00AE3107">
      <w:pPr>
        <w:rPr>
          <w:rFonts w:ascii="Times New Roman" w:hAnsi="Times New Roman" w:cs="Times New Roman"/>
        </w:rPr>
      </w:pPr>
    </w:p>
    <w:p w14:paraId="19292826" w14:textId="0B050ABE" w:rsidR="006547EA" w:rsidRPr="009B09B5" w:rsidRDefault="006547EA" w:rsidP="00AE3107">
      <w:pPr>
        <w:rPr>
          <w:rFonts w:ascii="Times New Roman" w:hAnsi="Times New Roman" w:cs="Times New Roman"/>
        </w:rPr>
      </w:pPr>
    </w:p>
    <w:p w14:paraId="5B79D385" w14:textId="1D5FE206" w:rsidR="006547EA" w:rsidRPr="009B09B5" w:rsidRDefault="006547EA" w:rsidP="00AE3107">
      <w:pPr>
        <w:rPr>
          <w:rFonts w:ascii="Times New Roman" w:hAnsi="Times New Roman" w:cs="Times New Roman"/>
        </w:rPr>
      </w:pPr>
    </w:p>
    <w:p w14:paraId="026EBEE6" w14:textId="68617D89" w:rsidR="006547EA" w:rsidRPr="009B09B5" w:rsidRDefault="006547EA" w:rsidP="00AE3107">
      <w:pPr>
        <w:rPr>
          <w:rFonts w:ascii="Times New Roman" w:hAnsi="Times New Roman" w:cs="Times New Roman"/>
        </w:rPr>
      </w:pPr>
    </w:p>
    <w:p w14:paraId="52536DE1" w14:textId="77777777" w:rsidR="00567EDF" w:rsidRPr="009B09B5" w:rsidRDefault="00567EDF" w:rsidP="00AE3107">
      <w:pPr>
        <w:rPr>
          <w:rFonts w:ascii="Times New Roman" w:hAnsi="Times New Roman" w:cs="Times New Roman"/>
        </w:rPr>
      </w:pPr>
    </w:p>
    <w:p w14:paraId="79C375A0" w14:textId="0B4BD590" w:rsidR="00081470" w:rsidRDefault="00467734" w:rsidP="00AE3107">
      <w:pPr>
        <w:pStyle w:val="Ttulo1"/>
      </w:pPr>
      <w:bookmarkStart w:id="4" w:name="_Toc506207741"/>
      <w:bookmarkStart w:id="5" w:name="_Toc506212322"/>
      <w:bookmarkStart w:id="6" w:name="_Toc526840851"/>
      <w:r w:rsidRPr="009B09B5">
        <w:t xml:space="preserve">Resumen </w:t>
      </w:r>
      <w:r w:rsidRPr="00AA7E36">
        <w:t>ejecutivo</w:t>
      </w:r>
      <w:bookmarkEnd w:id="4"/>
      <w:bookmarkEnd w:id="5"/>
      <w:bookmarkEnd w:id="3"/>
      <w:bookmarkEnd w:id="2"/>
      <w:bookmarkEnd w:id="1"/>
      <w:bookmarkEnd w:id="0"/>
      <w:bookmarkEnd w:id="6"/>
    </w:p>
    <w:p w14:paraId="774CBF57" w14:textId="77777777" w:rsidR="00567EDF" w:rsidRPr="00567EDF" w:rsidRDefault="00567EDF" w:rsidP="00AE3107"/>
    <w:p w14:paraId="4363B250" w14:textId="767A6CD6" w:rsidR="005C4683" w:rsidRPr="0041619C" w:rsidRDefault="005C4683" w:rsidP="00AE3107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41619C">
        <w:rPr>
          <w:rFonts w:ascii="Times New Roman" w:hAnsi="Times New Roman" w:cs="Times New Roman"/>
          <w:color w:val="000000" w:themeColor="text1"/>
          <w:sz w:val="22"/>
        </w:rPr>
        <w:t xml:space="preserve">El presente informe </w:t>
      </w:r>
      <w:r w:rsidR="009622EA" w:rsidRPr="0041619C">
        <w:rPr>
          <w:rFonts w:ascii="Times New Roman" w:hAnsi="Times New Roman" w:cs="Times New Roman"/>
          <w:color w:val="000000" w:themeColor="text1"/>
          <w:sz w:val="22"/>
        </w:rPr>
        <w:t>describe</w:t>
      </w:r>
      <w:r w:rsidRPr="0041619C">
        <w:rPr>
          <w:rFonts w:ascii="Times New Roman" w:hAnsi="Times New Roman" w:cs="Times New Roman"/>
          <w:color w:val="000000" w:themeColor="text1"/>
          <w:sz w:val="22"/>
        </w:rPr>
        <w:t xml:space="preserve"> los principales hechos </w:t>
      </w:r>
      <w:r w:rsidR="00A27D51" w:rsidRPr="0041619C">
        <w:rPr>
          <w:rFonts w:ascii="Times New Roman" w:hAnsi="Times New Roman" w:cs="Times New Roman"/>
          <w:color w:val="000000" w:themeColor="text1"/>
          <w:sz w:val="22"/>
        </w:rPr>
        <w:t>durante el segundo</w:t>
      </w:r>
      <w:r w:rsidR="00060F6E" w:rsidRPr="0041619C">
        <w:rPr>
          <w:rFonts w:ascii="Times New Roman" w:hAnsi="Times New Roman" w:cs="Times New Roman"/>
          <w:color w:val="000000" w:themeColor="text1"/>
          <w:sz w:val="22"/>
        </w:rPr>
        <w:t xml:space="preserve"> trimestre de 201</w:t>
      </w:r>
      <w:r w:rsidR="00A27D51" w:rsidRPr="0041619C">
        <w:rPr>
          <w:rFonts w:ascii="Times New Roman" w:hAnsi="Times New Roman" w:cs="Times New Roman"/>
          <w:color w:val="000000" w:themeColor="text1"/>
          <w:sz w:val="22"/>
        </w:rPr>
        <w:t>8</w:t>
      </w:r>
      <w:r w:rsidR="00270766" w:rsidRPr="0041619C">
        <w:rPr>
          <w:rFonts w:ascii="Times New Roman" w:hAnsi="Times New Roman" w:cs="Times New Roman"/>
          <w:color w:val="000000" w:themeColor="text1"/>
          <w:sz w:val="22"/>
        </w:rPr>
        <w:t>.</w:t>
      </w:r>
      <w:r w:rsidR="008B0690" w:rsidRPr="0041619C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73215497" w14:textId="77777777" w:rsidR="009234A7" w:rsidRPr="0041619C" w:rsidRDefault="009234A7" w:rsidP="00AE3107">
      <w:pPr>
        <w:pStyle w:val="Prrafodelista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14:paraId="29F84A67" w14:textId="73A4FB2B" w:rsidR="009D298E" w:rsidRPr="0041619C" w:rsidRDefault="009D298E" w:rsidP="00AE3107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41619C">
        <w:rPr>
          <w:rFonts w:ascii="Times New Roman" w:hAnsi="Times New Roman" w:cs="Times New Roman"/>
          <w:color w:val="000000" w:themeColor="text1"/>
          <w:sz w:val="22"/>
        </w:rPr>
        <w:t xml:space="preserve">Para los </w:t>
      </w:r>
      <w:r w:rsidR="0041619C" w:rsidRPr="0041619C">
        <w:rPr>
          <w:rFonts w:ascii="Times New Roman" w:hAnsi="Times New Roman" w:cs="Times New Roman"/>
          <w:color w:val="000000" w:themeColor="text1"/>
          <w:sz w:val="22"/>
        </w:rPr>
        <w:t>regímenes básicos</w:t>
      </w:r>
      <w:r w:rsidRPr="0041619C">
        <w:rPr>
          <w:rFonts w:ascii="Times New Roman" w:hAnsi="Times New Roman" w:cs="Times New Roman"/>
          <w:color w:val="000000" w:themeColor="text1"/>
          <w:sz w:val="22"/>
        </w:rPr>
        <w:t>, la composición de la cartera se encuentr</w:t>
      </w:r>
      <w:r w:rsidR="00567EDF">
        <w:rPr>
          <w:rFonts w:ascii="Times New Roman" w:hAnsi="Times New Roman" w:cs="Times New Roman"/>
          <w:color w:val="000000" w:themeColor="text1"/>
          <w:sz w:val="22"/>
        </w:rPr>
        <w:t>a concentrada prácticamente en S</w:t>
      </w:r>
      <w:r w:rsidRPr="0041619C">
        <w:rPr>
          <w:rFonts w:ascii="Times New Roman" w:hAnsi="Times New Roman" w:cs="Times New Roman"/>
          <w:color w:val="000000" w:themeColor="text1"/>
          <w:sz w:val="22"/>
        </w:rPr>
        <w:t xml:space="preserve">ector </w:t>
      </w:r>
      <w:r w:rsidR="00567EDF">
        <w:rPr>
          <w:rFonts w:ascii="Times New Roman" w:hAnsi="Times New Roman" w:cs="Times New Roman"/>
          <w:color w:val="000000" w:themeColor="text1"/>
          <w:sz w:val="22"/>
        </w:rPr>
        <w:t>P</w:t>
      </w:r>
      <w:r w:rsidRPr="0041619C">
        <w:rPr>
          <w:rFonts w:ascii="Times New Roman" w:hAnsi="Times New Roman" w:cs="Times New Roman"/>
          <w:color w:val="000000" w:themeColor="text1"/>
          <w:sz w:val="22"/>
        </w:rPr>
        <w:t>úblico: Banco Central</w:t>
      </w:r>
      <w:r w:rsidR="00567EDF">
        <w:rPr>
          <w:rFonts w:ascii="Times New Roman" w:hAnsi="Times New Roman" w:cs="Times New Roman"/>
          <w:color w:val="000000" w:themeColor="text1"/>
          <w:sz w:val="22"/>
        </w:rPr>
        <w:t xml:space="preserve"> de Costa Rica</w:t>
      </w:r>
      <w:r w:rsidRPr="0041619C">
        <w:rPr>
          <w:rFonts w:ascii="Times New Roman" w:hAnsi="Times New Roman" w:cs="Times New Roman"/>
          <w:color w:val="000000" w:themeColor="text1"/>
          <w:sz w:val="22"/>
        </w:rPr>
        <w:t>, Ministerio de Hacienda y en entidades de tipo público (financieras o no).</w:t>
      </w:r>
    </w:p>
    <w:p w14:paraId="3EE18CC2" w14:textId="03E7CE9C" w:rsidR="009234A7" w:rsidRPr="0041619C" w:rsidRDefault="009234A7" w:rsidP="00AE3107">
      <w:pPr>
        <w:pStyle w:val="Prrafodelista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14:paraId="4B469677" w14:textId="455145A1" w:rsidR="009D298E" w:rsidRPr="0041619C" w:rsidRDefault="00060F6E" w:rsidP="00AE3107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41619C">
        <w:rPr>
          <w:rFonts w:ascii="Times New Roman" w:hAnsi="Times New Roman" w:cs="Times New Roman"/>
          <w:color w:val="000000" w:themeColor="text1"/>
          <w:sz w:val="22"/>
        </w:rPr>
        <w:t>La cantidad de pensionados que deben optar por algún producto de beneficios en el R</w:t>
      </w:r>
      <w:r w:rsidR="00567EDF">
        <w:rPr>
          <w:rFonts w:ascii="Times New Roman" w:hAnsi="Times New Roman" w:cs="Times New Roman"/>
          <w:color w:val="000000" w:themeColor="text1"/>
          <w:sz w:val="22"/>
        </w:rPr>
        <w:t>égimen Complementario de Pensiones (R</w:t>
      </w:r>
      <w:r w:rsidRPr="0041619C">
        <w:rPr>
          <w:rFonts w:ascii="Times New Roman" w:hAnsi="Times New Roman" w:cs="Times New Roman"/>
          <w:color w:val="000000" w:themeColor="text1"/>
          <w:sz w:val="22"/>
        </w:rPr>
        <w:t>OP</w:t>
      </w:r>
      <w:r w:rsidR="00567EDF">
        <w:rPr>
          <w:rFonts w:ascii="Times New Roman" w:hAnsi="Times New Roman" w:cs="Times New Roman"/>
          <w:color w:val="000000" w:themeColor="text1"/>
          <w:sz w:val="22"/>
        </w:rPr>
        <w:t>)</w:t>
      </w:r>
      <w:r w:rsidRPr="0041619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841F05" w:rsidRPr="0041619C">
        <w:rPr>
          <w:rFonts w:ascii="Times New Roman" w:hAnsi="Times New Roman" w:cs="Times New Roman"/>
          <w:color w:val="000000" w:themeColor="text1"/>
          <w:sz w:val="22"/>
        </w:rPr>
        <w:t>continúa</w:t>
      </w:r>
      <w:r w:rsidR="00F229A7" w:rsidRPr="0041619C">
        <w:rPr>
          <w:rFonts w:ascii="Times New Roman" w:hAnsi="Times New Roman" w:cs="Times New Roman"/>
          <w:color w:val="000000" w:themeColor="text1"/>
          <w:sz w:val="22"/>
        </w:rPr>
        <w:t xml:space="preserve"> aumenta</w:t>
      </w:r>
      <w:r w:rsidRPr="0041619C">
        <w:rPr>
          <w:rFonts w:ascii="Times New Roman" w:hAnsi="Times New Roman" w:cs="Times New Roman"/>
          <w:color w:val="000000" w:themeColor="text1"/>
          <w:sz w:val="22"/>
        </w:rPr>
        <w:t>n</w:t>
      </w:r>
      <w:r w:rsidR="00F229A7" w:rsidRPr="0041619C">
        <w:rPr>
          <w:rFonts w:ascii="Times New Roman" w:hAnsi="Times New Roman" w:cs="Times New Roman"/>
          <w:color w:val="000000" w:themeColor="text1"/>
          <w:sz w:val="22"/>
        </w:rPr>
        <w:t>do</w:t>
      </w:r>
      <w:r w:rsidRPr="0041619C">
        <w:rPr>
          <w:rFonts w:ascii="Times New Roman" w:hAnsi="Times New Roman" w:cs="Times New Roman"/>
          <w:color w:val="000000" w:themeColor="text1"/>
          <w:sz w:val="22"/>
        </w:rPr>
        <w:t xml:space="preserve">. </w:t>
      </w:r>
    </w:p>
    <w:p w14:paraId="10F0B7A6" w14:textId="77777777" w:rsidR="007D3E68" w:rsidRDefault="007D3E68" w:rsidP="00AE3107">
      <w:pPr>
        <w:pStyle w:val="Ttulo1"/>
        <w:rPr>
          <w:color w:val="000000" w:themeColor="text1"/>
        </w:rPr>
      </w:pPr>
      <w:bookmarkStart w:id="7" w:name="_Toc496876553"/>
      <w:bookmarkStart w:id="8" w:name="_Toc505348332"/>
      <w:bookmarkStart w:id="9" w:name="_Toc506207742"/>
      <w:bookmarkStart w:id="10" w:name="_Toc506212323"/>
    </w:p>
    <w:p w14:paraId="1B9ADF5A" w14:textId="77777777" w:rsidR="007D3E68" w:rsidRDefault="007D3E68" w:rsidP="00AE3107">
      <w:pPr>
        <w:pStyle w:val="Ttulo1"/>
        <w:rPr>
          <w:color w:val="000000" w:themeColor="text1"/>
        </w:rPr>
      </w:pPr>
    </w:p>
    <w:p w14:paraId="3E628915" w14:textId="77777777" w:rsidR="007D3E68" w:rsidRDefault="007D3E68" w:rsidP="00AE3107">
      <w:pPr>
        <w:pStyle w:val="Ttulo1"/>
        <w:rPr>
          <w:color w:val="000000" w:themeColor="text1"/>
        </w:rPr>
      </w:pPr>
    </w:p>
    <w:p w14:paraId="41F77982" w14:textId="77777777" w:rsidR="007D3E68" w:rsidRDefault="007D3E68" w:rsidP="00AE3107">
      <w:pPr>
        <w:pStyle w:val="Ttulo1"/>
        <w:rPr>
          <w:color w:val="000000" w:themeColor="text1"/>
        </w:rPr>
      </w:pPr>
    </w:p>
    <w:p w14:paraId="066E9E1D" w14:textId="77777777" w:rsidR="007D3E68" w:rsidRDefault="007D3E68" w:rsidP="00AE3107">
      <w:pPr>
        <w:pStyle w:val="Ttulo1"/>
        <w:rPr>
          <w:color w:val="000000" w:themeColor="text1"/>
        </w:rPr>
      </w:pPr>
    </w:p>
    <w:p w14:paraId="123EA67D" w14:textId="77777777" w:rsidR="007D3E68" w:rsidRDefault="007D3E68" w:rsidP="00AE3107">
      <w:pPr>
        <w:pStyle w:val="Ttulo1"/>
        <w:rPr>
          <w:color w:val="000000" w:themeColor="text1"/>
        </w:rPr>
      </w:pPr>
    </w:p>
    <w:p w14:paraId="0E52DAA4" w14:textId="77777777" w:rsidR="007D3E68" w:rsidRDefault="007D3E68" w:rsidP="00AE3107">
      <w:pPr>
        <w:pStyle w:val="Ttulo1"/>
        <w:rPr>
          <w:color w:val="000000" w:themeColor="text1"/>
        </w:rPr>
      </w:pPr>
    </w:p>
    <w:p w14:paraId="0EBE6FCC" w14:textId="77777777" w:rsidR="007D3E68" w:rsidRDefault="007D3E68" w:rsidP="00AE3107">
      <w:pPr>
        <w:pStyle w:val="Ttulo1"/>
        <w:rPr>
          <w:color w:val="000000" w:themeColor="text1"/>
        </w:rPr>
      </w:pPr>
    </w:p>
    <w:p w14:paraId="6457AFBB" w14:textId="77777777" w:rsidR="007D3E68" w:rsidRDefault="007D3E68" w:rsidP="00AE3107">
      <w:pPr>
        <w:pStyle w:val="Ttulo1"/>
        <w:rPr>
          <w:color w:val="000000" w:themeColor="text1"/>
        </w:rPr>
      </w:pPr>
    </w:p>
    <w:p w14:paraId="203FE692" w14:textId="77777777" w:rsidR="007D3E68" w:rsidRDefault="007D3E68" w:rsidP="00AE3107">
      <w:pPr>
        <w:pStyle w:val="Ttulo1"/>
        <w:rPr>
          <w:color w:val="000000" w:themeColor="text1"/>
        </w:rPr>
      </w:pPr>
    </w:p>
    <w:p w14:paraId="325FAB17" w14:textId="77777777" w:rsidR="007D3E68" w:rsidRDefault="007D3E68" w:rsidP="00AE3107">
      <w:pPr>
        <w:pStyle w:val="Ttulo1"/>
        <w:rPr>
          <w:color w:val="000000" w:themeColor="text1"/>
        </w:rPr>
      </w:pPr>
    </w:p>
    <w:p w14:paraId="1E0EB590" w14:textId="77777777" w:rsidR="007D3E68" w:rsidRDefault="007D3E68" w:rsidP="00AE3107">
      <w:pPr>
        <w:pStyle w:val="Ttulo1"/>
        <w:rPr>
          <w:color w:val="000000" w:themeColor="text1"/>
        </w:rPr>
      </w:pPr>
    </w:p>
    <w:p w14:paraId="10A31909" w14:textId="77777777" w:rsidR="007D3E68" w:rsidRDefault="007D3E68" w:rsidP="00AE3107">
      <w:pPr>
        <w:pStyle w:val="Ttulo1"/>
        <w:rPr>
          <w:color w:val="000000" w:themeColor="text1"/>
        </w:rPr>
      </w:pPr>
    </w:p>
    <w:p w14:paraId="27E55329" w14:textId="77777777" w:rsidR="007D3E68" w:rsidRDefault="007D3E68" w:rsidP="00AE3107">
      <w:pPr>
        <w:pStyle w:val="Ttulo1"/>
        <w:rPr>
          <w:color w:val="000000" w:themeColor="text1"/>
        </w:rPr>
      </w:pPr>
    </w:p>
    <w:p w14:paraId="4F0D4681" w14:textId="77777777" w:rsidR="007D3E68" w:rsidRDefault="007D3E68" w:rsidP="00AE3107">
      <w:pPr>
        <w:pStyle w:val="Ttulo1"/>
        <w:rPr>
          <w:color w:val="000000" w:themeColor="text1"/>
        </w:rPr>
      </w:pPr>
    </w:p>
    <w:p w14:paraId="57DFD35E" w14:textId="77777777" w:rsidR="007D3E68" w:rsidRDefault="007D3E68" w:rsidP="00AE3107">
      <w:pPr>
        <w:pStyle w:val="Ttulo1"/>
        <w:rPr>
          <w:color w:val="000000" w:themeColor="text1"/>
        </w:rPr>
      </w:pPr>
    </w:p>
    <w:p w14:paraId="1FED6315" w14:textId="77777777" w:rsidR="007D3E68" w:rsidRDefault="007D3E68" w:rsidP="00AE3107">
      <w:pPr>
        <w:pStyle w:val="Ttulo1"/>
        <w:rPr>
          <w:color w:val="000000" w:themeColor="text1"/>
        </w:rPr>
      </w:pPr>
    </w:p>
    <w:p w14:paraId="7C3759D2" w14:textId="77777777" w:rsidR="007D3E68" w:rsidRDefault="007D3E68" w:rsidP="00AE3107">
      <w:pPr>
        <w:pStyle w:val="Ttulo1"/>
        <w:rPr>
          <w:color w:val="000000" w:themeColor="text1"/>
        </w:rPr>
      </w:pPr>
    </w:p>
    <w:p w14:paraId="5D52C2C3" w14:textId="77777777" w:rsidR="007D3E68" w:rsidRDefault="007D3E68" w:rsidP="00AE3107">
      <w:pPr>
        <w:pStyle w:val="Ttulo1"/>
        <w:rPr>
          <w:color w:val="000000" w:themeColor="text1"/>
        </w:rPr>
      </w:pPr>
    </w:p>
    <w:p w14:paraId="590A15F2" w14:textId="77777777" w:rsidR="007D3E68" w:rsidRDefault="007D3E68" w:rsidP="00AE3107">
      <w:pPr>
        <w:pStyle w:val="Ttulo1"/>
        <w:rPr>
          <w:color w:val="000000" w:themeColor="text1"/>
        </w:rPr>
      </w:pPr>
    </w:p>
    <w:p w14:paraId="4D97EE51" w14:textId="77777777" w:rsidR="007D3E68" w:rsidRDefault="007D3E68" w:rsidP="00AE3107">
      <w:pPr>
        <w:pStyle w:val="Ttulo1"/>
        <w:rPr>
          <w:color w:val="000000" w:themeColor="text1"/>
        </w:rPr>
      </w:pPr>
    </w:p>
    <w:p w14:paraId="529EBF07" w14:textId="77777777" w:rsidR="007D3E68" w:rsidRDefault="007D3E68" w:rsidP="00AE3107">
      <w:pPr>
        <w:pStyle w:val="Ttulo1"/>
        <w:rPr>
          <w:color w:val="000000" w:themeColor="text1"/>
        </w:rPr>
      </w:pPr>
    </w:p>
    <w:p w14:paraId="1437AC27" w14:textId="77777777" w:rsidR="007D3E68" w:rsidRDefault="007D3E68" w:rsidP="00AE3107">
      <w:pPr>
        <w:pStyle w:val="Ttulo1"/>
        <w:rPr>
          <w:color w:val="000000" w:themeColor="text1"/>
        </w:rPr>
      </w:pPr>
    </w:p>
    <w:p w14:paraId="00DF837A" w14:textId="77777777" w:rsidR="007D3E68" w:rsidRDefault="007D3E68" w:rsidP="00AE3107">
      <w:pPr>
        <w:pStyle w:val="Ttulo1"/>
        <w:rPr>
          <w:color w:val="000000" w:themeColor="text1"/>
        </w:rPr>
      </w:pPr>
    </w:p>
    <w:p w14:paraId="7F67A7D4" w14:textId="77777777" w:rsidR="007D3E68" w:rsidRDefault="007D3E68" w:rsidP="00AE3107">
      <w:pPr>
        <w:pStyle w:val="Ttulo1"/>
        <w:rPr>
          <w:color w:val="000000" w:themeColor="text1"/>
        </w:rPr>
      </w:pPr>
    </w:p>
    <w:p w14:paraId="49421F2C" w14:textId="77777777" w:rsidR="007D3E68" w:rsidRDefault="007D3E68" w:rsidP="00AE3107">
      <w:pPr>
        <w:pStyle w:val="Ttulo1"/>
        <w:rPr>
          <w:color w:val="000000" w:themeColor="text1"/>
        </w:rPr>
      </w:pPr>
    </w:p>
    <w:p w14:paraId="4BEC6785" w14:textId="77777777" w:rsidR="007D3E68" w:rsidRDefault="007D3E68" w:rsidP="00AE3107">
      <w:pPr>
        <w:pStyle w:val="Ttulo1"/>
        <w:rPr>
          <w:color w:val="000000" w:themeColor="text1"/>
        </w:rPr>
      </w:pPr>
    </w:p>
    <w:p w14:paraId="018E7EE0" w14:textId="218E3016" w:rsidR="00567EDF" w:rsidRPr="007D3E68" w:rsidRDefault="00467734" w:rsidP="00AE3107">
      <w:pPr>
        <w:pStyle w:val="Ttulo1"/>
        <w:rPr>
          <w:color w:val="000000" w:themeColor="text1"/>
        </w:rPr>
      </w:pPr>
      <w:bookmarkStart w:id="11" w:name="_Toc526840852"/>
      <w:r w:rsidRPr="0041619C">
        <w:rPr>
          <w:color w:val="000000" w:themeColor="text1"/>
        </w:rPr>
        <w:lastRenderedPageBreak/>
        <w:t>Cifras del sistema</w:t>
      </w:r>
      <w:bookmarkEnd w:id="7"/>
      <w:bookmarkEnd w:id="8"/>
      <w:bookmarkEnd w:id="9"/>
      <w:bookmarkEnd w:id="10"/>
      <w:bookmarkEnd w:id="11"/>
    </w:p>
    <w:p w14:paraId="4DC8CB47" w14:textId="4650C8CA" w:rsidR="003578EF" w:rsidRPr="0041619C" w:rsidRDefault="005C4683" w:rsidP="00AE3107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41619C">
        <w:rPr>
          <w:rFonts w:ascii="Times New Roman" w:hAnsi="Times New Roman" w:cs="Times New Roman"/>
          <w:color w:val="000000" w:themeColor="text1"/>
          <w:sz w:val="22"/>
        </w:rPr>
        <w:t>La presente sección detalla</w:t>
      </w:r>
      <w:r w:rsidR="00334512" w:rsidRPr="0041619C">
        <w:rPr>
          <w:rFonts w:ascii="Times New Roman" w:hAnsi="Times New Roman" w:cs="Times New Roman"/>
          <w:color w:val="000000" w:themeColor="text1"/>
          <w:sz w:val="22"/>
        </w:rPr>
        <w:t xml:space="preserve"> los aspectos más relevantes durante el </w:t>
      </w:r>
      <w:r w:rsidR="001B5965" w:rsidRPr="0041619C">
        <w:rPr>
          <w:rFonts w:ascii="Times New Roman" w:hAnsi="Times New Roman" w:cs="Times New Roman"/>
          <w:color w:val="000000" w:themeColor="text1"/>
          <w:sz w:val="22"/>
        </w:rPr>
        <w:t>segundo trimestre</w:t>
      </w:r>
      <w:r w:rsidR="00334512" w:rsidRPr="0041619C">
        <w:rPr>
          <w:rFonts w:ascii="Times New Roman" w:hAnsi="Times New Roman" w:cs="Times New Roman"/>
          <w:color w:val="000000" w:themeColor="text1"/>
          <w:sz w:val="22"/>
        </w:rPr>
        <w:t xml:space="preserve"> sobre</w:t>
      </w:r>
      <w:r w:rsidRPr="0041619C">
        <w:rPr>
          <w:rFonts w:ascii="Times New Roman" w:hAnsi="Times New Roman" w:cs="Times New Roman"/>
          <w:color w:val="000000" w:themeColor="text1"/>
          <w:sz w:val="22"/>
        </w:rPr>
        <w:t xml:space="preserve"> las variables que determinan la coyuntura actual del Sistema </w:t>
      </w:r>
      <w:r w:rsidR="00334512" w:rsidRPr="0041619C">
        <w:rPr>
          <w:rFonts w:ascii="Times New Roman" w:hAnsi="Times New Roman" w:cs="Times New Roman"/>
          <w:color w:val="000000" w:themeColor="text1"/>
          <w:sz w:val="22"/>
        </w:rPr>
        <w:t>Nacional</w:t>
      </w:r>
      <w:r w:rsidRPr="0041619C">
        <w:rPr>
          <w:rFonts w:ascii="Times New Roman" w:hAnsi="Times New Roman" w:cs="Times New Roman"/>
          <w:color w:val="000000" w:themeColor="text1"/>
          <w:sz w:val="22"/>
        </w:rPr>
        <w:t xml:space="preserve"> de Pensiones</w:t>
      </w:r>
      <w:r w:rsidR="009622EA" w:rsidRPr="0041619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334512" w:rsidRPr="0041619C">
        <w:rPr>
          <w:rFonts w:ascii="Times New Roman" w:hAnsi="Times New Roman" w:cs="Times New Roman"/>
          <w:color w:val="000000" w:themeColor="text1"/>
          <w:sz w:val="22"/>
        </w:rPr>
        <w:t>(SNP).</w:t>
      </w:r>
    </w:p>
    <w:p w14:paraId="2D6F8B10" w14:textId="77777777" w:rsidR="00467734" w:rsidRPr="0041619C" w:rsidRDefault="00467734" w:rsidP="00AE3107">
      <w:pPr>
        <w:pStyle w:val="Prrafodelista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14:paraId="735E5714" w14:textId="3124E77F" w:rsidR="00467734" w:rsidRPr="0041619C" w:rsidRDefault="003926AC" w:rsidP="00AE3107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41619C">
        <w:rPr>
          <w:rFonts w:ascii="Times New Roman" w:hAnsi="Times New Roman" w:cs="Times New Roman"/>
          <w:color w:val="000000" w:themeColor="text1"/>
          <w:sz w:val="22"/>
        </w:rPr>
        <w:t xml:space="preserve">El </w:t>
      </w:r>
      <w:r w:rsidR="008830C9">
        <w:rPr>
          <w:rFonts w:ascii="Times New Roman" w:hAnsi="Times New Roman" w:cs="Times New Roman"/>
          <w:color w:val="000000" w:themeColor="text1"/>
          <w:sz w:val="22"/>
        </w:rPr>
        <w:t>Sistema Nacional de Pensiones</w:t>
      </w:r>
      <w:r w:rsidRPr="0041619C">
        <w:rPr>
          <w:rFonts w:ascii="Times New Roman" w:hAnsi="Times New Roman" w:cs="Times New Roman"/>
          <w:color w:val="000000" w:themeColor="text1"/>
          <w:sz w:val="22"/>
        </w:rPr>
        <w:t xml:space="preserve"> más el Fondo de Capitalización Laboral</w:t>
      </w:r>
      <w:r w:rsidR="00567EDF">
        <w:rPr>
          <w:rFonts w:ascii="Times New Roman" w:hAnsi="Times New Roman" w:cs="Times New Roman"/>
          <w:color w:val="000000" w:themeColor="text1"/>
          <w:sz w:val="22"/>
        </w:rPr>
        <w:t xml:space="preserve"> (FCL)</w:t>
      </w:r>
      <w:r w:rsidRPr="0041619C">
        <w:rPr>
          <w:rFonts w:ascii="Times New Roman" w:hAnsi="Times New Roman" w:cs="Times New Roman"/>
          <w:color w:val="000000" w:themeColor="text1"/>
          <w:sz w:val="22"/>
        </w:rPr>
        <w:t xml:space="preserve"> cuentan a </w:t>
      </w:r>
      <w:r w:rsidR="00A16376" w:rsidRPr="0041619C">
        <w:rPr>
          <w:rFonts w:ascii="Times New Roman" w:hAnsi="Times New Roman" w:cs="Times New Roman"/>
          <w:color w:val="000000" w:themeColor="text1"/>
          <w:sz w:val="22"/>
        </w:rPr>
        <w:t>junio 2018</w:t>
      </w:r>
      <w:r w:rsidRPr="0041619C">
        <w:rPr>
          <w:rFonts w:ascii="Times New Roman" w:hAnsi="Times New Roman" w:cs="Times New Roman"/>
          <w:color w:val="000000" w:themeColor="text1"/>
          <w:sz w:val="22"/>
        </w:rPr>
        <w:t xml:space="preserve"> con recursos administrados por un total d</w:t>
      </w:r>
      <w:r w:rsidR="00A16376" w:rsidRPr="0041619C">
        <w:rPr>
          <w:rFonts w:ascii="Times New Roman" w:hAnsi="Times New Roman" w:cs="Times New Roman"/>
          <w:color w:val="000000" w:themeColor="text1"/>
          <w:sz w:val="22"/>
        </w:rPr>
        <w:t>e 12,5</w:t>
      </w:r>
      <w:r w:rsidR="00050D86" w:rsidRPr="0041619C">
        <w:rPr>
          <w:rFonts w:ascii="Times New Roman" w:hAnsi="Times New Roman" w:cs="Times New Roman"/>
          <w:color w:val="000000" w:themeColor="text1"/>
          <w:sz w:val="22"/>
        </w:rPr>
        <w:t xml:space="preserve"> billones de colones. </w:t>
      </w:r>
    </w:p>
    <w:p w14:paraId="7C23ABCD" w14:textId="43695ACB" w:rsidR="00A16376" w:rsidRPr="0041619C" w:rsidRDefault="00A16376" w:rsidP="00AE3107">
      <w:pPr>
        <w:pStyle w:val="Prrafodelista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14:paraId="6B0F7B56" w14:textId="2B6D954D" w:rsidR="00050D86" w:rsidRPr="00567EDF" w:rsidRDefault="00050D86" w:rsidP="00AE3107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r w:rsidRPr="0041619C">
        <w:rPr>
          <w:rFonts w:ascii="Times New Roman" w:hAnsi="Times New Roman" w:cs="Times New Roman"/>
          <w:color w:val="000000" w:themeColor="text1"/>
          <w:sz w:val="22"/>
        </w:rPr>
        <w:t xml:space="preserve">El monto total administrado corresponde al </w:t>
      </w:r>
      <w:r w:rsidR="00F54570" w:rsidRPr="0041619C">
        <w:rPr>
          <w:rFonts w:ascii="Times New Roman" w:hAnsi="Times New Roman" w:cs="Times New Roman"/>
          <w:color w:val="000000" w:themeColor="text1"/>
          <w:sz w:val="22"/>
        </w:rPr>
        <w:t>38</w:t>
      </w:r>
      <w:r w:rsidRPr="0041619C">
        <w:rPr>
          <w:rFonts w:ascii="Times New Roman" w:hAnsi="Times New Roman" w:cs="Times New Roman"/>
          <w:color w:val="000000" w:themeColor="text1"/>
          <w:sz w:val="22"/>
        </w:rPr>
        <w:t>% de</w:t>
      </w:r>
      <w:r w:rsidR="00084993" w:rsidRPr="0041619C">
        <w:rPr>
          <w:rFonts w:ascii="Times New Roman" w:hAnsi="Times New Roman" w:cs="Times New Roman"/>
          <w:color w:val="000000" w:themeColor="text1"/>
          <w:sz w:val="22"/>
        </w:rPr>
        <w:t>l Producto Interno B</w:t>
      </w:r>
      <w:r w:rsidRPr="0041619C">
        <w:rPr>
          <w:rFonts w:ascii="Times New Roman" w:hAnsi="Times New Roman" w:cs="Times New Roman"/>
          <w:color w:val="000000" w:themeColor="text1"/>
          <w:sz w:val="22"/>
        </w:rPr>
        <w:t>r</w:t>
      </w:r>
      <w:r w:rsidR="00084993" w:rsidRPr="0041619C">
        <w:rPr>
          <w:rFonts w:ascii="Times New Roman" w:hAnsi="Times New Roman" w:cs="Times New Roman"/>
          <w:color w:val="000000" w:themeColor="text1"/>
          <w:sz w:val="22"/>
        </w:rPr>
        <w:t xml:space="preserve">uto a </w:t>
      </w:r>
      <w:r w:rsidR="00F54570" w:rsidRPr="0041619C">
        <w:rPr>
          <w:rFonts w:ascii="Times New Roman" w:hAnsi="Times New Roman" w:cs="Times New Roman"/>
          <w:color w:val="000000" w:themeColor="text1"/>
          <w:sz w:val="22"/>
        </w:rPr>
        <w:t>junio 218</w:t>
      </w:r>
      <w:r w:rsidRPr="0041619C">
        <w:rPr>
          <w:rFonts w:ascii="Times New Roman" w:hAnsi="Times New Roman" w:cs="Times New Roman"/>
          <w:color w:val="000000" w:themeColor="text1"/>
          <w:sz w:val="22"/>
        </w:rPr>
        <w:t>. Se debe tomar en consideración que el llamado Segundo Pilar</w:t>
      </w:r>
      <w:r w:rsidR="00084993" w:rsidRPr="0041619C">
        <w:rPr>
          <w:rFonts w:ascii="Times New Roman" w:hAnsi="Times New Roman" w:cs="Times New Roman"/>
          <w:color w:val="000000" w:themeColor="text1"/>
          <w:sz w:val="22"/>
        </w:rPr>
        <w:t>, compuesto por el ROP y fondos ocupacionales complementarios especiales,</w:t>
      </w:r>
      <w:r w:rsidR="00F54570" w:rsidRPr="0041619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F54570" w:rsidRPr="00567EDF">
        <w:rPr>
          <w:rFonts w:ascii="Times New Roman" w:hAnsi="Times New Roman" w:cs="Times New Roman"/>
          <w:sz w:val="22"/>
        </w:rPr>
        <w:t>representa el 18,7</w:t>
      </w:r>
      <w:r w:rsidRPr="00567EDF">
        <w:rPr>
          <w:rFonts w:ascii="Times New Roman" w:hAnsi="Times New Roman" w:cs="Times New Roman"/>
          <w:sz w:val="22"/>
        </w:rPr>
        <w:t>%</w:t>
      </w:r>
      <w:r w:rsidR="00084993" w:rsidRPr="00567EDF">
        <w:rPr>
          <w:rFonts w:ascii="Times New Roman" w:hAnsi="Times New Roman" w:cs="Times New Roman"/>
          <w:sz w:val="22"/>
        </w:rPr>
        <w:t xml:space="preserve"> del PIB, mientras los regímenes de</w:t>
      </w:r>
      <w:r w:rsidR="009622EA" w:rsidRPr="00567EDF">
        <w:rPr>
          <w:rFonts w:ascii="Times New Roman" w:hAnsi="Times New Roman" w:cs="Times New Roman"/>
          <w:sz w:val="22"/>
        </w:rPr>
        <w:t>l</w:t>
      </w:r>
      <w:r w:rsidR="00084993" w:rsidRPr="00567EDF">
        <w:rPr>
          <w:rFonts w:ascii="Times New Roman" w:hAnsi="Times New Roman" w:cs="Times New Roman"/>
          <w:sz w:val="22"/>
        </w:rPr>
        <w:t xml:space="preserve"> Primer Pilar administran</w:t>
      </w:r>
      <w:r w:rsidRPr="00567EDF">
        <w:rPr>
          <w:rFonts w:ascii="Times New Roman" w:hAnsi="Times New Roman" w:cs="Times New Roman"/>
          <w:sz w:val="22"/>
        </w:rPr>
        <w:t xml:space="preserve"> el </w:t>
      </w:r>
      <w:r w:rsidR="00F54570" w:rsidRPr="00567EDF">
        <w:rPr>
          <w:rFonts w:ascii="Times New Roman" w:hAnsi="Times New Roman" w:cs="Times New Roman"/>
          <w:sz w:val="22"/>
        </w:rPr>
        <w:t>16,5</w:t>
      </w:r>
      <w:r w:rsidRPr="00567EDF">
        <w:rPr>
          <w:rFonts w:ascii="Times New Roman" w:hAnsi="Times New Roman" w:cs="Times New Roman"/>
          <w:sz w:val="22"/>
        </w:rPr>
        <w:t>%</w:t>
      </w:r>
      <w:r w:rsidR="00567EDF" w:rsidRPr="00567EDF">
        <w:rPr>
          <w:rFonts w:ascii="Times New Roman" w:hAnsi="Times New Roman" w:cs="Times New Roman"/>
          <w:sz w:val="22"/>
        </w:rPr>
        <w:t>, el monto restante corresponde al FCL.</w:t>
      </w:r>
    </w:p>
    <w:p w14:paraId="0CA0AAE6" w14:textId="17A42805" w:rsidR="00467734" w:rsidRPr="00567EDF" w:rsidRDefault="00467734" w:rsidP="00AE3107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2"/>
        </w:rPr>
      </w:pPr>
    </w:p>
    <w:p w14:paraId="510376C5" w14:textId="51AE3AFD" w:rsidR="00932BBF" w:rsidRPr="0041619C" w:rsidRDefault="00F54570" w:rsidP="00AE3107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41619C">
        <w:rPr>
          <w:rFonts w:ascii="Times New Roman" w:hAnsi="Times New Roman" w:cs="Times New Roman"/>
          <w:color w:val="000000" w:themeColor="text1"/>
          <w:sz w:val="22"/>
        </w:rPr>
        <w:t>A la mitad de 2018</w:t>
      </w:r>
      <w:r w:rsidR="00084993" w:rsidRPr="0041619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932BBF" w:rsidRPr="0041619C">
        <w:rPr>
          <w:rFonts w:ascii="Times New Roman" w:hAnsi="Times New Roman" w:cs="Times New Roman"/>
          <w:color w:val="000000" w:themeColor="text1"/>
          <w:sz w:val="22"/>
        </w:rPr>
        <w:t xml:space="preserve">los cuatro regímenes básicos (Invalidez, Vejez y Muerte, Poder Judicial, Magisterio </w:t>
      </w:r>
      <w:r w:rsidR="009622EA" w:rsidRPr="0041619C">
        <w:rPr>
          <w:rFonts w:ascii="Times New Roman" w:hAnsi="Times New Roman" w:cs="Times New Roman"/>
          <w:color w:val="000000" w:themeColor="text1"/>
          <w:sz w:val="22"/>
        </w:rPr>
        <w:t xml:space="preserve">Nacional </w:t>
      </w:r>
      <w:r w:rsidR="00932BBF" w:rsidRPr="0041619C">
        <w:rPr>
          <w:rFonts w:ascii="Times New Roman" w:hAnsi="Times New Roman" w:cs="Times New Roman"/>
          <w:color w:val="000000" w:themeColor="text1"/>
          <w:sz w:val="22"/>
        </w:rPr>
        <w:t xml:space="preserve">y Bomberos) </w:t>
      </w:r>
      <w:r w:rsidR="00334512" w:rsidRPr="0041619C">
        <w:rPr>
          <w:rFonts w:ascii="Times New Roman" w:hAnsi="Times New Roman" w:cs="Times New Roman"/>
          <w:color w:val="000000" w:themeColor="text1"/>
          <w:sz w:val="22"/>
        </w:rPr>
        <w:t>administran</w:t>
      </w:r>
      <w:r w:rsidR="00FA3143" w:rsidRPr="0041619C">
        <w:rPr>
          <w:rFonts w:ascii="Times New Roman" w:hAnsi="Times New Roman" w:cs="Times New Roman"/>
          <w:color w:val="000000" w:themeColor="text1"/>
          <w:sz w:val="22"/>
        </w:rPr>
        <w:t xml:space="preserve"> 5,</w:t>
      </w:r>
      <w:r w:rsidRPr="0041619C">
        <w:rPr>
          <w:rFonts w:ascii="Times New Roman" w:hAnsi="Times New Roman" w:cs="Times New Roman"/>
          <w:color w:val="000000" w:themeColor="text1"/>
          <w:sz w:val="22"/>
        </w:rPr>
        <w:t>5</w:t>
      </w:r>
      <w:r w:rsidR="00932BBF" w:rsidRPr="0041619C">
        <w:rPr>
          <w:rFonts w:ascii="Times New Roman" w:hAnsi="Times New Roman" w:cs="Times New Roman"/>
          <w:color w:val="000000" w:themeColor="text1"/>
          <w:sz w:val="22"/>
        </w:rPr>
        <w:t xml:space="preserve"> billones de colones.</w:t>
      </w:r>
      <w:r w:rsidR="00647689" w:rsidRPr="0041619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084993" w:rsidRPr="0041619C">
        <w:rPr>
          <w:rFonts w:ascii="Times New Roman" w:hAnsi="Times New Roman" w:cs="Times New Roman"/>
          <w:color w:val="000000" w:themeColor="text1"/>
          <w:sz w:val="22"/>
        </w:rPr>
        <w:t xml:space="preserve">Por su parte, el </w:t>
      </w:r>
      <w:r w:rsidRPr="0041619C">
        <w:rPr>
          <w:rFonts w:ascii="Times New Roman" w:hAnsi="Times New Roman" w:cs="Times New Roman"/>
          <w:color w:val="000000" w:themeColor="text1"/>
          <w:sz w:val="22"/>
        </w:rPr>
        <w:t>segundo y tercer pilar administran 6,5 billones de colones</w:t>
      </w:r>
      <w:r w:rsidR="00B45E05">
        <w:rPr>
          <w:rFonts w:ascii="Times New Roman" w:hAnsi="Times New Roman" w:cs="Times New Roman"/>
          <w:color w:val="000000" w:themeColor="text1"/>
          <w:sz w:val="22"/>
        </w:rPr>
        <w:t>.</w:t>
      </w:r>
    </w:p>
    <w:p w14:paraId="582E1BB6" w14:textId="39796C5A" w:rsidR="00341A75" w:rsidRPr="0041619C" w:rsidRDefault="00341A75" w:rsidP="00AE3107">
      <w:pPr>
        <w:pStyle w:val="Prrafodelista"/>
        <w:tabs>
          <w:tab w:val="left" w:pos="1056"/>
        </w:tabs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  <w:r w:rsidRPr="0041619C">
        <w:rPr>
          <w:rFonts w:ascii="Times New Roman" w:hAnsi="Times New Roman" w:cs="Times New Roman"/>
          <w:b/>
          <w:color w:val="000000" w:themeColor="text1"/>
          <w:sz w:val="22"/>
        </w:rPr>
        <w:t>Cuadro 1</w:t>
      </w:r>
    </w:p>
    <w:p w14:paraId="06BF3676" w14:textId="6D6B1531" w:rsidR="002E63DD" w:rsidRPr="0041619C" w:rsidRDefault="00341A75" w:rsidP="00AE3107">
      <w:pPr>
        <w:pStyle w:val="Prrafodelista"/>
        <w:tabs>
          <w:tab w:val="left" w:pos="1056"/>
        </w:tabs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  <w:r w:rsidRPr="0041619C">
        <w:rPr>
          <w:rFonts w:ascii="Times New Roman" w:hAnsi="Times New Roman" w:cs="Times New Roman"/>
          <w:b/>
          <w:color w:val="000000" w:themeColor="text1"/>
          <w:sz w:val="22"/>
        </w:rPr>
        <w:t xml:space="preserve">Sistema </w:t>
      </w:r>
      <w:r w:rsidR="003926AC" w:rsidRPr="0041619C">
        <w:rPr>
          <w:rFonts w:ascii="Times New Roman" w:hAnsi="Times New Roman" w:cs="Times New Roman"/>
          <w:b/>
          <w:color w:val="000000" w:themeColor="text1"/>
          <w:sz w:val="22"/>
        </w:rPr>
        <w:t>Nacional</w:t>
      </w:r>
      <w:r w:rsidRPr="0041619C">
        <w:rPr>
          <w:rFonts w:ascii="Times New Roman" w:hAnsi="Times New Roman" w:cs="Times New Roman"/>
          <w:b/>
          <w:color w:val="000000" w:themeColor="text1"/>
          <w:sz w:val="22"/>
        </w:rPr>
        <w:t xml:space="preserve"> de Pensiones y </w:t>
      </w:r>
      <w:r w:rsidR="00460610" w:rsidRPr="0041619C">
        <w:rPr>
          <w:rFonts w:ascii="Times New Roman" w:hAnsi="Times New Roman" w:cs="Times New Roman"/>
          <w:b/>
          <w:color w:val="000000" w:themeColor="text1"/>
          <w:sz w:val="22"/>
        </w:rPr>
        <w:t xml:space="preserve">Fondo de </w:t>
      </w:r>
      <w:r w:rsidRPr="0041619C">
        <w:rPr>
          <w:rFonts w:ascii="Times New Roman" w:hAnsi="Times New Roman" w:cs="Times New Roman"/>
          <w:b/>
          <w:color w:val="000000" w:themeColor="text1"/>
          <w:sz w:val="22"/>
        </w:rPr>
        <w:t>Capitalización Laboral</w:t>
      </w:r>
    </w:p>
    <w:p w14:paraId="5F71442C" w14:textId="31C2E34A" w:rsidR="00341A75" w:rsidRPr="0041619C" w:rsidRDefault="00341A75" w:rsidP="00AE3107">
      <w:pPr>
        <w:pStyle w:val="Prrafodelista"/>
        <w:tabs>
          <w:tab w:val="left" w:pos="1056"/>
        </w:tabs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  <w:r w:rsidRPr="0041619C">
        <w:rPr>
          <w:rFonts w:ascii="Times New Roman" w:hAnsi="Times New Roman" w:cs="Times New Roman"/>
          <w:b/>
          <w:color w:val="000000" w:themeColor="text1"/>
          <w:sz w:val="22"/>
        </w:rPr>
        <w:t xml:space="preserve">Activos por </w:t>
      </w:r>
      <w:r w:rsidR="008528F3" w:rsidRPr="0041619C">
        <w:rPr>
          <w:rFonts w:ascii="Times New Roman" w:hAnsi="Times New Roman" w:cs="Times New Roman"/>
          <w:b/>
          <w:color w:val="000000" w:themeColor="text1"/>
          <w:sz w:val="22"/>
        </w:rPr>
        <w:t>Pilar</w:t>
      </w:r>
    </w:p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701"/>
      </w:tblGrid>
      <w:tr w:rsidR="00F54570" w:rsidRPr="0041619C" w14:paraId="1F77117A" w14:textId="10093679" w:rsidTr="00F54570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CA5A24D" w14:textId="74F7FE50" w:rsidR="00F54570" w:rsidRPr="0041619C" w:rsidRDefault="00F54570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s-CR" w:eastAsia="es-CR"/>
              </w:rPr>
            </w:pPr>
            <w:r w:rsidRPr="0041619C">
              <w:rPr>
                <w:rFonts w:ascii="Times New Roman" w:eastAsia="Times New Roman" w:hAnsi="Times New Roman" w:cs="Times New Roman"/>
                <w:b/>
                <w:color w:val="000000" w:themeColor="text1"/>
                <w:lang w:val="es-CR" w:eastAsia="es-CR"/>
              </w:rPr>
              <w:t>Pilares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C30DEF" w14:textId="62476197" w:rsidR="00F54570" w:rsidRPr="0041619C" w:rsidRDefault="00F54570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s-CR" w:eastAsia="es-CR"/>
              </w:rPr>
            </w:pPr>
            <w:r w:rsidRPr="0041619C">
              <w:rPr>
                <w:rFonts w:ascii="Times New Roman" w:eastAsia="Times New Roman" w:hAnsi="Times New Roman" w:cs="Times New Roman"/>
                <w:b/>
                <w:color w:val="000000" w:themeColor="text1"/>
                <w:lang w:val="es-CR" w:eastAsia="es-CR"/>
              </w:rPr>
              <w:t>Junio 2018</w:t>
            </w:r>
          </w:p>
          <w:p w14:paraId="637D0D9E" w14:textId="77777777" w:rsidR="00F54570" w:rsidRPr="0041619C" w:rsidRDefault="00F54570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s-CR" w:eastAsia="es-CR"/>
              </w:rPr>
            </w:pPr>
            <w:r w:rsidRPr="0041619C">
              <w:rPr>
                <w:rFonts w:ascii="Times New Roman" w:eastAsia="Times New Roman" w:hAnsi="Times New Roman" w:cs="Times New Roman"/>
                <w:b/>
                <w:color w:val="000000" w:themeColor="text1"/>
                <w:lang w:val="es-CR" w:eastAsia="es-CR"/>
              </w:rPr>
              <w:t xml:space="preserve">(billones de </w:t>
            </w:r>
          </w:p>
          <w:p w14:paraId="4343EA0F" w14:textId="679BEA6C" w:rsidR="00F54570" w:rsidRPr="0041619C" w:rsidRDefault="00F54570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s-CR" w:eastAsia="es-CR"/>
              </w:rPr>
            </w:pPr>
            <w:r w:rsidRPr="0041619C">
              <w:rPr>
                <w:rFonts w:ascii="Times New Roman" w:eastAsia="Times New Roman" w:hAnsi="Times New Roman" w:cs="Times New Roman"/>
                <w:b/>
                <w:color w:val="000000" w:themeColor="text1"/>
                <w:lang w:val="es-CR" w:eastAsia="es-CR"/>
              </w:rPr>
              <w:t>colones)</w:t>
            </w:r>
          </w:p>
        </w:tc>
      </w:tr>
      <w:tr w:rsidR="00F54570" w:rsidRPr="0041619C" w14:paraId="567E26C6" w14:textId="59FFA082" w:rsidTr="00F54570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</w:tcPr>
          <w:p w14:paraId="35E6287F" w14:textId="79FFDB87" w:rsidR="00F54570" w:rsidRPr="0041619C" w:rsidRDefault="00F54570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</w:pPr>
            <w:r w:rsidRPr="0041619C"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  <w:t>Primer Pilar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C3897C" w14:textId="0D443DF0" w:rsidR="00F54570" w:rsidRPr="0041619C" w:rsidRDefault="00F54570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</w:pPr>
            <w:r w:rsidRPr="0041619C"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  <w:t>5,5</w:t>
            </w:r>
          </w:p>
        </w:tc>
      </w:tr>
      <w:tr w:rsidR="00F54570" w:rsidRPr="0041619C" w14:paraId="397DD7EB" w14:textId="0EE6B721" w:rsidTr="00F54570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</w:tcPr>
          <w:p w14:paraId="3223A48E" w14:textId="728B720F" w:rsidR="00F54570" w:rsidRPr="0041619C" w:rsidRDefault="00F54570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</w:pPr>
            <w:r w:rsidRPr="0041619C"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  <w:t>Segundo Pilar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793F4B" w14:textId="16FFC4CB" w:rsidR="00F54570" w:rsidRPr="0041619C" w:rsidRDefault="00F54570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</w:pPr>
            <w:r w:rsidRPr="0041619C"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  <w:t>6,2</w:t>
            </w:r>
          </w:p>
        </w:tc>
      </w:tr>
      <w:tr w:rsidR="00F54570" w:rsidRPr="0041619C" w14:paraId="3229C673" w14:textId="5EADE3BB" w:rsidTr="00F54570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</w:tcPr>
          <w:p w14:paraId="40A253C5" w14:textId="365DB526" w:rsidR="00F54570" w:rsidRPr="0041619C" w:rsidRDefault="00F54570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</w:pPr>
            <w:r w:rsidRPr="0041619C"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  <w:t>Tercer Pilar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1BC38D" w14:textId="2DB4D0AD" w:rsidR="00F54570" w:rsidRPr="0041619C" w:rsidRDefault="00F54570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</w:pPr>
            <w:r w:rsidRPr="0041619C"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  <w:t>0,3</w:t>
            </w:r>
          </w:p>
        </w:tc>
      </w:tr>
      <w:tr w:rsidR="00F54570" w:rsidRPr="0041619C" w14:paraId="2E9AD791" w14:textId="1173DBDE" w:rsidTr="00F54570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</w:tcPr>
          <w:p w14:paraId="07AEF589" w14:textId="4784E42F" w:rsidR="00F54570" w:rsidRPr="0041619C" w:rsidRDefault="00F54570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</w:pPr>
            <w:r w:rsidRPr="0041619C"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  <w:t>Capitalización Laboral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16467B" w14:textId="7482A26F" w:rsidR="00F54570" w:rsidRPr="0041619C" w:rsidRDefault="00F54570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</w:pPr>
            <w:r w:rsidRPr="0041619C"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  <w:t>0,5</w:t>
            </w:r>
          </w:p>
        </w:tc>
      </w:tr>
      <w:tr w:rsidR="00F54570" w:rsidRPr="0041619C" w14:paraId="7B78A99B" w14:textId="49955B30" w:rsidTr="00F54570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</w:tcPr>
          <w:p w14:paraId="68142B01" w14:textId="0681A7EE" w:rsidR="00F54570" w:rsidRPr="0041619C" w:rsidRDefault="00F54570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es-CR" w:eastAsia="es-CR"/>
              </w:rPr>
            </w:pPr>
            <w:r w:rsidRPr="0041619C">
              <w:rPr>
                <w:rFonts w:ascii="Times New Roman" w:eastAsia="Times New Roman" w:hAnsi="Times New Roman" w:cs="Times New Roman"/>
                <w:b/>
                <w:color w:val="000000" w:themeColor="text1"/>
                <w:lang w:val="es-CR" w:eastAsia="es-CR"/>
              </w:rPr>
              <w:t>Total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6D0580" w14:textId="5848B3DA" w:rsidR="00F54570" w:rsidRPr="0041619C" w:rsidRDefault="00F54570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s-CR" w:eastAsia="es-CR"/>
              </w:rPr>
            </w:pPr>
            <w:r w:rsidRPr="0041619C">
              <w:rPr>
                <w:rFonts w:ascii="Times New Roman" w:eastAsia="Times New Roman" w:hAnsi="Times New Roman" w:cs="Times New Roman"/>
                <w:b/>
                <w:color w:val="000000" w:themeColor="text1"/>
                <w:lang w:val="es-CR" w:eastAsia="es-CR"/>
              </w:rPr>
              <w:t>12,5</w:t>
            </w:r>
          </w:p>
        </w:tc>
      </w:tr>
    </w:tbl>
    <w:p w14:paraId="07583AA4" w14:textId="251FD0AE" w:rsidR="00A12DEB" w:rsidRPr="0041619C" w:rsidRDefault="00A12DEB" w:rsidP="00AE3107">
      <w:pPr>
        <w:tabs>
          <w:tab w:val="left" w:pos="1056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15841D7" w14:textId="27697424" w:rsidR="00467734" w:rsidRPr="0041619C" w:rsidRDefault="0041619C" w:rsidP="00AE3107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41619C">
        <w:rPr>
          <w:rFonts w:ascii="Times New Roman" w:hAnsi="Times New Roman" w:cs="Times New Roman"/>
          <w:color w:val="000000" w:themeColor="text1"/>
          <w:sz w:val="22"/>
        </w:rPr>
        <w:t>Popular Pensiones OPC</w:t>
      </w:r>
      <w:r w:rsidR="005737DC" w:rsidRPr="0041619C">
        <w:rPr>
          <w:rFonts w:ascii="Times New Roman" w:hAnsi="Times New Roman" w:cs="Times New Roman"/>
          <w:color w:val="000000" w:themeColor="text1"/>
          <w:sz w:val="22"/>
        </w:rPr>
        <w:t xml:space="preserve"> administra </w:t>
      </w:r>
      <w:r w:rsidR="00D9750B">
        <w:rPr>
          <w:rFonts w:ascii="Times New Roman" w:hAnsi="Times New Roman" w:cs="Times New Roman"/>
          <w:color w:val="000000" w:themeColor="text1"/>
          <w:sz w:val="22"/>
        </w:rPr>
        <w:t>2,0</w:t>
      </w:r>
      <w:r w:rsidR="00085E49" w:rsidRPr="0041619C">
        <w:rPr>
          <w:rFonts w:ascii="Times New Roman" w:hAnsi="Times New Roman" w:cs="Times New Roman"/>
          <w:color w:val="000000" w:themeColor="text1"/>
          <w:sz w:val="22"/>
        </w:rPr>
        <w:t xml:space="preserve"> billones de co</w:t>
      </w:r>
      <w:r w:rsidR="00F54570" w:rsidRPr="0041619C">
        <w:rPr>
          <w:rFonts w:ascii="Times New Roman" w:hAnsi="Times New Roman" w:cs="Times New Roman"/>
          <w:color w:val="000000" w:themeColor="text1"/>
          <w:sz w:val="22"/>
        </w:rPr>
        <w:t>lones, lo que representa el 36,</w:t>
      </w:r>
      <w:r w:rsidR="00085E49" w:rsidRPr="0041619C">
        <w:rPr>
          <w:rFonts w:ascii="Times New Roman" w:hAnsi="Times New Roman" w:cs="Times New Roman"/>
          <w:color w:val="000000" w:themeColor="text1"/>
          <w:sz w:val="22"/>
        </w:rPr>
        <w:t>5</w:t>
      </w:r>
      <w:r w:rsidR="00D9750B">
        <w:rPr>
          <w:rFonts w:ascii="Times New Roman" w:hAnsi="Times New Roman" w:cs="Times New Roman"/>
          <w:color w:val="000000" w:themeColor="text1"/>
          <w:sz w:val="22"/>
        </w:rPr>
        <w:t>8</w:t>
      </w:r>
      <w:r w:rsidR="00085E49" w:rsidRPr="0041619C">
        <w:rPr>
          <w:rFonts w:ascii="Times New Roman" w:hAnsi="Times New Roman" w:cs="Times New Roman"/>
          <w:color w:val="000000" w:themeColor="text1"/>
          <w:sz w:val="22"/>
        </w:rPr>
        <w:t>% de los recursos totales administrados por</w:t>
      </w:r>
      <w:r w:rsidR="00D411FE" w:rsidRPr="0041619C">
        <w:rPr>
          <w:rFonts w:ascii="Times New Roman" w:hAnsi="Times New Roman" w:cs="Times New Roman"/>
          <w:color w:val="000000" w:themeColor="text1"/>
          <w:sz w:val="22"/>
        </w:rPr>
        <w:t xml:space="preserve"> el ROP (2,</w:t>
      </w:r>
      <w:r w:rsidR="00D9750B">
        <w:rPr>
          <w:rFonts w:ascii="Times New Roman" w:hAnsi="Times New Roman" w:cs="Times New Roman"/>
          <w:color w:val="000000" w:themeColor="text1"/>
          <w:sz w:val="22"/>
        </w:rPr>
        <w:t>27</w:t>
      </w:r>
      <w:r w:rsidR="00085E49" w:rsidRPr="0041619C">
        <w:rPr>
          <w:rFonts w:ascii="Times New Roman" w:hAnsi="Times New Roman" w:cs="Times New Roman"/>
          <w:color w:val="000000" w:themeColor="text1"/>
          <w:sz w:val="22"/>
        </w:rPr>
        <w:t xml:space="preserve"> billones si se incluyen FCL y voluntarios). </w:t>
      </w:r>
      <w:r w:rsidR="00D411FE" w:rsidRPr="0041619C">
        <w:rPr>
          <w:rFonts w:ascii="Times New Roman" w:hAnsi="Times New Roman" w:cs="Times New Roman"/>
          <w:color w:val="000000" w:themeColor="text1"/>
          <w:sz w:val="22"/>
        </w:rPr>
        <w:t xml:space="preserve">El </w:t>
      </w:r>
      <w:r w:rsidR="00085E49" w:rsidRPr="0041619C">
        <w:rPr>
          <w:rFonts w:ascii="Times New Roman" w:hAnsi="Times New Roman" w:cs="Times New Roman"/>
          <w:color w:val="000000" w:themeColor="text1"/>
          <w:sz w:val="22"/>
        </w:rPr>
        <w:t>Régimen d</w:t>
      </w:r>
      <w:r w:rsidR="00467734" w:rsidRPr="0041619C">
        <w:rPr>
          <w:rFonts w:ascii="Times New Roman" w:hAnsi="Times New Roman" w:cs="Times New Roman"/>
          <w:color w:val="000000" w:themeColor="text1"/>
          <w:sz w:val="22"/>
        </w:rPr>
        <w:t xml:space="preserve">e </w:t>
      </w:r>
      <w:r w:rsidR="00460610" w:rsidRPr="0041619C">
        <w:rPr>
          <w:rFonts w:ascii="Times New Roman" w:hAnsi="Times New Roman" w:cs="Times New Roman"/>
          <w:color w:val="000000" w:themeColor="text1"/>
          <w:sz w:val="22"/>
        </w:rPr>
        <w:t>Invalidez, Vejez y M</w:t>
      </w:r>
      <w:r w:rsidR="00467734" w:rsidRPr="0041619C">
        <w:rPr>
          <w:rFonts w:ascii="Times New Roman" w:hAnsi="Times New Roman" w:cs="Times New Roman"/>
          <w:color w:val="000000" w:themeColor="text1"/>
          <w:sz w:val="22"/>
        </w:rPr>
        <w:t xml:space="preserve">uerte </w:t>
      </w:r>
      <w:r w:rsidR="00460610" w:rsidRPr="0041619C">
        <w:rPr>
          <w:rFonts w:ascii="Times New Roman" w:hAnsi="Times New Roman" w:cs="Times New Roman"/>
          <w:color w:val="000000" w:themeColor="text1"/>
          <w:sz w:val="22"/>
        </w:rPr>
        <w:t>administrado por la Caja Costarricense de Seguro Social (</w:t>
      </w:r>
      <w:r w:rsidR="00467734" w:rsidRPr="0041619C">
        <w:rPr>
          <w:rFonts w:ascii="Times New Roman" w:hAnsi="Times New Roman" w:cs="Times New Roman"/>
          <w:color w:val="000000" w:themeColor="text1"/>
          <w:sz w:val="22"/>
        </w:rPr>
        <w:t>CCSS</w:t>
      </w:r>
      <w:r w:rsidR="00460610" w:rsidRPr="0041619C">
        <w:rPr>
          <w:rFonts w:ascii="Times New Roman" w:hAnsi="Times New Roman" w:cs="Times New Roman"/>
          <w:color w:val="000000" w:themeColor="text1"/>
          <w:sz w:val="22"/>
        </w:rPr>
        <w:t>)</w:t>
      </w:r>
      <w:r w:rsidR="00D411FE" w:rsidRPr="0041619C">
        <w:rPr>
          <w:rFonts w:ascii="Times New Roman" w:hAnsi="Times New Roman" w:cs="Times New Roman"/>
          <w:color w:val="000000" w:themeColor="text1"/>
          <w:sz w:val="22"/>
        </w:rPr>
        <w:t xml:space="preserve"> administra 2,</w:t>
      </w:r>
      <w:r w:rsidR="00D9750B">
        <w:rPr>
          <w:rFonts w:ascii="Times New Roman" w:hAnsi="Times New Roman" w:cs="Times New Roman"/>
          <w:color w:val="000000" w:themeColor="text1"/>
          <w:sz w:val="22"/>
        </w:rPr>
        <w:t>5</w:t>
      </w:r>
      <w:r w:rsidR="00D411FE" w:rsidRPr="0041619C">
        <w:rPr>
          <w:rFonts w:ascii="Times New Roman" w:hAnsi="Times New Roman" w:cs="Times New Roman"/>
          <w:color w:val="000000" w:themeColor="text1"/>
          <w:sz w:val="22"/>
        </w:rPr>
        <w:t xml:space="preserve"> billones de colones.</w:t>
      </w:r>
    </w:p>
    <w:p w14:paraId="3234C418" w14:textId="77777777" w:rsidR="0041619C" w:rsidRPr="0041619C" w:rsidRDefault="0041619C" w:rsidP="00AE3107">
      <w:pPr>
        <w:pStyle w:val="Prrafodelista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14:paraId="241085FF" w14:textId="03090CA2" w:rsidR="00841F05" w:rsidRPr="0041619C" w:rsidRDefault="004141F6" w:rsidP="00AE3107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1619C">
        <w:rPr>
          <w:rFonts w:ascii="Times New Roman" w:hAnsi="Times New Roman" w:cs="Times New Roman"/>
          <w:b/>
          <w:color w:val="000000" w:themeColor="text1"/>
        </w:rPr>
        <w:t>Gráfico</w:t>
      </w:r>
      <w:r w:rsidR="00841F05" w:rsidRPr="0041619C">
        <w:rPr>
          <w:rFonts w:ascii="Times New Roman" w:hAnsi="Times New Roman" w:cs="Times New Roman"/>
          <w:b/>
          <w:color w:val="000000" w:themeColor="text1"/>
        </w:rPr>
        <w:t xml:space="preserve"> 1</w:t>
      </w:r>
    </w:p>
    <w:p w14:paraId="28F14BD3" w14:textId="47D33E83" w:rsidR="00841F05" w:rsidRPr="0041619C" w:rsidRDefault="00166173" w:rsidP="00AE3107">
      <w:pPr>
        <w:tabs>
          <w:tab w:val="left" w:pos="1056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1619C">
        <w:rPr>
          <w:rFonts w:ascii="Times New Roman" w:hAnsi="Times New Roman" w:cs="Times New Roman"/>
          <w:b/>
          <w:color w:val="000000" w:themeColor="text1"/>
        </w:rPr>
        <w:t>Activos de por entidad el Segundo Pilar</w:t>
      </w:r>
    </w:p>
    <w:p w14:paraId="5E3FDF89" w14:textId="156113F3" w:rsidR="00085E49" w:rsidRPr="0041619C" w:rsidRDefault="00166173" w:rsidP="00AE3107">
      <w:pPr>
        <w:tabs>
          <w:tab w:val="left" w:pos="1056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1619C">
        <w:rPr>
          <w:rFonts w:ascii="Times New Roman" w:hAnsi="Times New Roman" w:cs="Times New Roman"/>
          <w:b/>
          <w:color w:val="000000" w:themeColor="text1"/>
        </w:rPr>
        <w:t>(millones de colones)</w:t>
      </w:r>
    </w:p>
    <w:p w14:paraId="025277EA" w14:textId="28EDD686" w:rsidR="00550EEE" w:rsidRPr="009B09B5" w:rsidRDefault="00346B20" w:rsidP="00AE3107">
      <w:pPr>
        <w:pStyle w:val="Prrafodelista"/>
        <w:tabs>
          <w:tab w:val="left" w:pos="1056"/>
        </w:tabs>
        <w:spacing w:after="0"/>
        <w:ind w:left="0"/>
        <w:jc w:val="center"/>
        <w:rPr>
          <w:rFonts w:ascii="Times New Roman" w:hAnsi="Times New Roman" w:cs="Times New Roman"/>
          <w:color w:val="FF0000"/>
          <w:sz w:val="22"/>
        </w:rPr>
      </w:pPr>
      <w:r>
        <w:rPr>
          <w:noProof/>
        </w:rPr>
        <w:drawing>
          <wp:inline distT="0" distB="0" distL="0" distR="0" wp14:anchorId="474B97B0" wp14:editId="5FFBC9B3">
            <wp:extent cx="6390640" cy="230759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A354FDE" w14:textId="257E6D6E" w:rsidR="00BA06A6" w:rsidRDefault="00BA06A6" w:rsidP="00AE3107">
      <w:pPr>
        <w:pStyle w:val="Prrafodelista"/>
        <w:tabs>
          <w:tab w:val="left" w:pos="1056"/>
        </w:tabs>
        <w:spacing w:after="0"/>
        <w:ind w:left="0"/>
        <w:rPr>
          <w:rFonts w:ascii="Times New Roman" w:hAnsi="Times New Roman" w:cs="Times New Roman"/>
          <w:sz w:val="22"/>
        </w:rPr>
      </w:pPr>
    </w:p>
    <w:p w14:paraId="7E38D71F" w14:textId="47D295E6" w:rsidR="00E87B5C" w:rsidRDefault="00E87B5C" w:rsidP="00AE3107">
      <w:pPr>
        <w:pStyle w:val="Prrafodelista"/>
        <w:tabs>
          <w:tab w:val="left" w:pos="1056"/>
        </w:tabs>
        <w:spacing w:after="0"/>
        <w:ind w:left="0"/>
        <w:rPr>
          <w:rFonts w:ascii="Times New Roman" w:hAnsi="Times New Roman" w:cs="Times New Roman"/>
          <w:sz w:val="22"/>
        </w:rPr>
      </w:pPr>
    </w:p>
    <w:p w14:paraId="74CD6C3F" w14:textId="77777777" w:rsidR="00AE3107" w:rsidRDefault="00AE3107" w:rsidP="00AE3107">
      <w:pPr>
        <w:pStyle w:val="Prrafodelista"/>
        <w:tabs>
          <w:tab w:val="left" w:pos="1056"/>
        </w:tabs>
        <w:spacing w:after="0"/>
        <w:ind w:left="0"/>
        <w:rPr>
          <w:rFonts w:ascii="Times New Roman" w:hAnsi="Times New Roman" w:cs="Times New Roman"/>
          <w:sz w:val="22"/>
        </w:rPr>
      </w:pPr>
    </w:p>
    <w:p w14:paraId="3B06BA3E" w14:textId="0C239EC3" w:rsidR="00E87B5C" w:rsidRDefault="00E87B5C" w:rsidP="00AE3107">
      <w:pPr>
        <w:pStyle w:val="Prrafodelista"/>
        <w:tabs>
          <w:tab w:val="left" w:pos="1056"/>
        </w:tabs>
        <w:spacing w:after="0"/>
        <w:ind w:left="0"/>
        <w:rPr>
          <w:rFonts w:ascii="Times New Roman" w:hAnsi="Times New Roman" w:cs="Times New Roman"/>
          <w:sz w:val="22"/>
        </w:rPr>
      </w:pPr>
    </w:p>
    <w:p w14:paraId="4D8E6832" w14:textId="6B401955" w:rsidR="00E87B5C" w:rsidRDefault="00E87B5C" w:rsidP="00AE3107">
      <w:pPr>
        <w:pStyle w:val="Prrafodelista"/>
        <w:tabs>
          <w:tab w:val="left" w:pos="1056"/>
        </w:tabs>
        <w:spacing w:after="0"/>
        <w:ind w:left="0"/>
        <w:rPr>
          <w:rFonts w:ascii="Times New Roman" w:hAnsi="Times New Roman" w:cs="Times New Roman"/>
          <w:sz w:val="22"/>
        </w:rPr>
      </w:pPr>
    </w:p>
    <w:p w14:paraId="313B09C0" w14:textId="5C7BFA92" w:rsidR="00567EDF" w:rsidRDefault="00B9643C" w:rsidP="00AE3107">
      <w:pPr>
        <w:pStyle w:val="Ttulo1"/>
      </w:pPr>
      <w:bookmarkStart w:id="12" w:name="_Toc505348333"/>
      <w:bookmarkStart w:id="13" w:name="_Toc506207743"/>
      <w:bookmarkStart w:id="14" w:name="_Toc506212324"/>
      <w:bookmarkStart w:id="15" w:name="_Toc526840853"/>
      <w:r w:rsidRPr="00AA7E36">
        <w:t>Inversiones</w:t>
      </w:r>
      <w:bookmarkStart w:id="16" w:name="_Toc505348334"/>
      <w:bookmarkStart w:id="17" w:name="_Toc506207744"/>
      <w:bookmarkStart w:id="18" w:name="_Toc506212325"/>
      <w:bookmarkEnd w:id="12"/>
      <w:bookmarkEnd w:id="13"/>
      <w:bookmarkEnd w:id="14"/>
      <w:bookmarkEnd w:id="15"/>
    </w:p>
    <w:p w14:paraId="1B48A29C" w14:textId="77777777" w:rsidR="00D257EB" w:rsidRPr="00D257EB" w:rsidRDefault="00D257EB" w:rsidP="00AE3107">
      <w:pPr>
        <w:spacing w:after="0"/>
      </w:pPr>
    </w:p>
    <w:p w14:paraId="758AD1F0" w14:textId="1FF2AC01" w:rsidR="00634479" w:rsidRDefault="00BA06A6" w:rsidP="00AE3107">
      <w:pPr>
        <w:pStyle w:val="Ttulo2"/>
        <w:spacing w:before="0"/>
      </w:pPr>
      <w:bookmarkStart w:id="19" w:name="_Toc526840854"/>
      <w:r w:rsidRPr="009B09B5">
        <w:t>Composición de cartera</w:t>
      </w:r>
      <w:bookmarkEnd w:id="16"/>
      <w:r w:rsidR="009654DF" w:rsidRPr="009B09B5">
        <w:t>s</w:t>
      </w:r>
      <w:bookmarkEnd w:id="17"/>
      <w:bookmarkEnd w:id="18"/>
      <w:bookmarkEnd w:id="19"/>
    </w:p>
    <w:p w14:paraId="3BBD6533" w14:textId="77777777" w:rsidR="006F3DBC" w:rsidRPr="006F3DBC" w:rsidRDefault="006F3DBC" w:rsidP="00AE3107">
      <w:pPr>
        <w:spacing w:after="0"/>
      </w:pPr>
    </w:p>
    <w:p w14:paraId="05EA44C3" w14:textId="0C76D51E" w:rsidR="00D61EF1" w:rsidRPr="00386B12" w:rsidRDefault="00D61EF1" w:rsidP="00AE3107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r w:rsidRPr="00386B12">
        <w:rPr>
          <w:rFonts w:ascii="Times New Roman" w:hAnsi="Times New Roman" w:cs="Times New Roman"/>
          <w:sz w:val="22"/>
        </w:rPr>
        <w:t xml:space="preserve">La cartera total (sin incluir carteras de créditos) del </w:t>
      </w:r>
      <w:r w:rsidR="009654DF" w:rsidRPr="00386B12">
        <w:rPr>
          <w:rFonts w:ascii="Times New Roman" w:hAnsi="Times New Roman" w:cs="Times New Roman"/>
          <w:sz w:val="22"/>
        </w:rPr>
        <w:t>SNP</w:t>
      </w:r>
      <w:r w:rsidR="00D748AF">
        <w:rPr>
          <w:rFonts w:ascii="Times New Roman" w:hAnsi="Times New Roman" w:cs="Times New Roman"/>
          <w:sz w:val="22"/>
        </w:rPr>
        <w:t xml:space="preserve"> equivale a 11,</w:t>
      </w:r>
      <w:r w:rsidR="008808B4" w:rsidRPr="00386B12">
        <w:rPr>
          <w:rFonts w:ascii="Times New Roman" w:hAnsi="Times New Roman" w:cs="Times New Roman"/>
          <w:sz w:val="22"/>
        </w:rPr>
        <w:t>54</w:t>
      </w:r>
      <w:r w:rsidRPr="00386B12">
        <w:rPr>
          <w:rFonts w:ascii="Times New Roman" w:hAnsi="Times New Roman" w:cs="Times New Roman"/>
          <w:sz w:val="22"/>
        </w:rPr>
        <w:t xml:space="preserve"> billones de colones con una </w:t>
      </w:r>
      <w:r w:rsidR="00D748AF">
        <w:rPr>
          <w:rFonts w:ascii="Times New Roman" w:hAnsi="Times New Roman" w:cs="Times New Roman"/>
          <w:sz w:val="22"/>
        </w:rPr>
        <w:t>concentración de 7,</w:t>
      </w:r>
      <w:r w:rsidR="008808B4" w:rsidRPr="00386B12">
        <w:rPr>
          <w:rFonts w:ascii="Times New Roman" w:hAnsi="Times New Roman" w:cs="Times New Roman"/>
          <w:sz w:val="22"/>
        </w:rPr>
        <w:t>34</w:t>
      </w:r>
      <w:r w:rsidRPr="00386B12">
        <w:rPr>
          <w:rFonts w:ascii="Times New Roman" w:hAnsi="Times New Roman" w:cs="Times New Roman"/>
          <w:sz w:val="22"/>
        </w:rPr>
        <w:t xml:space="preserve"> billones invertidos en instrumentos d</w:t>
      </w:r>
      <w:r w:rsidR="008808B4" w:rsidRPr="00386B12">
        <w:rPr>
          <w:rFonts w:ascii="Times New Roman" w:hAnsi="Times New Roman" w:cs="Times New Roman"/>
          <w:sz w:val="22"/>
        </w:rPr>
        <w:t xml:space="preserve">e BCCR y Ministerio </w:t>
      </w:r>
      <w:r w:rsidR="009E32A4">
        <w:rPr>
          <w:rFonts w:ascii="Times New Roman" w:hAnsi="Times New Roman" w:cs="Times New Roman"/>
          <w:sz w:val="22"/>
        </w:rPr>
        <w:t>de Hacienda y 8,56 billones en Sector P</w:t>
      </w:r>
      <w:r w:rsidR="008808B4" w:rsidRPr="00386B12">
        <w:rPr>
          <w:rFonts w:ascii="Times New Roman" w:hAnsi="Times New Roman" w:cs="Times New Roman"/>
          <w:sz w:val="22"/>
        </w:rPr>
        <w:t>úbl</w:t>
      </w:r>
      <w:r w:rsidR="003D6788" w:rsidRPr="00386B12">
        <w:rPr>
          <w:rFonts w:ascii="Times New Roman" w:hAnsi="Times New Roman" w:cs="Times New Roman"/>
          <w:sz w:val="22"/>
        </w:rPr>
        <w:t>ico (74,12%</w:t>
      </w:r>
      <w:r w:rsidR="008808B4" w:rsidRPr="00386B12">
        <w:rPr>
          <w:rFonts w:ascii="Times New Roman" w:hAnsi="Times New Roman" w:cs="Times New Roman"/>
          <w:sz w:val="22"/>
        </w:rPr>
        <w:t xml:space="preserve"> del total de las carteras).</w:t>
      </w:r>
    </w:p>
    <w:p w14:paraId="0B4E8CB7" w14:textId="77777777" w:rsidR="004045D4" w:rsidRPr="00386B12" w:rsidRDefault="004045D4" w:rsidP="00AE3107">
      <w:pPr>
        <w:tabs>
          <w:tab w:val="left" w:pos="1056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3C836061" w14:textId="577A5653" w:rsidR="009F7898" w:rsidRPr="00386B12" w:rsidRDefault="00A45E15" w:rsidP="00AE3107">
      <w:pPr>
        <w:tabs>
          <w:tab w:val="left" w:pos="1056"/>
        </w:tabs>
        <w:spacing w:after="0"/>
        <w:jc w:val="center"/>
        <w:rPr>
          <w:rFonts w:ascii="Times New Roman" w:hAnsi="Times New Roman" w:cs="Times New Roman"/>
          <w:b/>
        </w:rPr>
      </w:pPr>
      <w:r w:rsidRPr="00386B12">
        <w:rPr>
          <w:rFonts w:ascii="Times New Roman" w:hAnsi="Times New Roman" w:cs="Times New Roman"/>
          <w:b/>
        </w:rPr>
        <w:t>Cuadro 2</w:t>
      </w:r>
    </w:p>
    <w:p w14:paraId="171536F1" w14:textId="439F49BA" w:rsidR="009F7898" w:rsidRPr="00386B12" w:rsidRDefault="00A45E15" w:rsidP="00AE3107">
      <w:pPr>
        <w:tabs>
          <w:tab w:val="left" w:pos="1056"/>
        </w:tabs>
        <w:spacing w:after="0"/>
        <w:jc w:val="center"/>
        <w:rPr>
          <w:rFonts w:ascii="Times New Roman" w:hAnsi="Times New Roman" w:cs="Times New Roman"/>
          <w:b/>
        </w:rPr>
      </w:pPr>
      <w:r w:rsidRPr="00386B12">
        <w:rPr>
          <w:rFonts w:ascii="Times New Roman" w:hAnsi="Times New Roman" w:cs="Times New Roman"/>
          <w:b/>
        </w:rPr>
        <w:t xml:space="preserve">Inversiones por Régimen de Pensiones </w:t>
      </w:r>
    </w:p>
    <w:p w14:paraId="4F44208A" w14:textId="0B2E773A" w:rsidR="00D61EF1" w:rsidRPr="00386B12" w:rsidRDefault="00A45E15" w:rsidP="00AE3107">
      <w:pPr>
        <w:tabs>
          <w:tab w:val="left" w:pos="1056"/>
        </w:tabs>
        <w:spacing w:after="0"/>
        <w:jc w:val="center"/>
        <w:rPr>
          <w:rFonts w:ascii="Times New Roman" w:hAnsi="Times New Roman" w:cs="Times New Roman"/>
          <w:noProof/>
        </w:rPr>
      </w:pPr>
      <w:r w:rsidRPr="00386B12">
        <w:rPr>
          <w:rFonts w:ascii="Times New Roman" w:hAnsi="Times New Roman" w:cs="Times New Roman"/>
          <w:b/>
        </w:rPr>
        <w:t>(millones de colones)</w:t>
      </w:r>
      <w:r w:rsidR="00634479" w:rsidRPr="00386B12">
        <w:rPr>
          <w:rFonts w:ascii="Times New Roman" w:hAnsi="Times New Roman" w:cs="Times New Roman"/>
          <w:noProof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980"/>
        <w:gridCol w:w="686"/>
        <w:gridCol w:w="905"/>
        <w:gridCol w:w="853"/>
        <w:gridCol w:w="970"/>
        <w:gridCol w:w="700"/>
        <w:gridCol w:w="770"/>
      </w:tblGrid>
      <w:tr w:rsidR="00386B12" w:rsidRPr="00386B12" w14:paraId="7F09A58F" w14:textId="77777777" w:rsidTr="000F512E">
        <w:trPr>
          <w:trHeight w:val="551"/>
        </w:trPr>
        <w:tc>
          <w:tcPr>
            <w:tcW w:w="17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708AA5" w14:textId="77777777" w:rsidR="000F512E" w:rsidRPr="00386B12" w:rsidRDefault="000F512E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  <w:t>Tipo de fondo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9838168" w14:textId="77777777" w:rsidR="000F512E" w:rsidRPr="00386B12" w:rsidRDefault="000F512E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  <w:t>Disponibilidades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0845BA" w14:textId="77777777" w:rsidR="000F512E" w:rsidRPr="00386B12" w:rsidRDefault="000F512E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  <w:t>Emisores extranjeros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67CD55" w14:textId="77777777" w:rsidR="000F512E" w:rsidRPr="00386B12" w:rsidRDefault="000F512E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  <w:t>Instituciones públicas no financieras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3D0AC5" w14:textId="719C66B2" w:rsidR="000F512E" w:rsidRPr="00386B12" w:rsidRDefault="000F512E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  <w:t>Instituciones públicas financieras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D3200D" w14:textId="77777777" w:rsidR="000F512E" w:rsidRPr="00386B12" w:rsidRDefault="000F512E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  <w:t>Ministerio de Hacienda y BCCR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816F8F" w14:textId="1DAC5C03" w:rsidR="000F512E" w:rsidRPr="00386B12" w:rsidRDefault="000F512E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  <w:t>Se</w:t>
            </w:r>
            <w:r w:rsidR="00567EDF"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  <w:t>ctor P</w:t>
            </w:r>
            <w:r w:rsidRPr="00386B12"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  <w:t>rivado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A19CD0" w14:textId="77777777" w:rsidR="000F512E" w:rsidRPr="00386B12" w:rsidRDefault="000F512E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  <w:t>Total</w:t>
            </w:r>
          </w:p>
        </w:tc>
      </w:tr>
      <w:tr w:rsidR="00386B12" w:rsidRPr="00386B12" w14:paraId="7133E8DA" w14:textId="77777777" w:rsidTr="000F512E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6286" w14:textId="77777777" w:rsidR="000F512E" w:rsidRPr="00386B12" w:rsidRDefault="000F512E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>REGIMENES BÁSICOS FRIVM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8706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 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AA93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 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A87D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 91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8A25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123 188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72E7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>1 824 499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CA02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104 368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6A26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>2 052 146</w:t>
            </w:r>
          </w:p>
        </w:tc>
      </w:tr>
      <w:tr w:rsidR="00386B12" w:rsidRPr="00386B12" w14:paraId="6B0D35E4" w14:textId="77777777" w:rsidTr="000F512E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E41C" w14:textId="77777777" w:rsidR="000F512E" w:rsidRPr="00386B12" w:rsidRDefault="000F512E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>REGIMENES BÁSICOS FCCMN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FC30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2 690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7435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 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0CFE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9 008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29CB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129 894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0918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>1 553 732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A7F9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314 345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D585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>2 009 669</w:t>
            </w:r>
          </w:p>
        </w:tc>
      </w:tr>
      <w:tr w:rsidR="00386B12" w:rsidRPr="00386B12" w14:paraId="19BDB62F" w14:textId="77777777" w:rsidTr="000F512E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5F37" w14:textId="77777777" w:rsidR="000F512E" w:rsidRPr="00386B12" w:rsidRDefault="000F512E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>REGIMENES BÁSICOS FPJ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B6B1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 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8BEE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 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E4F5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24 345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4705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82 852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779D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353 849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91FD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24 016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431D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485 063</w:t>
            </w:r>
          </w:p>
        </w:tc>
      </w:tr>
      <w:tr w:rsidR="00386B12" w:rsidRPr="00386B12" w14:paraId="3C8E358D" w14:textId="77777777" w:rsidTr="000F512E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EC4A" w14:textId="77777777" w:rsidR="000F512E" w:rsidRPr="00386B12" w:rsidRDefault="000F512E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>REGIMENES BÁSICOS Bomberos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83BC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 31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AD9F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 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7D03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3 100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A42C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8 180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FBC8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22 311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12A7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12 415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7932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46 037</w:t>
            </w:r>
          </w:p>
        </w:tc>
      </w:tr>
      <w:tr w:rsidR="00386B12" w:rsidRPr="00386B12" w14:paraId="33D432C1" w14:textId="77777777" w:rsidTr="000F512E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984" w14:textId="77777777" w:rsidR="000F512E" w:rsidRPr="00386B12" w:rsidRDefault="000F512E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>REGIMEN OBLIGATORIO DE PENSIONES COMPLEMENTARIAS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47E2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43 174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7528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630 856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4104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133 198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2D38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653 626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6D14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>2 807 073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406E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>1 030 465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8B99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>5 298 391</w:t>
            </w:r>
          </w:p>
        </w:tc>
      </w:tr>
      <w:tr w:rsidR="00386B12" w:rsidRPr="00386B12" w14:paraId="7A868092" w14:textId="77777777" w:rsidTr="000F512E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E0DA" w14:textId="77777777" w:rsidR="000F512E" w:rsidRPr="00386B12" w:rsidRDefault="000F512E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>REGIMENES ESPECIALES y OTROS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FF5F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6 486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BE99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 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BA51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123 914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7AE2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95 206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188D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407 965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BB27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176 134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B098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809 706</w:t>
            </w:r>
          </w:p>
        </w:tc>
      </w:tr>
      <w:tr w:rsidR="00386B12" w:rsidRPr="00386B12" w14:paraId="0B14B256" w14:textId="77777777" w:rsidTr="000F512E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5A93" w14:textId="77777777" w:rsidR="000F512E" w:rsidRPr="00386B12" w:rsidRDefault="000F512E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>VOLUNTARIOS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84DB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8 824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9C07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8 966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838D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8 682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64E1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36 121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EF79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155 614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9F5D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107 099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ABA5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325 306</w:t>
            </w:r>
          </w:p>
        </w:tc>
      </w:tr>
      <w:tr w:rsidR="00386B12" w:rsidRPr="00386B12" w14:paraId="451ADF3E" w14:textId="77777777" w:rsidTr="000F512E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A351B" w14:textId="77777777" w:rsidR="000F512E" w:rsidRPr="00386B12" w:rsidRDefault="000F512E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  <w:t>Sub Total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41891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  <w:t xml:space="preserve"> 61 205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F184A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  <w:t xml:space="preserve"> 639 821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3AFC4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  <w:t xml:space="preserve"> 302 338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AC6B8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  <w:t>1 129 067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67CD9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  <w:t>7 125 042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08259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  <w:t>1 768 844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5715E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  <w:t>11 026 317</w:t>
            </w:r>
          </w:p>
        </w:tc>
      </w:tr>
      <w:tr w:rsidR="00386B12" w:rsidRPr="00386B12" w14:paraId="4B914BC0" w14:textId="77777777" w:rsidTr="000F512E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1AED" w14:textId="77777777" w:rsidR="000F512E" w:rsidRPr="00386B12" w:rsidRDefault="000F512E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>FONDOS DE CAPITALIZACION LABORAL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C1ED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17 177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740C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24 960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A6C1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8 171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3560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81 538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4FB6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229 354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B68E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155 957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63B0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517 156</w:t>
            </w:r>
          </w:p>
        </w:tc>
      </w:tr>
      <w:tr w:rsidR="00386B12" w:rsidRPr="00386B12" w14:paraId="212442E2" w14:textId="77777777" w:rsidTr="000F512E">
        <w:trPr>
          <w:trHeight w:val="315"/>
        </w:trPr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3E569" w14:textId="77777777" w:rsidR="000F512E" w:rsidRPr="00386B12" w:rsidRDefault="000F512E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b/>
                <w:bCs/>
                <w:sz w:val="14"/>
                <w:lang w:val="es-CR" w:eastAsia="es-CR"/>
              </w:rPr>
              <w:t xml:space="preserve">Total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4ACC2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78 382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4707B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664 781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C0F01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 xml:space="preserve"> 310 509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8578D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>1 210 605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3B34A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>7 354 396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1C320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>1 924 800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760AA" w14:textId="77777777" w:rsidR="000F512E" w:rsidRPr="00386B12" w:rsidRDefault="000F512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</w:pPr>
            <w:r w:rsidRPr="00386B12">
              <w:rPr>
                <w:rFonts w:ascii="Times New Roman" w:eastAsia="Times New Roman" w:hAnsi="Times New Roman" w:cs="Times New Roman"/>
                <w:sz w:val="14"/>
                <w:lang w:val="es-CR" w:eastAsia="es-CR"/>
              </w:rPr>
              <w:t>11 543 474</w:t>
            </w:r>
          </w:p>
        </w:tc>
      </w:tr>
    </w:tbl>
    <w:p w14:paraId="1CE07716" w14:textId="4CFB846E" w:rsidR="00FD23BF" w:rsidRPr="009B09B5" w:rsidRDefault="00FD23BF" w:rsidP="00AE3107">
      <w:pPr>
        <w:tabs>
          <w:tab w:val="left" w:pos="1056"/>
        </w:tabs>
        <w:spacing w:after="0"/>
        <w:rPr>
          <w:rFonts w:ascii="Times New Roman" w:hAnsi="Times New Roman" w:cs="Times New Roman"/>
          <w:b/>
        </w:rPr>
      </w:pPr>
    </w:p>
    <w:p w14:paraId="40A4C353" w14:textId="19D910EE" w:rsidR="00D257EB" w:rsidRDefault="00FD23BF" w:rsidP="00AE3107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r w:rsidRPr="00386B12">
        <w:rPr>
          <w:rFonts w:ascii="Times New Roman" w:hAnsi="Times New Roman" w:cs="Times New Roman"/>
          <w:sz w:val="22"/>
        </w:rPr>
        <w:t>Si bien es cierto las in</w:t>
      </w:r>
      <w:r w:rsidR="0049616D">
        <w:rPr>
          <w:rFonts w:ascii="Times New Roman" w:hAnsi="Times New Roman" w:cs="Times New Roman"/>
          <w:sz w:val="22"/>
        </w:rPr>
        <w:t>versiones de</w:t>
      </w:r>
      <w:r w:rsidR="007002ED">
        <w:rPr>
          <w:rFonts w:ascii="Times New Roman" w:hAnsi="Times New Roman" w:cs="Times New Roman"/>
          <w:sz w:val="22"/>
        </w:rPr>
        <w:t>l</w:t>
      </w:r>
      <w:r w:rsidR="0049616D">
        <w:rPr>
          <w:rFonts w:ascii="Times New Roman" w:hAnsi="Times New Roman" w:cs="Times New Roman"/>
          <w:sz w:val="22"/>
        </w:rPr>
        <w:t xml:space="preserve"> Régimen Obligatorio de Pensiones</w:t>
      </w:r>
      <w:r w:rsidRPr="00386B12">
        <w:rPr>
          <w:rFonts w:ascii="Times New Roman" w:hAnsi="Times New Roman" w:cs="Times New Roman"/>
          <w:sz w:val="22"/>
        </w:rPr>
        <w:t xml:space="preserve"> se concentran</w:t>
      </w:r>
      <w:r w:rsidR="0049616D">
        <w:rPr>
          <w:rFonts w:ascii="Times New Roman" w:hAnsi="Times New Roman" w:cs="Times New Roman"/>
          <w:sz w:val="22"/>
        </w:rPr>
        <w:t xml:space="preserve"> en</w:t>
      </w:r>
      <w:r w:rsidRPr="00386B12">
        <w:rPr>
          <w:rFonts w:ascii="Times New Roman" w:hAnsi="Times New Roman" w:cs="Times New Roman"/>
          <w:sz w:val="22"/>
        </w:rPr>
        <w:t xml:space="preserve"> el Ministerio de Hacienda se observa la presencia de otras inversiones tanto en sector privado </w:t>
      </w:r>
      <w:r w:rsidR="00B9258D">
        <w:rPr>
          <w:rFonts w:ascii="Times New Roman" w:hAnsi="Times New Roman" w:cs="Times New Roman"/>
          <w:sz w:val="22"/>
        </w:rPr>
        <w:t>como en el</w:t>
      </w:r>
      <w:r w:rsidRPr="00386B12">
        <w:rPr>
          <w:rFonts w:ascii="Times New Roman" w:hAnsi="Times New Roman" w:cs="Times New Roman"/>
          <w:sz w:val="22"/>
        </w:rPr>
        <w:t xml:space="preserve"> sector externo.</w:t>
      </w:r>
    </w:p>
    <w:p w14:paraId="639D97FA" w14:textId="2FDC304E" w:rsidR="00D257EB" w:rsidRDefault="00D257EB" w:rsidP="00AE3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20" w:name="_GoBack"/>
      <w:bookmarkEnd w:id="20"/>
    </w:p>
    <w:p w14:paraId="2D35FC0D" w14:textId="77777777" w:rsidR="00D257EB" w:rsidRPr="00D257EB" w:rsidRDefault="00D257EB" w:rsidP="00AE3107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2"/>
        </w:rPr>
      </w:pPr>
    </w:p>
    <w:p w14:paraId="229E617C" w14:textId="01855B52" w:rsidR="003364C2" w:rsidRDefault="003364C2" w:rsidP="00AE3107">
      <w:pPr>
        <w:spacing w:after="0"/>
        <w:rPr>
          <w:rFonts w:ascii="Times New Roman" w:hAnsi="Times New Roman" w:cs="Times New Roman"/>
          <w:b/>
        </w:rPr>
      </w:pPr>
    </w:p>
    <w:p w14:paraId="72B3935E" w14:textId="524B6EDD" w:rsidR="00F05C04" w:rsidRPr="00386B12" w:rsidRDefault="00F05C04" w:rsidP="00AE3107">
      <w:pPr>
        <w:spacing w:after="0"/>
        <w:jc w:val="center"/>
        <w:rPr>
          <w:rFonts w:ascii="Times New Roman" w:hAnsi="Times New Roman" w:cs="Times New Roman"/>
          <w:b/>
        </w:rPr>
      </w:pPr>
      <w:r w:rsidRPr="00386B12">
        <w:rPr>
          <w:rFonts w:ascii="Times New Roman" w:hAnsi="Times New Roman" w:cs="Times New Roman"/>
          <w:b/>
        </w:rPr>
        <w:t>Gráfico 2</w:t>
      </w:r>
    </w:p>
    <w:p w14:paraId="6E297F12" w14:textId="1B145661" w:rsidR="00F05C04" w:rsidRPr="00386B12" w:rsidRDefault="000F7997" w:rsidP="00AE3107">
      <w:pPr>
        <w:tabs>
          <w:tab w:val="left" w:pos="1056"/>
        </w:tabs>
        <w:spacing w:after="0"/>
        <w:jc w:val="center"/>
        <w:rPr>
          <w:rFonts w:ascii="Times New Roman" w:hAnsi="Times New Roman" w:cs="Times New Roman"/>
          <w:b/>
        </w:rPr>
      </w:pPr>
      <w:r w:rsidRPr="00386B12">
        <w:rPr>
          <w:rFonts w:ascii="Times New Roman" w:hAnsi="Times New Roman" w:cs="Times New Roman"/>
          <w:b/>
        </w:rPr>
        <w:t>ROP, Inversiones por sector</w:t>
      </w:r>
      <w:r w:rsidR="00B45E05">
        <w:rPr>
          <w:rFonts w:ascii="Times New Roman" w:hAnsi="Times New Roman" w:cs="Times New Roman"/>
          <w:b/>
        </w:rPr>
        <w:t xml:space="preserve"> y vencimiento</w:t>
      </w:r>
    </w:p>
    <w:p w14:paraId="1AE23262" w14:textId="71D19AC4" w:rsidR="00F05C04" w:rsidRPr="00386B12" w:rsidRDefault="000F7997" w:rsidP="00AE3107">
      <w:pPr>
        <w:tabs>
          <w:tab w:val="left" w:pos="1056"/>
        </w:tabs>
        <w:spacing w:after="0"/>
        <w:jc w:val="center"/>
        <w:rPr>
          <w:rFonts w:ascii="Times New Roman" w:hAnsi="Times New Roman" w:cs="Times New Roman"/>
          <w:b/>
        </w:rPr>
      </w:pPr>
      <w:r w:rsidRPr="00386B12">
        <w:rPr>
          <w:rFonts w:ascii="Times New Roman" w:hAnsi="Times New Roman" w:cs="Times New Roman"/>
          <w:b/>
        </w:rPr>
        <w:t>(billones</w:t>
      </w:r>
      <w:r w:rsidR="00647FCD" w:rsidRPr="00386B12">
        <w:rPr>
          <w:rFonts w:ascii="Times New Roman" w:hAnsi="Times New Roman" w:cs="Times New Roman"/>
          <w:b/>
        </w:rPr>
        <w:t xml:space="preserve"> de colones)</w:t>
      </w:r>
    </w:p>
    <w:p w14:paraId="381D38ED" w14:textId="5B296062" w:rsidR="00A357E7" w:rsidRPr="009B09B5" w:rsidRDefault="00273057" w:rsidP="00AE3107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7C39F07" wp14:editId="4926BD17">
            <wp:extent cx="5709037" cy="2537979"/>
            <wp:effectExtent l="0" t="0" r="635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91980" cy="257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2B6BD" w14:textId="1ADDBEBC" w:rsidR="00273057" w:rsidRPr="009B09B5" w:rsidRDefault="00273057" w:rsidP="00AE3107">
      <w:pPr>
        <w:spacing w:after="0"/>
        <w:rPr>
          <w:rFonts w:ascii="Times New Roman" w:hAnsi="Times New Roman" w:cs="Times New Roman"/>
        </w:rPr>
      </w:pPr>
    </w:p>
    <w:p w14:paraId="2E0DC62C" w14:textId="61784EE3" w:rsidR="00FD23BF" w:rsidRPr="009B09B5" w:rsidRDefault="00FD23BF" w:rsidP="00AE3107">
      <w:pPr>
        <w:spacing w:after="0"/>
        <w:rPr>
          <w:rFonts w:ascii="Times New Roman" w:hAnsi="Times New Roman" w:cs="Times New Roman"/>
        </w:rPr>
      </w:pPr>
    </w:p>
    <w:p w14:paraId="5F77508D" w14:textId="7F5A1540" w:rsidR="00FD23BF" w:rsidRPr="00386B12" w:rsidRDefault="00FD23BF" w:rsidP="00AE3107">
      <w:pPr>
        <w:spacing w:after="0"/>
        <w:rPr>
          <w:rFonts w:ascii="Times New Roman" w:hAnsi="Times New Roman" w:cs="Times New Roman"/>
        </w:rPr>
      </w:pPr>
    </w:p>
    <w:p w14:paraId="3DEE24E6" w14:textId="740A4DB7" w:rsidR="00FD23BF" w:rsidRPr="00386B12" w:rsidRDefault="00FD23BF" w:rsidP="00AE3107">
      <w:pPr>
        <w:spacing w:after="0"/>
        <w:rPr>
          <w:rFonts w:ascii="Times New Roman" w:hAnsi="Times New Roman" w:cs="Times New Roman"/>
        </w:rPr>
      </w:pPr>
    </w:p>
    <w:p w14:paraId="1F4A04E1" w14:textId="0E43D3D7" w:rsidR="00FD23BF" w:rsidRDefault="00FD23BF" w:rsidP="00AE3107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r w:rsidRPr="00386B12">
        <w:rPr>
          <w:rFonts w:ascii="Times New Roman" w:hAnsi="Times New Roman" w:cs="Times New Roman"/>
          <w:sz w:val="22"/>
        </w:rPr>
        <w:t xml:space="preserve">Para </w:t>
      </w:r>
      <w:r w:rsidR="00D748AF">
        <w:rPr>
          <w:rFonts w:ascii="Times New Roman" w:hAnsi="Times New Roman" w:cs="Times New Roman"/>
          <w:sz w:val="22"/>
        </w:rPr>
        <w:t>los regí</w:t>
      </w:r>
      <w:r w:rsidRPr="00386B12">
        <w:rPr>
          <w:rFonts w:ascii="Times New Roman" w:hAnsi="Times New Roman" w:cs="Times New Roman"/>
          <w:sz w:val="22"/>
        </w:rPr>
        <w:t>m</w:t>
      </w:r>
      <w:r w:rsidR="00D748AF">
        <w:rPr>
          <w:rFonts w:ascii="Times New Roman" w:hAnsi="Times New Roman" w:cs="Times New Roman"/>
          <w:sz w:val="22"/>
        </w:rPr>
        <w:t>enes</w:t>
      </w:r>
      <w:r w:rsidRPr="00386B12">
        <w:rPr>
          <w:rFonts w:ascii="Times New Roman" w:hAnsi="Times New Roman" w:cs="Times New Roman"/>
          <w:sz w:val="22"/>
        </w:rPr>
        <w:t xml:space="preserve"> básicos, la composición de la </w:t>
      </w:r>
      <w:r w:rsidR="004052EE" w:rsidRPr="00386B12">
        <w:rPr>
          <w:rFonts w:ascii="Times New Roman" w:hAnsi="Times New Roman" w:cs="Times New Roman"/>
          <w:sz w:val="22"/>
        </w:rPr>
        <w:t>cartera se</w:t>
      </w:r>
      <w:r w:rsidRPr="00386B12">
        <w:rPr>
          <w:rFonts w:ascii="Times New Roman" w:hAnsi="Times New Roman" w:cs="Times New Roman"/>
          <w:sz w:val="22"/>
        </w:rPr>
        <w:t xml:space="preserve"> encuentra concentrada prácticamente </w:t>
      </w:r>
      <w:r w:rsidR="00DF3BE5">
        <w:rPr>
          <w:rFonts w:ascii="Times New Roman" w:hAnsi="Times New Roman" w:cs="Times New Roman"/>
          <w:sz w:val="22"/>
        </w:rPr>
        <w:t>en sector público: BCCR</w:t>
      </w:r>
      <w:r w:rsidRPr="00386B12">
        <w:rPr>
          <w:rFonts w:ascii="Times New Roman" w:hAnsi="Times New Roman" w:cs="Times New Roman"/>
          <w:sz w:val="22"/>
        </w:rPr>
        <w:t>, Ministerio de Hacienda y en entidades de tipo público (financieras o no).</w:t>
      </w:r>
    </w:p>
    <w:p w14:paraId="5B22A683" w14:textId="77777777" w:rsidR="00D257EB" w:rsidRPr="00386B12" w:rsidRDefault="00D257EB" w:rsidP="00AE3107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2"/>
        </w:rPr>
      </w:pPr>
    </w:p>
    <w:p w14:paraId="600A67B2" w14:textId="77777777" w:rsidR="000F7997" w:rsidRPr="00386B12" w:rsidRDefault="000F7997" w:rsidP="00AE3107">
      <w:pPr>
        <w:pStyle w:val="Prrafodelista"/>
        <w:spacing w:after="0"/>
        <w:ind w:left="0"/>
        <w:jc w:val="center"/>
        <w:rPr>
          <w:rFonts w:ascii="Times New Roman" w:hAnsi="Times New Roman" w:cs="Times New Roman"/>
          <w:b/>
          <w:sz w:val="22"/>
        </w:rPr>
      </w:pPr>
      <w:r w:rsidRPr="00386B12">
        <w:rPr>
          <w:rFonts w:ascii="Times New Roman" w:hAnsi="Times New Roman" w:cs="Times New Roman"/>
          <w:b/>
          <w:sz w:val="22"/>
        </w:rPr>
        <w:t>Gráfico 2</w:t>
      </w:r>
    </w:p>
    <w:p w14:paraId="0A390A1F" w14:textId="0E3BF0EB" w:rsidR="000F7997" w:rsidRPr="00386B12" w:rsidRDefault="000F7997" w:rsidP="00AE3107">
      <w:pPr>
        <w:tabs>
          <w:tab w:val="left" w:pos="1056"/>
        </w:tabs>
        <w:spacing w:after="0"/>
        <w:jc w:val="center"/>
        <w:rPr>
          <w:rFonts w:ascii="Times New Roman" w:hAnsi="Times New Roman" w:cs="Times New Roman"/>
          <w:b/>
        </w:rPr>
      </w:pPr>
      <w:r w:rsidRPr="00386B12">
        <w:rPr>
          <w:rFonts w:ascii="Times New Roman" w:hAnsi="Times New Roman" w:cs="Times New Roman"/>
          <w:b/>
        </w:rPr>
        <w:t>Regímenes Básico, Inversiones por sector</w:t>
      </w:r>
    </w:p>
    <w:p w14:paraId="4A544E3B" w14:textId="4115F1A6" w:rsidR="00FD23BF" w:rsidRPr="00386B12" w:rsidRDefault="000F7997" w:rsidP="00AE3107">
      <w:pPr>
        <w:tabs>
          <w:tab w:val="left" w:pos="1056"/>
        </w:tabs>
        <w:spacing w:after="0"/>
        <w:jc w:val="center"/>
        <w:rPr>
          <w:rFonts w:ascii="Times New Roman" w:hAnsi="Times New Roman" w:cs="Times New Roman"/>
          <w:b/>
        </w:rPr>
      </w:pPr>
      <w:r w:rsidRPr="00386B12">
        <w:rPr>
          <w:rFonts w:ascii="Times New Roman" w:hAnsi="Times New Roman" w:cs="Times New Roman"/>
          <w:b/>
        </w:rPr>
        <w:t>(billones de colones)</w:t>
      </w:r>
    </w:p>
    <w:p w14:paraId="6699E203" w14:textId="5D6387DC" w:rsidR="00A357E7" w:rsidRPr="009B09B5" w:rsidRDefault="00273057" w:rsidP="00AE3107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3D630B3" wp14:editId="06754607">
            <wp:extent cx="5979381" cy="2658162"/>
            <wp:effectExtent l="0" t="0" r="254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04803" cy="271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DC86C" w14:textId="5C0C385C" w:rsidR="00A357E7" w:rsidRDefault="00A357E7" w:rsidP="00AE3107">
      <w:pPr>
        <w:spacing w:after="0"/>
        <w:rPr>
          <w:rFonts w:ascii="Times New Roman" w:hAnsi="Times New Roman" w:cs="Times New Roman"/>
        </w:rPr>
      </w:pPr>
    </w:p>
    <w:p w14:paraId="5BDAF5A4" w14:textId="7A0E74B5" w:rsidR="00D257EB" w:rsidRDefault="00D257EB" w:rsidP="00AE3107">
      <w:pPr>
        <w:spacing w:after="0"/>
        <w:rPr>
          <w:rFonts w:ascii="Times New Roman" w:hAnsi="Times New Roman" w:cs="Times New Roman"/>
        </w:rPr>
      </w:pPr>
    </w:p>
    <w:p w14:paraId="17A045AF" w14:textId="7A9DFCD9" w:rsidR="00D257EB" w:rsidRDefault="00D257EB" w:rsidP="00AE3107">
      <w:pPr>
        <w:spacing w:after="0"/>
        <w:rPr>
          <w:rFonts w:ascii="Times New Roman" w:hAnsi="Times New Roman" w:cs="Times New Roman"/>
        </w:rPr>
      </w:pPr>
    </w:p>
    <w:p w14:paraId="19FA0C77" w14:textId="77777777" w:rsidR="00D257EB" w:rsidRPr="009B09B5" w:rsidRDefault="00D257EB" w:rsidP="00AE3107">
      <w:pPr>
        <w:spacing w:after="0"/>
        <w:rPr>
          <w:rFonts w:ascii="Times New Roman" w:hAnsi="Times New Roman" w:cs="Times New Roman"/>
        </w:rPr>
      </w:pPr>
    </w:p>
    <w:p w14:paraId="6F163FA3" w14:textId="236EB80F" w:rsidR="00BA06A6" w:rsidRPr="009B09B5" w:rsidRDefault="00FD23BF" w:rsidP="00AE3107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r w:rsidRPr="009B09B5">
        <w:rPr>
          <w:rFonts w:ascii="Times New Roman" w:hAnsi="Times New Roman" w:cs="Times New Roman"/>
          <w:sz w:val="22"/>
        </w:rPr>
        <w:lastRenderedPageBreak/>
        <w:t>En el caso de</w:t>
      </w:r>
      <w:r w:rsidR="006967D8" w:rsidRPr="009B09B5">
        <w:rPr>
          <w:rFonts w:ascii="Times New Roman" w:hAnsi="Times New Roman" w:cs="Times New Roman"/>
          <w:sz w:val="22"/>
        </w:rPr>
        <w:t xml:space="preserve"> fondos colectivos</w:t>
      </w:r>
      <w:r w:rsidRPr="009B09B5">
        <w:rPr>
          <w:rFonts w:ascii="Times New Roman" w:hAnsi="Times New Roman" w:cs="Times New Roman"/>
          <w:sz w:val="22"/>
        </w:rPr>
        <w:t xml:space="preserve"> </w:t>
      </w:r>
      <w:r w:rsidR="00B45E05">
        <w:rPr>
          <w:rFonts w:ascii="Times New Roman" w:hAnsi="Times New Roman" w:cs="Times New Roman"/>
          <w:sz w:val="22"/>
        </w:rPr>
        <w:t>ocupacionales c</w:t>
      </w:r>
      <w:r w:rsidR="006967D8" w:rsidRPr="009B09B5">
        <w:rPr>
          <w:rFonts w:ascii="Times New Roman" w:hAnsi="Times New Roman" w:cs="Times New Roman"/>
          <w:sz w:val="22"/>
        </w:rPr>
        <w:t>omplementarios y el Fondo de Capitalización Laboral muestran una composición más</w:t>
      </w:r>
      <w:r w:rsidR="00D748AF">
        <w:rPr>
          <w:rFonts w:ascii="Times New Roman" w:hAnsi="Times New Roman" w:cs="Times New Roman"/>
          <w:sz w:val="22"/>
        </w:rPr>
        <w:t xml:space="preserve"> parecida (a nivel de sector) a</w:t>
      </w:r>
      <w:r w:rsidR="006967D8" w:rsidRPr="009B09B5">
        <w:rPr>
          <w:rFonts w:ascii="Times New Roman" w:hAnsi="Times New Roman" w:cs="Times New Roman"/>
          <w:sz w:val="22"/>
        </w:rPr>
        <w:t xml:space="preserve"> la del </w:t>
      </w:r>
      <w:r w:rsidR="00D748AF">
        <w:rPr>
          <w:rFonts w:ascii="Times New Roman" w:hAnsi="Times New Roman" w:cs="Times New Roman"/>
          <w:sz w:val="22"/>
        </w:rPr>
        <w:t>ROP</w:t>
      </w:r>
      <w:r w:rsidR="006967D8" w:rsidRPr="009B09B5">
        <w:rPr>
          <w:rFonts w:ascii="Times New Roman" w:hAnsi="Times New Roman" w:cs="Times New Roman"/>
          <w:sz w:val="22"/>
        </w:rPr>
        <w:t xml:space="preserve">. </w:t>
      </w:r>
    </w:p>
    <w:p w14:paraId="716DEF53" w14:textId="74340BC0" w:rsidR="00BA06A6" w:rsidRPr="009B09B5" w:rsidRDefault="00BA06A6" w:rsidP="00AE3107">
      <w:pPr>
        <w:spacing w:after="0"/>
        <w:rPr>
          <w:rFonts w:ascii="Times New Roman" w:hAnsi="Times New Roman" w:cs="Times New Roman"/>
        </w:rPr>
      </w:pPr>
    </w:p>
    <w:p w14:paraId="4FC6EDFD" w14:textId="0BE7BC9F" w:rsidR="00F702C8" w:rsidRPr="003364C2" w:rsidRDefault="003563A2" w:rsidP="00AE3107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lang w:val="es-CR"/>
        </w:rPr>
      </w:pPr>
      <w:r w:rsidRPr="009B09B5">
        <w:rPr>
          <w:rFonts w:ascii="Times New Roman" w:hAnsi="Times New Roman" w:cs="Times New Roman"/>
          <w:sz w:val="22"/>
          <w:lang w:val="es-CR"/>
        </w:rPr>
        <w:t>El</w:t>
      </w:r>
      <w:r w:rsidR="00BA06A6" w:rsidRPr="009B09B5">
        <w:rPr>
          <w:rFonts w:ascii="Times New Roman" w:hAnsi="Times New Roman" w:cs="Times New Roman"/>
          <w:sz w:val="22"/>
          <w:lang w:val="es-CR"/>
        </w:rPr>
        <w:t xml:space="preserve"> </w:t>
      </w:r>
      <w:r w:rsidR="00BA06A6" w:rsidRPr="009B09B5">
        <w:rPr>
          <w:rFonts w:ascii="Times New Roman" w:hAnsi="Times New Roman" w:cs="Times New Roman"/>
          <w:sz w:val="22"/>
        </w:rPr>
        <w:t>Ministerio</w:t>
      </w:r>
      <w:r w:rsidR="00D8692A">
        <w:rPr>
          <w:rFonts w:ascii="Times New Roman" w:hAnsi="Times New Roman" w:cs="Times New Roman"/>
          <w:sz w:val="22"/>
          <w:lang w:val="es-CR"/>
        </w:rPr>
        <w:t xml:space="preserve"> de Hacienda es </w:t>
      </w:r>
      <w:r w:rsidR="00141888" w:rsidRPr="009B09B5">
        <w:rPr>
          <w:rFonts w:ascii="Times New Roman" w:hAnsi="Times New Roman" w:cs="Times New Roman"/>
          <w:sz w:val="22"/>
          <w:lang w:val="es-CR"/>
        </w:rPr>
        <w:t>el emisor más importante de las carteras de inversión</w:t>
      </w:r>
      <w:r w:rsidR="00BA06A6" w:rsidRPr="009B09B5">
        <w:rPr>
          <w:rFonts w:ascii="Times New Roman" w:hAnsi="Times New Roman" w:cs="Times New Roman"/>
          <w:sz w:val="22"/>
          <w:lang w:val="es-CR"/>
        </w:rPr>
        <w:t xml:space="preserve">, </w:t>
      </w:r>
      <w:r w:rsidR="00B544A7" w:rsidRPr="009B09B5">
        <w:rPr>
          <w:rFonts w:ascii="Times New Roman" w:hAnsi="Times New Roman" w:cs="Times New Roman"/>
          <w:sz w:val="22"/>
          <w:lang w:val="es-CR"/>
        </w:rPr>
        <w:t xml:space="preserve">junto con el Banco </w:t>
      </w:r>
      <w:r w:rsidR="00B544A7" w:rsidRPr="009B09B5">
        <w:rPr>
          <w:rFonts w:ascii="Times New Roman" w:hAnsi="Times New Roman" w:cs="Times New Roman"/>
          <w:sz w:val="22"/>
        </w:rPr>
        <w:t>Central</w:t>
      </w:r>
      <w:r w:rsidR="00B544A7" w:rsidRPr="009B09B5">
        <w:rPr>
          <w:rFonts w:ascii="Times New Roman" w:hAnsi="Times New Roman" w:cs="Times New Roman"/>
          <w:sz w:val="22"/>
          <w:lang w:val="es-CR"/>
        </w:rPr>
        <w:t xml:space="preserve"> de Costa Ri</w:t>
      </w:r>
      <w:r w:rsidR="00D8692A">
        <w:rPr>
          <w:rFonts w:ascii="Times New Roman" w:hAnsi="Times New Roman" w:cs="Times New Roman"/>
          <w:sz w:val="22"/>
          <w:lang w:val="es-CR"/>
        </w:rPr>
        <w:t>ca. El</w:t>
      </w:r>
      <w:r w:rsidR="00B544A7" w:rsidRPr="009B09B5">
        <w:rPr>
          <w:rFonts w:ascii="Times New Roman" w:hAnsi="Times New Roman" w:cs="Times New Roman"/>
          <w:sz w:val="22"/>
          <w:lang w:val="es-CR"/>
        </w:rPr>
        <w:t xml:space="preserve"> promedio ponderado por activo administrado representó</w:t>
      </w:r>
      <w:r w:rsidR="00BA06A6" w:rsidRPr="009B09B5">
        <w:rPr>
          <w:rFonts w:ascii="Times New Roman" w:hAnsi="Times New Roman" w:cs="Times New Roman"/>
          <w:sz w:val="22"/>
          <w:lang w:val="es-CR"/>
        </w:rPr>
        <w:t xml:space="preserve"> </w:t>
      </w:r>
      <w:r w:rsidR="00D748AF">
        <w:rPr>
          <w:rFonts w:ascii="Times New Roman" w:hAnsi="Times New Roman" w:cs="Times New Roman"/>
          <w:sz w:val="22"/>
          <w:lang w:val="es-CR"/>
        </w:rPr>
        <w:t>63,</w:t>
      </w:r>
      <w:r w:rsidR="00D748AF" w:rsidRPr="00D748AF">
        <w:rPr>
          <w:rFonts w:ascii="Times New Roman" w:hAnsi="Times New Roman" w:cs="Times New Roman"/>
          <w:sz w:val="22"/>
          <w:lang w:val="es-CR"/>
        </w:rPr>
        <w:t>71</w:t>
      </w:r>
      <w:r w:rsidR="00BA06A6" w:rsidRPr="00D748AF">
        <w:rPr>
          <w:rFonts w:ascii="Times New Roman" w:hAnsi="Times New Roman" w:cs="Times New Roman"/>
          <w:sz w:val="22"/>
          <w:lang w:val="es-CR"/>
        </w:rPr>
        <w:t>%</w:t>
      </w:r>
      <w:r w:rsidR="00BA06A6" w:rsidRPr="009B09B5">
        <w:rPr>
          <w:rFonts w:ascii="Times New Roman" w:hAnsi="Times New Roman" w:cs="Times New Roman"/>
          <w:sz w:val="22"/>
          <w:lang w:val="es-CR"/>
        </w:rPr>
        <w:t xml:space="preserve"> de la cartera. </w:t>
      </w:r>
      <w:r w:rsidR="00B544A7" w:rsidRPr="009B09B5">
        <w:rPr>
          <w:rFonts w:ascii="Times New Roman" w:hAnsi="Times New Roman" w:cs="Times New Roman"/>
          <w:sz w:val="22"/>
          <w:lang w:val="es-CR"/>
        </w:rPr>
        <w:t xml:space="preserve">De acuerdo con el Gráfico </w:t>
      </w:r>
      <w:r w:rsidR="00D8692A">
        <w:rPr>
          <w:rFonts w:ascii="Times New Roman" w:hAnsi="Times New Roman" w:cs="Times New Roman"/>
          <w:sz w:val="22"/>
          <w:lang w:val="es-CR"/>
        </w:rPr>
        <w:t>2</w:t>
      </w:r>
      <w:r w:rsidR="00B544A7" w:rsidRPr="009B09B5">
        <w:rPr>
          <w:rFonts w:ascii="Times New Roman" w:hAnsi="Times New Roman" w:cs="Times New Roman"/>
          <w:sz w:val="22"/>
          <w:lang w:val="es-CR"/>
        </w:rPr>
        <w:t xml:space="preserve"> se observan importantes vencimientos entre</w:t>
      </w:r>
      <w:r w:rsidR="0085283D" w:rsidRPr="009B09B5">
        <w:rPr>
          <w:rFonts w:ascii="Times New Roman" w:hAnsi="Times New Roman" w:cs="Times New Roman"/>
          <w:sz w:val="22"/>
          <w:lang w:val="es-CR"/>
        </w:rPr>
        <w:t xml:space="preserve"> el 2020 </w:t>
      </w:r>
      <w:r w:rsidR="00B544A7" w:rsidRPr="009B09B5">
        <w:rPr>
          <w:rFonts w:ascii="Times New Roman" w:hAnsi="Times New Roman" w:cs="Times New Roman"/>
          <w:sz w:val="22"/>
          <w:lang w:val="es-CR"/>
        </w:rPr>
        <w:t>y</w:t>
      </w:r>
      <w:r w:rsidR="0085283D" w:rsidRPr="009B09B5">
        <w:rPr>
          <w:rFonts w:ascii="Times New Roman" w:hAnsi="Times New Roman" w:cs="Times New Roman"/>
          <w:sz w:val="22"/>
          <w:lang w:val="es-CR"/>
        </w:rPr>
        <w:t xml:space="preserve"> el 2027. </w:t>
      </w:r>
      <w:r w:rsidR="00602D30" w:rsidRPr="009B09B5">
        <w:rPr>
          <w:rFonts w:ascii="Times New Roman" w:hAnsi="Times New Roman" w:cs="Times New Roman"/>
          <w:noProof/>
          <w:sz w:val="22"/>
        </w:rPr>
        <w:t xml:space="preserve"> </w:t>
      </w:r>
    </w:p>
    <w:p w14:paraId="22074EE8" w14:textId="72129A76" w:rsidR="003A61B5" w:rsidRPr="009B09B5" w:rsidRDefault="003A61B5" w:rsidP="00AE3107">
      <w:pPr>
        <w:spacing w:after="0"/>
        <w:rPr>
          <w:rFonts w:ascii="Times New Roman" w:hAnsi="Times New Roman" w:cs="Times New Roman"/>
          <w:b/>
          <w:color w:val="00B050"/>
        </w:rPr>
      </w:pPr>
    </w:p>
    <w:p w14:paraId="064E1712" w14:textId="06D12F11" w:rsidR="003A61B5" w:rsidRPr="00386B12" w:rsidRDefault="003A61B5" w:rsidP="00AE3107">
      <w:pPr>
        <w:spacing w:after="0"/>
        <w:jc w:val="center"/>
        <w:rPr>
          <w:rFonts w:ascii="Times New Roman" w:hAnsi="Times New Roman" w:cs="Times New Roman"/>
          <w:b/>
        </w:rPr>
      </w:pPr>
      <w:r w:rsidRPr="00386B12">
        <w:rPr>
          <w:rFonts w:ascii="Times New Roman" w:hAnsi="Times New Roman" w:cs="Times New Roman"/>
          <w:b/>
        </w:rPr>
        <w:t>Gráfico 3</w:t>
      </w:r>
    </w:p>
    <w:p w14:paraId="7CD7D29F" w14:textId="569B4946" w:rsidR="003A61B5" w:rsidRPr="00386B12" w:rsidRDefault="003A61B5" w:rsidP="00AE3107">
      <w:pPr>
        <w:pStyle w:val="Prrafodelista"/>
        <w:tabs>
          <w:tab w:val="left" w:pos="1056"/>
        </w:tabs>
        <w:spacing w:after="0"/>
        <w:ind w:left="0"/>
        <w:jc w:val="center"/>
        <w:rPr>
          <w:rFonts w:ascii="Times New Roman" w:hAnsi="Times New Roman" w:cs="Times New Roman"/>
          <w:b/>
          <w:sz w:val="22"/>
        </w:rPr>
      </w:pPr>
      <w:r w:rsidRPr="00386B12">
        <w:rPr>
          <w:rFonts w:ascii="Times New Roman" w:hAnsi="Times New Roman" w:cs="Times New Roman"/>
          <w:b/>
          <w:sz w:val="22"/>
        </w:rPr>
        <w:t xml:space="preserve"> Inversiones por sector según tipo de fondos</w:t>
      </w:r>
    </w:p>
    <w:p w14:paraId="44AE8A02" w14:textId="3A398AF8" w:rsidR="0085283D" w:rsidRPr="009B09B5" w:rsidRDefault="003A61B5" w:rsidP="00AE3107">
      <w:pPr>
        <w:tabs>
          <w:tab w:val="left" w:pos="1056"/>
        </w:tabs>
        <w:spacing w:after="0"/>
        <w:jc w:val="center"/>
        <w:rPr>
          <w:rFonts w:ascii="Times New Roman" w:hAnsi="Times New Roman" w:cs="Times New Roman"/>
          <w:lang w:val="es-CR"/>
        </w:rPr>
      </w:pPr>
      <w:r w:rsidRPr="00386B12">
        <w:rPr>
          <w:rFonts w:ascii="Times New Roman" w:hAnsi="Times New Roman" w:cs="Times New Roman"/>
          <w:b/>
        </w:rPr>
        <w:t>(porcentaje)</w:t>
      </w:r>
    </w:p>
    <w:p w14:paraId="522FBB5D" w14:textId="4C951958" w:rsidR="004052EE" w:rsidRDefault="004052EE" w:rsidP="00AE3107">
      <w:pPr>
        <w:spacing w:after="0"/>
        <w:jc w:val="both"/>
        <w:rPr>
          <w:rFonts w:ascii="Times New Roman" w:hAnsi="Times New Roman" w:cs="Times New Roman"/>
          <w:lang w:val="es-CR"/>
        </w:rPr>
      </w:pPr>
    </w:p>
    <w:p w14:paraId="0EFA293A" w14:textId="6C2E19D3" w:rsidR="00D257EB" w:rsidRPr="009B09B5" w:rsidRDefault="00D257EB" w:rsidP="00AE3107">
      <w:pPr>
        <w:spacing w:after="0"/>
        <w:jc w:val="center"/>
        <w:rPr>
          <w:rFonts w:ascii="Times New Roman" w:hAnsi="Times New Roman" w:cs="Times New Roman"/>
          <w:lang w:val="es-CR"/>
        </w:rPr>
      </w:pPr>
      <w:r w:rsidRPr="005271AC">
        <w:rPr>
          <w:rFonts w:ascii="Times New Roman" w:hAnsi="Times New Roman" w:cs="Times New Roman"/>
          <w:noProof/>
        </w:rPr>
        <w:drawing>
          <wp:inline distT="0" distB="0" distL="0" distR="0" wp14:anchorId="3FA1AEFC" wp14:editId="38C2D2CA">
            <wp:extent cx="5155409" cy="3625795"/>
            <wp:effectExtent l="0" t="0" r="7620" b="0"/>
            <wp:docPr id="3" name="Marcador de contenido 8">
              <a:extLst xmlns:a="http://schemas.openxmlformats.org/drawingml/2006/main">
                <a:ext uri="{FF2B5EF4-FFF2-40B4-BE49-F238E27FC236}">
                  <a16:creationId xmlns:a16="http://schemas.microsoft.com/office/drawing/2014/main" id="{6FFC7ED4-1235-43A9-9490-77DA4433C5D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rcador de contenido 8">
                      <a:extLst>
                        <a:ext uri="{FF2B5EF4-FFF2-40B4-BE49-F238E27FC236}">
                          <a16:creationId xmlns:a16="http://schemas.microsoft.com/office/drawing/2014/main" id="{6FFC7ED4-1235-43A9-9490-77DA4433C5D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26643" cy="367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2A21A" w14:textId="2505C795" w:rsidR="004052EE" w:rsidRDefault="004052EE" w:rsidP="00AE3107">
      <w:pPr>
        <w:pStyle w:val="Ttulo1"/>
        <w:rPr>
          <w:rFonts w:ascii="Times New Roman" w:hAnsi="Times New Roman" w:cs="Times New Roman"/>
          <w:sz w:val="22"/>
        </w:rPr>
      </w:pPr>
    </w:p>
    <w:p w14:paraId="69C6724C" w14:textId="77777777" w:rsidR="006F3DBC" w:rsidRPr="006F3DBC" w:rsidRDefault="006F3DBC" w:rsidP="00AE3107"/>
    <w:p w14:paraId="0B934844" w14:textId="5DD6BDB5" w:rsidR="00AA7E36" w:rsidRDefault="00DD7A0D" w:rsidP="00AE3107">
      <w:pPr>
        <w:pStyle w:val="Ttulo1"/>
      </w:pPr>
      <w:bookmarkStart w:id="21" w:name="_Toc526840855"/>
      <w:r w:rsidRPr="009B09B5">
        <w:t xml:space="preserve">Comparación de carteras </w:t>
      </w:r>
      <w:r w:rsidRPr="00AA7E36">
        <w:t>por</w:t>
      </w:r>
      <w:r w:rsidRPr="009B09B5">
        <w:t xml:space="preserve"> entidad y año</w:t>
      </w:r>
      <w:bookmarkEnd w:id="21"/>
    </w:p>
    <w:p w14:paraId="40E74A32" w14:textId="77777777" w:rsidR="00DD7A0D" w:rsidRPr="009B09B5" w:rsidRDefault="00DD7A0D" w:rsidP="00AE3107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09B2D831" w14:textId="0FF2CFEE" w:rsidR="00DF3BE5" w:rsidRDefault="00DD7A0D" w:rsidP="00AE3107">
      <w:pPr>
        <w:pStyle w:val="Ttulo2"/>
        <w:spacing w:before="0"/>
      </w:pPr>
      <w:bookmarkStart w:id="22" w:name="_Toc520126664"/>
      <w:bookmarkStart w:id="23" w:name="_Toc526840856"/>
      <w:r w:rsidRPr="009B09B5">
        <w:t xml:space="preserve">Evaluación de la </w:t>
      </w:r>
      <w:r w:rsidRPr="00AA7E36">
        <w:t>situación</w:t>
      </w:r>
      <w:bookmarkEnd w:id="22"/>
      <w:bookmarkEnd w:id="23"/>
    </w:p>
    <w:p w14:paraId="711F8AB7" w14:textId="77777777" w:rsidR="006F3DBC" w:rsidRPr="006F3DBC" w:rsidRDefault="006F3DBC" w:rsidP="00AE3107">
      <w:pPr>
        <w:spacing w:after="0"/>
      </w:pPr>
    </w:p>
    <w:p w14:paraId="62323BC0" w14:textId="2869E427" w:rsidR="00DD7A0D" w:rsidRPr="009B09B5" w:rsidRDefault="00DD7A0D" w:rsidP="00AE3107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2"/>
        </w:rPr>
      </w:pPr>
      <w:r w:rsidRPr="009B09B5">
        <w:rPr>
          <w:rFonts w:ascii="Times New Roman" w:hAnsi="Times New Roman" w:cs="Times New Roman"/>
          <w:iCs/>
          <w:sz w:val="22"/>
        </w:rPr>
        <w:t xml:space="preserve">Mediante el uso de </w:t>
      </w:r>
      <w:r w:rsidR="00D748AF">
        <w:rPr>
          <w:rFonts w:ascii="Times New Roman" w:hAnsi="Times New Roman" w:cs="Times New Roman"/>
          <w:iCs/>
          <w:sz w:val="22"/>
        </w:rPr>
        <w:t xml:space="preserve">agrupamientos </w:t>
      </w:r>
      <w:r w:rsidRPr="009B09B5">
        <w:rPr>
          <w:rFonts w:ascii="Times New Roman" w:hAnsi="Times New Roman" w:cs="Times New Roman"/>
          <w:iCs/>
          <w:sz w:val="22"/>
        </w:rPr>
        <w:t xml:space="preserve">se </w:t>
      </w:r>
      <w:r w:rsidR="00C4476B">
        <w:rPr>
          <w:rFonts w:ascii="Times New Roman" w:hAnsi="Times New Roman" w:cs="Times New Roman"/>
          <w:iCs/>
          <w:sz w:val="22"/>
        </w:rPr>
        <w:t>realiza</w:t>
      </w:r>
      <w:r w:rsidRPr="009B09B5">
        <w:rPr>
          <w:rFonts w:ascii="Times New Roman" w:hAnsi="Times New Roman" w:cs="Times New Roman"/>
          <w:iCs/>
          <w:sz w:val="22"/>
        </w:rPr>
        <w:t xml:space="preserve"> una clasificación de los diferentes fondos obligatorios de pensiones (ROP), de acuerdo con determinada estrategia del manejo de activos (composición de cartera). Lo anterior para </w:t>
      </w:r>
      <w:r w:rsidR="00C64914">
        <w:rPr>
          <w:rFonts w:ascii="Times New Roman" w:hAnsi="Times New Roman" w:cs="Times New Roman"/>
          <w:iCs/>
          <w:sz w:val="22"/>
        </w:rPr>
        <w:t>describir las estrategias a través del tiempo y las rentabilidades que han obtenido, según variedad y cantidad de instrumentos,</w:t>
      </w:r>
      <w:r w:rsidR="0034409F">
        <w:rPr>
          <w:rFonts w:ascii="Times New Roman" w:hAnsi="Times New Roman" w:cs="Times New Roman"/>
          <w:iCs/>
          <w:sz w:val="22"/>
        </w:rPr>
        <w:t xml:space="preserve"> por </w:t>
      </w:r>
      <w:r w:rsidRPr="009B09B5">
        <w:rPr>
          <w:rFonts w:ascii="Times New Roman" w:hAnsi="Times New Roman" w:cs="Times New Roman"/>
          <w:iCs/>
          <w:sz w:val="22"/>
        </w:rPr>
        <w:t>sector, emi</w:t>
      </w:r>
      <w:r w:rsidR="0067695B">
        <w:rPr>
          <w:rFonts w:ascii="Times New Roman" w:hAnsi="Times New Roman" w:cs="Times New Roman"/>
          <w:iCs/>
          <w:sz w:val="22"/>
        </w:rPr>
        <w:t>sor, tipo, plazo al vencimiento</w:t>
      </w:r>
      <w:r w:rsidRPr="009B09B5">
        <w:rPr>
          <w:rFonts w:ascii="Times New Roman" w:hAnsi="Times New Roman" w:cs="Times New Roman"/>
          <w:iCs/>
          <w:sz w:val="22"/>
        </w:rPr>
        <w:t xml:space="preserve">.  </w:t>
      </w:r>
    </w:p>
    <w:p w14:paraId="3C2B29A4" w14:textId="42AAC311" w:rsidR="00DD7A0D" w:rsidRPr="009B09B5" w:rsidRDefault="0034409F" w:rsidP="00AE3107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2"/>
        </w:rPr>
      </w:pPr>
      <w:r>
        <w:rPr>
          <w:rFonts w:ascii="Times New Roman" w:hAnsi="Times New Roman" w:cs="Times New Roman"/>
          <w:iCs/>
          <w:sz w:val="22"/>
        </w:rPr>
        <w:t>Es importante</w:t>
      </w:r>
      <w:r w:rsidR="00DD7A0D" w:rsidRPr="009B09B5">
        <w:rPr>
          <w:rFonts w:ascii="Times New Roman" w:hAnsi="Times New Roman" w:cs="Times New Roman"/>
          <w:iCs/>
          <w:sz w:val="22"/>
        </w:rPr>
        <w:t xml:space="preserve"> señalar que </w:t>
      </w:r>
      <w:r>
        <w:rPr>
          <w:rFonts w:ascii="Times New Roman" w:hAnsi="Times New Roman" w:cs="Times New Roman"/>
          <w:iCs/>
          <w:sz w:val="22"/>
        </w:rPr>
        <w:t>se busca</w:t>
      </w:r>
      <w:r w:rsidR="00C64914">
        <w:rPr>
          <w:rFonts w:ascii="Times New Roman" w:hAnsi="Times New Roman" w:cs="Times New Roman"/>
          <w:iCs/>
          <w:sz w:val="22"/>
        </w:rPr>
        <w:t xml:space="preserve"> realizar agrupamientos en </w:t>
      </w:r>
      <w:r w:rsidR="00C823BE">
        <w:rPr>
          <w:rFonts w:ascii="Times New Roman" w:hAnsi="Times New Roman" w:cs="Times New Roman"/>
          <w:iCs/>
          <w:sz w:val="22"/>
        </w:rPr>
        <w:t xml:space="preserve">diferentes </w:t>
      </w:r>
      <w:r w:rsidR="00DD7A0D" w:rsidRPr="009B09B5">
        <w:rPr>
          <w:rFonts w:ascii="Times New Roman" w:hAnsi="Times New Roman" w:cs="Times New Roman"/>
          <w:iCs/>
          <w:sz w:val="22"/>
        </w:rPr>
        <w:t xml:space="preserve">periodos para </w:t>
      </w:r>
      <w:r w:rsidR="00C64914">
        <w:rPr>
          <w:rFonts w:ascii="Times New Roman" w:hAnsi="Times New Roman" w:cs="Times New Roman"/>
          <w:iCs/>
          <w:sz w:val="22"/>
        </w:rPr>
        <w:t>visualizar los momentos en que se diferencian.</w:t>
      </w:r>
    </w:p>
    <w:p w14:paraId="345CCEF6" w14:textId="0735ABA7" w:rsidR="00DD7A0D" w:rsidRPr="009B09B5" w:rsidRDefault="00DD7A0D" w:rsidP="00AE3107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2"/>
        </w:rPr>
      </w:pPr>
      <w:r w:rsidRPr="009B09B5">
        <w:rPr>
          <w:rFonts w:ascii="Times New Roman" w:hAnsi="Times New Roman" w:cs="Times New Roman"/>
          <w:iCs/>
          <w:sz w:val="22"/>
        </w:rPr>
        <w:t>Para realizar lo anterior</w:t>
      </w:r>
      <w:r w:rsidR="00C823BE">
        <w:rPr>
          <w:rFonts w:ascii="Times New Roman" w:hAnsi="Times New Roman" w:cs="Times New Roman"/>
          <w:iCs/>
          <w:sz w:val="22"/>
        </w:rPr>
        <w:t>,</w:t>
      </w:r>
      <w:r w:rsidRPr="009B09B5">
        <w:rPr>
          <w:rFonts w:ascii="Times New Roman" w:hAnsi="Times New Roman" w:cs="Times New Roman"/>
          <w:iCs/>
          <w:sz w:val="22"/>
        </w:rPr>
        <w:t xml:space="preserve"> s</w:t>
      </w:r>
      <w:r w:rsidR="00C823BE">
        <w:rPr>
          <w:rFonts w:ascii="Times New Roman" w:hAnsi="Times New Roman" w:cs="Times New Roman"/>
          <w:iCs/>
          <w:sz w:val="22"/>
        </w:rPr>
        <w:t>e cuenta</w:t>
      </w:r>
      <w:r w:rsidRPr="009B09B5">
        <w:rPr>
          <w:rFonts w:ascii="Times New Roman" w:hAnsi="Times New Roman" w:cs="Times New Roman"/>
          <w:iCs/>
          <w:sz w:val="22"/>
        </w:rPr>
        <w:t xml:space="preserve"> con datos disponibles desde el 2002</w:t>
      </w:r>
      <w:r w:rsidR="00C823BE">
        <w:rPr>
          <w:rFonts w:ascii="Times New Roman" w:hAnsi="Times New Roman" w:cs="Times New Roman"/>
          <w:iCs/>
          <w:sz w:val="22"/>
        </w:rPr>
        <w:t xml:space="preserve"> hasta diciembre</w:t>
      </w:r>
      <w:r w:rsidRPr="009B09B5">
        <w:rPr>
          <w:rFonts w:ascii="Times New Roman" w:hAnsi="Times New Roman" w:cs="Times New Roman"/>
          <w:iCs/>
          <w:sz w:val="22"/>
        </w:rPr>
        <w:t xml:space="preserve"> 2017. Adicionalmente utilizaría datos de rentabilidades de los fondos para una vez agrupados.</w:t>
      </w:r>
    </w:p>
    <w:p w14:paraId="0D7542B2" w14:textId="1FDB6D98" w:rsidR="00FA015C" w:rsidRPr="009B09B5" w:rsidRDefault="00FA015C" w:rsidP="00AE3107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2FCA1B81" w14:textId="4CDB2DD8" w:rsidR="00FA015C" w:rsidRPr="009B09B5" w:rsidRDefault="00FA015C" w:rsidP="00AE3107">
      <w:pPr>
        <w:spacing w:after="0"/>
        <w:jc w:val="both"/>
        <w:rPr>
          <w:rFonts w:ascii="Times New Roman" w:hAnsi="Times New Roman" w:cs="Times New Roman"/>
          <w:lang w:val="es-CR"/>
        </w:rPr>
      </w:pPr>
      <w:r w:rsidRPr="009B09B5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AC9B0E8" wp14:editId="35F3DFE9">
            <wp:extent cx="5367130" cy="4025651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72539" cy="402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0116E" w14:textId="63EC466F" w:rsidR="00FA015C" w:rsidRPr="00C32CD1" w:rsidRDefault="00FA015C" w:rsidP="00AE3107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2"/>
        </w:rPr>
      </w:pPr>
    </w:p>
    <w:tbl>
      <w:tblPr>
        <w:tblW w:w="3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320"/>
      </w:tblGrid>
      <w:tr w:rsidR="005E1B2B" w:rsidRPr="005E1B2B" w14:paraId="268F2F3D" w14:textId="77777777" w:rsidTr="005E1B2B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F27F01" w14:textId="77777777" w:rsidR="005E1B2B" w:rsidRPr="005E1B2B" w:rsidRDefault="005E1B2B" w:rsidP="00AE3107">
            <w:pPr>
              <w:spacing w:after="0"/>
              <w:jc w:val="center"/>
              <w:rPr>
                <w:b/>
                <w:bCs/>
                <w:color w:val="000000"/>
                <w:sz w:val="18"/>
                <w:lang w:val="es-CR" w:eastAsia="es-CR"/>
              </w:rPr>
            </w:pPr>
            <w:r w:rsidRPr="005E1B2B">
              <w:rPr>
                <w:b/>
                <w:bCs/>
                <w:color w:val="000000"/>
                <w:sz w:val="18"/>
                <w:lang w:eastAsia="es-CR"/>
              </w:rPr>
              <w:t xml:space="preserve">Código 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FF132A" w14:textId="77777777" w:rsidR="005E1B2B" w:rsidRPr="005E1B2B" w:rsidRDefault="005E1B2B" w:rsidP="00AE3107">
            <w:pPr>
              <w:spacing w:after="0"/>
              <w:jc w:val="center"/>
              <w:rPr>
                <w:b/>
                <w:bCs/>
                <w:color w:val="000000"/>
                <w:sz w:val="18"/>
                <w:lang w:eastAsia="es-CR"/>
              </w:rPr>
            </w:pPr>
            <w:r w:rsidRPr="005E1B2B">
              <w:rPr>
                <w:b/>
                <w:bCs/>
                <w:color w:val="000000"/>
                <w:sz w:val="18"/>
                <w:lang w:eastAsia="es-CR"/>
              </w:rPr>
              <w:t>Entidad</w:t>
            </w:r>
          </w:p>
        </w:tc>
      </w:tr>
      <w:tr w:rsidR="005E1B2B" w:rsidRPr="005E1B2B" w14:paraId="07D5EF31" w14:textId="77777777" w:rsidTr="005E1B2B"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141019" w14:textId="77777777" w:rsidR="005E1B2B" w:rsidRPr="005E1B2B" w:rsidRDefault="005E1B2B" w:rsidP="00AE3107">
            <w:pPr>
              <w:spacing w:after="0"/>
              <w:jc w:val="center"/>
              <w:rPr>
                <w:color w:val="000000"/>
                <w:sz w:val="18"/>
                <w:lang w:eastAsia="es-CR"/>
              </w:rPr>
            </w:pPr>
            <w:r w:rsidRPr="005E1B2B">
              <w:rPr>
                <w:color w:val="000000"/>
                <w:sz w:val="18"/>
                <w:lang w:eastAsia="es-CR"/>
              </w:rPr>
              <w:t>A02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BA8039" w14:textId="790E0D4F" w:rsidR="005E1B2B" w:rsidRPr="005E1B2B" w:rsidRDefault="005E1B2B" w:rsidP="00AE3107">
            <w:pPr>
              <w:spacing w:after="0"/>
              <w:jc w:val="center"/>
              <w:rPr>
                <w:color w:val="000000"/>
                <w:sz w:val="18"/>
                <w:lang w:eastAsia="es-CR"/>
              </w:rPr>
            </w:pPr>
            <w:r w:rsidRPr="005E1B2B">
              <w:rPr>
                <w:color w:val="000000"/>
                <w:sz w:val="18"/>
                <w:lang w:eastAsia="es-CR"/>
              </w:rPr>
              <w:t>BN Vital</w:t>
            </w:r>
            <w:r w:rsidR="00137961">
              <w:rPr>
                <w:color w:val="000000"/>
                <w:sz w:val="18"/>
                <w:lang w:eastAsia="es-CR"/>
              </w:rPr>
              <w:t xml:space="preserve"> OPC</w:t>
            </w:r>
          </w:p>
        </w:tc>
      </w:tr>
      <w:tr w:rsidR="005E1B2B" w:rsidRPr="005E1B2B" w14:paraId="5BA08F20" w14:textId="77777777" w:rsidTr="005E1B2B"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45CE2B" w14:textId="77777777" w:rsidR="005E1B2B" w:rsidRPr="005E1B2B" w:rsidRDefault="005E1B2B" w:rsidP="00AE3107">
            <w:pPr>
              <w:spacing w:after="0"/>
              <w:jc w:val="center"/>
              <w:rPr>
                <w:color w:val="000000"/>
                <w:sz w:val="18"/>
                <w:lang w:eastAsia="es-CR"/>
              </w:rPr>
            </w:pPr>
            <w:r w:rsidRPr="005E1B2B">
              <w:rPr>
                <w:color w:val="000000"/>
                <w:sz w:val="18"/>
                <w:lang w:eastAsia="es-CR"/>
              </w:rPr>
              <w:t>A06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031745" w14:textId="2538DB99" w:rsidR="005E1B2B" w:rsidRPr="005E1B2B" w:rsidRDefault="005E1B2B" w:rsidP="00AE3107">
            <w:pPr>
              <w:spacing w:after="0"/>
              <w:jc w:val="center"/>
              <w:rPr>
                <w:color w:val="000000"/>
                <w:sz w:val="18"/>
                <w:lang w:eastAsia="es-CR"/>
              </w:rPr>
            </w:pPr>
            <w:r w:rsidRPr="005E1B2B">
              <w:rPr>
                <w:color w:val="000000"/>
                <w:sz w:val="18"/>
                <w:lang w:eastAsia="es-CR"/>
              </w:rPr>
              <w:t>Popular Pensiones</w:t>
            </w:r>
            <w:r w:rsidR="00137961">
              <w:rPr>
                <w:color w:val="000000"/>
                <w:sz w:val="18"/>
                <w:lang w:eastAsia="es-CR"/>
              </w:rPr>
              <w:t xml:space="preserve"> OPC</w:t>
            </w:r>
          </w:p>
        </w:tc>
      </w:tr>
      <w:tr w:rsidR="005E1B2B" w:rsidRPr="005E1B2B" w14:paraId="4BA6AFDA" w14:textId="77777777" w:rsidTr="005E1B2B"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9FAF65" w14:textId="77777777" w:rsidR="005E1B2B" w:rsidRPr="005E1B2B" w:rsidRDefault="005E1B2B" w:rsidP="00AE3107">
            <w:pPr>
              <w:spacing w:after="0"/>
              <w:jc w:val="center"/>
              <w:rPr>
                <w:color w:val="000000"/>
                <w:sz w:val="18"/>
                <w:lang w:eastAsia="es-CR"/>
              </w:rPr>
            </w:pPr>
            <w:r w:rsidRPr="005E1B2B">
              <w:rPr>
                <w:color w:val="000000"/>
                <w:sz w:val="18"/>
                <w:lang w:eastAsia="es-CR"/>
              </w:rPr>
              <w:t>A07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187754" w14:textId="1E3F7B1A" w:rsidR="005E1B2B" w:rsidRPr="005E1B2B" w:rsidRDefault="005E1B2B" w:rsidP="00AE3107">
            <w:pPr>
              <w:spacing w:after="0"/>
              <w:jc w:val="center"/>
              <w:rPr>
                <w:color w:val="000000"/>
                <w:sz w:val="18"/>
                <w:lang w:eastAsia="es-CR"/>
              </w:rPr>
            </w:pPr>
            <w:r w:rsidRPr="005E1B2B">
              <w:rPr>
                <w:color w:val="000000"/>
                <w:sz w:val="18"/>
                <w:lang w:eastAsia="es-CR"/>
              </w:rPr>
              <w:t>Vida Plena</w:t>
            </w:r>
            <w:r w:rsidR="00137961">
              <w:rPr>
                <w:color w:val="000000"/>
                <w:sz w:val="18"/>
                <w:lang w:eastAsia="es-CR"/>
              </w:rPr>
              <w:t xml:space="preserve"> OPC</w:t>
            </w:r>
          </w:p>
        </w:tc>
      </w:tr>
      <w:tr w:rsidR="005E1B2B" w:rsidRPr="005E1B2B" w14:paraId="4C31788B" w14:textId="77777777" w:rsidTr="005E1B2B"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B50BF8" w14:textId="77777777" w:rsidR="005E1B2B" w:rsidRPr="005E1B2B" w:rsidRDefault="005E1B2B" w:rsidP="00AE3107">
            <w:pPr>
              <w:spacing w:after="0"/>
              <w:jc w:val="center"/>
              <w:rPr>
                <w:color w:val="000000"/>
                <w:sz w:val="18"/>
                <w:lang w:eastAsia="es-CR"/>
              </w:rPr>
            </w:pPr>
            <w:r w:rsidRPr="005E1B2B">
              <w:rPr>
                <w:color w:val="000000"/>
                <w:sz w:val="18"/>
                <w:lang w:eastAsia="es-CR"/>
              </w:rPr>
              <w:t>A09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9917C3" w14:textId="77777777" w:rsidR="005E1B2B" w:rsidRPr="005E1B2B" w:rsidRDefault="005E1B2B" w:rsidP="00AE3107">
            <w:pPr>
              <w:spacing w:after="0"/>
              <w:jc w:val="center"/>
              <w:rPr>
                <w:color w:val="000000"/>
                <w:sz w:val="18"/>
                <w:lang w:eastAsia="es-CR"/>
              </w:rPr>
            </w:pPr>
            <w:r w:rsidRPr="005E1B2B">
              <w:rPr>
                <w:color w:val="000000"/>
                <w:sz w:val="18"/>
                <w:lang w:eastAsia="es-CR"/>
              </w:rPr>
              <w:t>Bac-San José Pensiones</w:t>
            </w:r>
          </w:p>
        </w:tc>
      </w:tr>
      <w:tr w:rsidR="005E1B2B" w:rsidRPr="005E1B2B" w14:paraId="5D77BD66" w14:textId="77777777" w:rsidTr="005E1B2B"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EA4B22" w14:textId="77777777" w:rsidR="005E1B2B" w:rsidRPr="005E1B2B" w:rsidRDefault="005E1B2B" w:rsidP="00AE3107">
            <w:pPr>
              <w:spacing w:after="0"/>
              <w:jc w:val="center"/>
              <w:rPr>
                <w:color w:val="000000"/>
                <w:sz w:val="18"/>
                <w:lang w:eastAsia="es-CR"/>
              </w:rPr>
            </w:pPr>
            <w:r w:rsidRPr="005E1B2B">
              <w:rPr>
                <w:color w:val="000000"/>
                <w:sz w:val="18"/>
                <w:lang w:eastAsia="es-CR"/>
              </w:rPr>
              <w:t>A10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511AA3" w14:textId="77777777" w:rsidR="005E1B2B" w:rsidRPr="005E1B2B" w:rsidRDefault="005E1B2B" w:rsidP="00AE3107">
            <w:pPr>
              <w:spacing w:after="0"/>
              <w:jc w:val="center"/>
              <w:rPr>
                <w:color w:val="000000"/>
                <w:sz w:val="18"/>
                <w:lang w:eastAsia="es-CR"/>
              </w:rPr>
            </w:pPr>
            <w:r w:rsidRPr="005E1B2B">
              <w:rPr>
                <w:color w:val="000000"/>
                <w:sz w:val="18"/>
                <w:lang w:eastAsia="es-CR"/>
              </w:rPr>
              <w:t>BCR-Pensión</w:t>
            </w:r>
          </w:p>
        </w:tc>
      </w:tr>
      <w:tr w:rsidR="005E1B2B" w:rsidRPr="005E1B2B" w14:paraId="1FEAF4A3" w14:textId="77777777" w:rsidTr="005E1B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A9D842" w14:textId="77777777" w:rsidR="005E1B2B" w:rsidRPr="005E1B2B" w:rsidRDefault="005E1B2B" w:rsidP="00AE3107">
            <w:pPr>
              <w:spacing w:after="0"/>
              <w:jc w:val="center"/>
              <w:rPr>
                <w:color w:val="000000"/>
                <w:sz w:val="18"/>
                <w:lang w:eastAsia="es-CR"/>
              </w:rPr>
            </w:pPr>
            <w:r w:rsidRPr="005E1B2B">
              <w:rPr>
                <w:color w:val="000000"/>
                <w:sz w:val="18"/>
                <w:lang w:eastAsia="es-CR"/>
              </w:rPr>
              <w:t>A11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DA2C86" w14:textId="77777777" w:rsidR="005E1B2B" w:rsidRPr="005E1B2B" w:rsidRDefault="005E1B2B" w:rsidP="00AE3107">
            <w:pPr>
              <w:spacing w:after="0"/>
              <w:jc w:val="center"/>
              <w:rPr>
                <w:color w:val="000000"/>
                <w:sz w:val="18"/>
                <w:lang w:eastAsia="es-CR"/>
              </w:rPr>
            </w:pPr>
            <w:r w:rsidRPr="005E1B2B">
              <w:rPr>
                <w:color w:val="000000"/>
                <w:sz w:val="18"/>
                <w:lang w:eastAsia="es-CR"/>
              </w:rPr>
              <w:t>CCSS-OPC</w:t>
            </w:r>
          </w:p>
        </w:tc>
      </w:tr>
    </w:tbl>
    <w:p w14:paraId="2B09203F" w14:textId="77777777" w:rsidR="00C32CD1" w:rsidRDefault="00C32CD1" w:rsidP="00AE3107">
      <w:pPr>
        <w:pStyle w:val="Ttulo3"/>
        <w:spacing w:before="0"/>
      </w:pPr>
    </w:p>
    <w:p w14:paraId="5CB88BFA" w14:textId="71D73204" w:rsidR="00137961" w:rsidRPr="00137961" w:rsidRDefault="00FA015C" w:rsidP="00AE3107">
      <w:pPr>
        <w:pStyle w:val="Ttulo3"/>
        <w:spacing w:before="0"/>
      </w:pPr>
      <w:bookmarkStart w:id="24" w:name="_Toc526840857"/>
      <w:r w:rsidRPr="009B09B5">
        <w:t xml:space="preserve">Explicación de lo </w:t>
      </w:r>
      <w:r w:rsidRPr="00AA7E36">
        <w:t>observado</w:t>
      </w:r>
      <w:bookmarkEnd w:id="24"/>
    </w:p>
    <w:p w14:paraId="4A825BC3" w14:textId="2EDEE0E5" w:rsidR="00FA015C" w:rsidRPr="009B09B5" w:rsidRDefault="00953E6C" w:rsidP="00AE3107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r w:rsidRPr="009B09B5">
        <w:rPr>
          <w:rFonts w:ascii="Times New Roman" w:hAnsi="Times New Roman" w:cs="Times New Roman"/>
          <w:sz w:val="22"/>
        </w:rPr>
        <w:t>Los</w:t>
      </w:r>
      <w:r w:rsidR="00FA015C" w:rsidRPr="009B09B5">
        <w:rPr>
          <w:rFonts w:ascii="Times New Roman" w:hAnsi="Times New Roman" w:cs="Times New Roman"/>
          <w:sz w:val="22"/>
        </w:rPr>
        <w:t xml:space="preserve"> agrupamientos </w:t>
      </w:r>
      <w:r w:rsidR="004145C3" w:rsidRPr="009B09B5">
        <w:rPr>
          <w:rFonts w:ascii="Times New Roman" w:hAnsi="Times New Roman" w:cs="Times New Roman"/>
          <w:sz w:val="22"/>
        </w:rPr>
        <w:t>muestran</w:t>
      </w:r>
      <w:r w:rsidR="00FA015C" w:rsidRPr="009B09B5">
        <w:rPr>
          <w:rFonts w:ascii="Times New Roman" w:hAnsi="Times New Roman" w:cs="Times New Roman"/>
          <w:sz w:val="22"/>
        </w:rPr>
        <w:t xml:space="preserve"> dos grupos, al menos durante la mayoría de los</w:t>
      </w:r>
      <w:r w:rsidR="00023625">
        <w:rPr>
          <w:rFonts w:ascii="Times New Roman" w:hAnsi="Times New Roman" w:cs="Times New Roman"/>
          <w:sz w:val="22"/>
        </w:rPr>
        <w:t xml:space="preserve"> períodos. Esto indic</w:t>
      </w:r>
      <w:r w:rsidR="00FA015C" w:rsidRPr="009B09B5">
        <w:rPr>
          <w:rFonts w:ascii="Times New Roman" w:hAnsi="Times New Roman" w:cs="Times New Roman"/>
          <w:sz w:val="22"/>
        </w:rPr>
        <w:t>a dos grupos con similitudes internas en sus estrategias de inversión (composición de cartera). El cambio en la</w:t>
      </w:r>
      <w:r w:rsidR="00023625">
        <w:rPr>
          <w:rFonts w:ascii="Times New Roman" w:hAnsi="Times New Roman" w:cs="Times New Roman"/>
          <w:sz w:val="22"/>
        </w:rPr>
        <w:t>s composicio</w:t>
      </w:r>
      <w:r w:rsidR="00FA015C" w:rsidRPr="009B09B5">
        <w:rPr>
          <w:rFonts w:ascii="Times New Roman" w:hAnsi="Times New Roman" w:cs="Times New Roman"/>
          <w:sz w:val="22"/>
        </w:rPr>
        <w:t>n</w:t>
      </w:r>
      <w:r w:rsidR="00023625">
        <w:rPr>
          <w:rFonts w:ascii="Times New Roman" w:hAnsi="Times New Roman" w:cs="Times New Roman"/>
          <w:sz w:val="22"/>
        </w:rPr>
        <w:t>es hace que</w:t>
      </w:r>
      <w:r w:rsidR="00FA015C" w:rsidRPr="009B09B5">
        <w:rPr>
          <w:rFonts w:ascii="Times New Roman" w:hAnsi="Times New Roman" w:cs="Times New Roman"/>
          <w:sz w:val="22"/>
        </w:rPr>
        <w:t xml:space="preserve"> las agrupaciones </w:t>
      </w:r>
      <w:r w:rsidR="00023625">
        <w:rPr>
          <w:rFonts w:ascii="Times New Roman" w:hAnsi="Times New Roman" w:cs="Times New Roman"/>
          <w:sz w:val="22"/>
        </w:rPr>
        <w:t>varíen</w:t>
      </w:r>
      <w:r w:rsidR="00FA015C" w:rsidRPr="009B09B5">
        <w:rPr>
          <w:rFonts w:ascii="Times New Roman" w:hAnsi="Times New Roman" w:cs="Times New Roman"/>
          <w:sz w:val="22"/>
        </w:rPr>
        <w:t xml:space="preserve"> lo largo del tiempo.</w:t>
      </w:r>
    </w:p>
    <w:p w14:paraId="06071279" w14:textId="77777777" w:rsidR="00FA015C" w:rsidRPr="009B09B5" w:rsidRDefault="00FA015C" w:rsidP="00AE3107">
      <w:pPr>
        <w:pStyle w:val="Ttulo3"/>
        <w:spacing w:before="0"/>
      </w:pPr>
    </w:p>
    <w:p w14:paraId="716F806A" w14:textId="4ADBC65A" w:rsidR="00137961" w:rsidRPr="00137961" w:rsidRDefault="00FA015C" w:rsidP="00AE3107">
      <w:pPr>
        <w:pStyle w:val="Ttulo3"/>
        <w:spacing w:before="0"/>
      </w:pPr>
      <w:bookmarkStart w:id="25" w:name="_Toc526840858"/>
      <w:r w:rsidRPr="00E75F65">
        <w:t xml:space="preserve">Fondos de las entidades </w:t>
      </w:r>
      <w:r w:rsidR="0041619C" w:rsidRPr="00E75F65">
        <w:t>Popular Pensiones OPC</w:t>
      </w:r>
      <w:r w:rsidR="007754A2" w:rsidRPr="00E75F65">
        <w:t xml:space="preserve"> </w:t>
      </w:r>
      <w:r w:rsidRPr="00E75F65">
        <w:t xml:space="preserve">y </w:t>
      </w:r>
      <w:r w:rsidR="00953E6C" w:rsidRPr="00E75F65">
        <w:t>CCSS-OPC</w:t>
      </w:r>
      <w:bookmarkEnd w:id="25"/>
      <w:r w:rsidRPr="00E75F65">
        <w:t xml:space="preserve"> </w:t>
      </w:r>
    </w:p>
    <w:p w14:paraId="6A477CAF" w14:textId="484D170E" w:rsidR="00FA015C" w:rsidRPr="00E75F65" w:rsidRDefault="00801639" w:rsidP="00AE3107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r w:rsidRPr="00E75F65">
        <w:rPr>
          <w:rFonts w:ascii="Times New Roman" w:hAnsi="Times New Roman" w:cs="Times New Roman"/>
          <w:sz w:val="22"/>
        </w:rPr>
        <w:t xml:space="preserve">En un clúster encontramos </w:t>
      </w:r>
      <w:r w:rsidR="00FA015C" w:rsidRPr="00E75F65">
        <w:rPr>
          <w:rFonts w:ascii="Times New Roman" w:hAnsi="Times New Roman" w:cs="Times New Roman"/>
          <w:sz w:val="22"/>
        </w:rPr>
        <w:t>los fondos</w:t>
      </w:r>
      <w:r w:rsidRPr="00E75F65">
        <w:rPr>
          <w:rFonts w:ascii="Times New Roman" w:hAnsi="Times New Roman" w:cs="Times New Roman"/>
          <w:sz w:val="22"/>
        </w:rPr>
        <w:t xml:space="preserve"> administrados por </w:t>
      </w:r>
      <w:r w:rsidR="0067695B" w:rsidRPr="00E75F65">
        <w:rPr>
          <w:rFonts w:ascii="Times New Roman" w:hAnsi="Times New Roman" w:cs="Times New Roman"/>
          <w:sz w:val="22"/>
        </w:rPr>
        <w:t>Popular Pensiones</w:t>
      </w:r>
      <w:r w:rsidR="001122AD" w:rsidRPr="00E75F65">
        <w:rPr>
          <w:rFonts w:ascii="Times New Roman" w:hAnsi="Times New Roman" w:cs="Times New Roman"/>
          <w:sz w:val="22"/>
        </w:rPr>
        <w:t xml:space="preserve"> </w:t>
      </w:r>
      <w:r w:rsidR="00FA015C" w:rsidRPr="00E75F65">
        <w:rPr>
          <w:rFonts w:ascii="Times New Roman" w:hAnsi="Times New Roman" w:cs="Times New Roman"/>
          <w:sz w:val="22"/>
        </w:rPr>
        <w:t xml:space="preserve">y </w:t>
      </w:r>
      <w:r w:rsidR="00953E6C" w:rsidRPr="00E75F65">
        <w:rPr>
          <w:rFonts w:ascii="Times New Roman" w:hAnsi="Times New Roman" w:cs="Times New Roman"/>
          <w:sz w:val="22"/>
        </w:rPr>
        <w:t>CCSS-OPC</w:t>
      </w:r>
      <w:r w:rsidR="00FA015C" w:rsidRPr="00E75F65">
        <w:rPr>
          <w:rFonts w:ascii="Times New Roman" w:hAnsi="Times New Roman" w:cs="Times New Roman"/>
          <w:sz w:val="22"/>
        </w:rPr>
        <w:t>.</w:t>
      </w:r>
      <w:r w:rsidRPr="00E75F65">
        <w:rPr>
          <w:rFonts w:ascii="Times New Roman" w:hAnsi="Times New Roman" w:cs="Times New Roman"/>
          <w:sz w:val="22"/>
        </w:rPr>
        <w:t xml:space="preserve"> A lo largo del tiempo el fondo gestionado por</w:t>
      </w:r>
      <w:r w:rsidR="00FA015C" w:rsidRPr="00E75F65">
        <w:rPr>
          <w:rFonts w:ascii="Times New Roman" w:hAnsi="Times New Roman" w:cs="Times New Roman"/>
          <w:sz w:val="22"/>
        </w:rPr>
        <w:t xml:space="preserve"> </w:t>
      </w:r>
      <w:r w:rsidR="0067695B" w:rsidRPr="00E75F65">
        <w:rPr>
          <w:rFonts w:ascii="Times New Roman" w:hAnsi="Times New Roman" w:cs="Times New Roman"/>
          <w:sz w:val="22"/>
        </w:rPr>
        <w:t>Vida Plena</w:t>
      </w:r>
      <w:r w:rsidRPr="00E75F65">
        <w:rPr>
          <w:rFonts w:ascii="Times New Roman" w:hAnsi="Times New Roman" w:cs="Times New Roman"/>
          <w:sz w:val="22"/>
        </w:rPr>
        <w:t xml:space="preserve"> </w:t>
      </w:r>
      <w:r w:rsidR="00137961">
        <w:rPr>
          <w:rFonts w:ascii="Times New Roman" w:hAnsi="Times New Roman" w:cs="Times New Roman"/>
          <w:sz w:val="22"/>
        </w:rPr>
        <w:t xml:space="preserve">OPC </w:t>
      </w:r>
      <w:r w:rsidRPr="00E75F65">
        <w:rPr>
          <w:rFonts w:ascii="Times New Roman" w:hAnsi="Times New Roman" w:cs="Times New Roman"/>
          <w:sz w:val="22"/>
        </w:rPr>
        <w:t>muestra mayores similitudes a los fondos antes mencionados.</w:t>
      </w:r>
      <w:r w:rsidR="00FA015C" w:rsidRPr="00E75F65">
        <w:rPr>
          <w:rFonts w:ascii="Times New Roman" w:hAnsi="Times New Roman" w:cs="Times New Roman"/>
          <w:sz w:val="22"/>
        </w:rPr>
        <w:t xml:space="preserve"> </w:t>
      </w:r>
    </w:p>
    <w:p w14:paraId="53873AD6" w14:textId="3A339274" w:rsidR="00FA015C" w:rsidRPr="009B09B5" w:rsidRDefault="00FA015C" w:rsidP="00AE3107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r w:rsidRPr="00E75F65">
        <w:rPr>
          <w:rFonts w:ascii="Times New Roman" w:hAnsi="Times New Roman" w:cs="Times New Roman"/>
          <w:sz w:val="22"/>
        </w:rPr>
        <w:t xml:space="preserve">Las carteras de </w:t>
      </w:r>
      <w:r w:rsidR="00801639" w:rsidRPr="00E75F65">
        <w:rPr>
          <w:rFonts w:ascii="Times New Roman" w:hAnsi="Times New Roman" w:cs="Times New Roman"/>
          <w:sz w:val="22"/>
        </w:rPr>
        <w:t>los</w:t>
      </w:r>
      <w:r w:rsidRPr="00E75F65">
        <w:rPr>
          <w:rFonts w:ascii="Times New Roman" w:hAnsi="Times New Roman" w:cs="Times New Roman"/>
          <w:sz w:val="22"/>
        </w:rPr>
        <w:t xml:space="preserve"> fondos (</w:t>
      </w:r>
      <w:r w:rsidR="0067695B" w:rsidRPr="00E75F65">
        <w:rPr>
          <w:rFonts w:ascii="Times New Roman" w:hAnsi="Times New Roman" w:cs="Times New Roman"/>
          <w:sz w:val="22"/>
        </w:rPr>
        <w:t>Popular Pensiones y CCSS-OPC</w:t>
      </w:r>
      <w:r w:rsidRPr="00E75F65">
        <w:rPr>
          <w:rFonts w:ascii="Times New Roman" w:hAnsi="Times New Roman" w:cs="Times New Roman"/>
          <w:sz w:val="22"/>
        </w:rPr>
        <w:t>) se diferencian (ver gráficos anteriores: periodo</w:t>
      </w:r>
      <w:r w:rsidRPr="009B09B5">
        <w:rPr>
          <w:rFonts w:ascii="Times New Roman" w:hAnsi="Times New Roman" w:cs="Times New Roman"/>
          <w:sz w:val="22"/>
        </w:rPr>
        <w:t xml:space="preserve"> 2017) de las demás </w:t>
      </w:r>
      <w:r w:rsidR="00801639">
        <w:rPr>
          <w:rFonts w:ascii="Times New Roman" w:hAnsi="Times New Roman" w:cs="Times New Roman"/>
          <w:sz w:val="22"/>
        </w:rPr>
        <w:t>por la inversión</w:t>
      </w:r>
      <w:r w:rsidRPr="009B09B5">
        <w:rPr>
          <w:rFonts w:ascii="Times New Roman" w:hAnsi="Times New Roman" w:cs="Times New Roman"/>
          <w:sz w:val="22"/>
        </w:rPr>
        <w:t xml:space="preserve"> en valores extranjeros. </w:t>
      </w:r>
      <w:r w:rsidR="00801639">
        <w:rPr>
          <w:rFonts w:ascii="Times New Roman" w:hAnsi="Times New Roman" w:cs="Times New Roman"/>
          <w:sz w:val="22"/>
        </w:rPr>
        <w:t xml:space="preserve">La incorporación de estos instrumentos se produce </w:t>
      </w:r>
      <w:r w:rsidRPr="009B09B5">
        <w:rPr>
          <w:rFonts w:ascii="Times New Roman" w:hAnsi="Times New Roman" w:cs="Times New Roman"/>
          <w:sz w:val="22"/>
        </w:rPr>
        <w:t>después del 2014</w:t>
      </w:r>
      <w:r w:rsidR="00801639">
        <w:rPr>
          <w:rFonts w:ascii="Times New Roman" w:hAnsi="Times New Roman" w:cs="Times New Roman"/>
          <w:sz w:val="22"/>
        </w:rPr>
        <w:t>. Sin embargo, en los años</w:t>
      </w:r>
      <w:r w:rsidRPr="009B09B5">
        <w:rPr>
          <w:rFonts w:ascii="Times New Roman" w:hAnsi="Times New Roman" w:cs="Times New Roman"/>
          <w:sz w:val="22"/>
        </w:rPr>
        <w:t xml:space="preserve"> 2011 y 2012</w:t>
      </w:r>
      <w:r w:rsidR="00801639">
        <w:rPr>
          <w:rFonts w:ascii="Times New Roman" w:hAnsi="Times New Roman" w:cs="Times New Roman"/>
          <w:sz w:val="22"/>
        </w:rPr>
        <w:t xml:space="preserve"> habían incursionado en mercados extranjeros, pero principalmente en renta fija</w:t>
      </w:r>
      <w:r w:rsidR="00D8692A">
        <w:rPr>
          <w:rFonts w:ascii="Times New Roman" w:hAnsi="Times New Roman" w:cs="Times New Roman"/>
          <w:sz w:val="22"/>
        </w:rPr>
        <w:t xml:space="preserve">. </w:t>
      </w:r>
      <w:r w:rsidRPr="009B09B5">
        <w:rPr>
          <w:rFonts w:ascii="Times New Roman" w:hAnsi="Times New Roman" w:cs="Times New Roman"/>
          <w:sz w:val="22"/>
        </w:rPr>
        <w:t xml:space="preserve">Esto origina cambios en las agrupaciones conforme se van incorporando este tipo de instrumentos nuevamente a las carteras. </w:t>
      </w:r>
    </w:p>
    <w:p w14:paraId="1BD452E3" w14:textId="2E1E4983" w:rsidR="00FA015C" w:rsidRPr="009B09B5" w:rsidRDefault="0063627E" w:rsidP="00AE3107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 lo largo del tiempo</w:t>
      </w:r>
      <w:r w:rsidR="00FA015C" w:rsidRPr="009B09B5">
        <w:rPr>
          <w:rFonts w:ascii="Times New Roman" w:hAnsi="Times New Roman" w:cs="Times New Roman"/>
          <w:sz w:val="22"/>
        </w:rPr>
        <w:t xml:space="preserve"> </w:t>
      </w:r>
      <w:r w:rsidR="00953E6C" w:rsidRPr="009B09B5">
        <w:rPr>
          <w:rFonts w:ascii="Times New Roman" w:hAnsi="Times New Roman" w:cs="Times New Roman"/>
          <w:sz w:val="22"/>
        </w:rPr>
        <w:t>BN-V</w:t>
      </w:r>
      <w:r w:rsidR="0067695B">
        <w:rPr>
          <w:rFonts w:ascii="Times New Roman" w:hAnsi="Times New Roman" w:cs="Times New Roman"/>
          <w:sz w:val="22"/>
        </w:rPr>
        <w:t>ital</w:t>
      </w:r>
      <w:r w:rsidR="00FA015C" w:rsidRPr="009B09B5">
        <w:rPr>
          <w:rFonts w:ascii="Times New Roman" w:hAnsi="Times New Roman" w:cs="Times New Roman"/>
          <w:sz w:val="22"/>
        </w:rPr>
        <w:t xml:space="preserve"> </w:t>
      </w:r>
      <w:r w:rsidR="00137961">
        <w:rPr>
          <w:rFonts w:ascii="Times New Roman" w:hAnsi="Times New Roman" w:cs="Times New Roman"/>
          <w:sz w:val="22"/>
        </w:rPr>
        <w:t xml:space="preserve">OPC </w:t>
      </w:r>
      <w:r w:rsidR="00FA015C" w:rsidRPr="009B09B5">
        <w:rPr>
          <w:rFonts w:ascii="Times New Roman" w:hAnsi="Times New Roman" w:cs="Times New Roman"/>
          <w:sz w:val="22"/>
        </w:rPr>
        <w:t xml:space="preserve">y </w:t>
      </w:r>
      <w:r w:rsidR="00953E6C" w:rsidRPr="009B09B5">
        <w:rPr>
          <w:rFonts w:ascii="Times New Roman" w:hAnsi="Times New Roman" w:cs="Times New Roman"/>
          <w:sz w:val="22"/>
        </w:rPr>
        <w:t>BCR-</w:t>
      </w:r>
      <w:r w:rsidR="0067695B">
        <w:rPr>
          <w:rFonts w:ascii="Times New Roman" w:hAnsi="Times New Roman" w:cs="Times New Roman"/>
          <w:sz w:val="22"/>
        </w:rPr>
        <w:t>P</w:t>
      </w:r>
      <w:r w:rsidR="0067695B" w:rsidRPr="009B09B5">
        <w:rPr>
          <w:rFonts w:ascii="Times New Roman" w:hAnsi="Times New Roman" w:cs="Times New Roman"/>
          <w:sz w:val="22"/>
        </w:rPr>
        <w:t>ensión</w:t>
      </w:r>
      <w:r w:rsidR="00FA015C" w:rsidRPr="009B09B5">
        <w:rPr>
          <w:rFonts w:ascii="Times New Roman" w:hAnsi="Times New Roman" w:cs="Times New Roman"/>
          <w:sz w:val="22"/>
        </w:rPr>
        <w:t xml:space="preserve"> se agrupan</w:t>
      </w:r>
      <w:r>
        <w:rPr>
          <w:rFonts w:ascii="Times New Roman" w:hAnsi="Times New Roman" w:cs="Times New Roman"/>
          <w:sz w:val="22"/>
        </w:rPr>
        <w:t>, hasta</w:t>
      </w:r>
      <w:r w:rsidR="00FA015C" w:rsidRPr="009B09B5">
        <w:rPr>
          <w:rFonts w:ascii="Times New Roman" w:hAnsi="Times New Roman" w:cs="Times New Roman"/>
          <w:sz w:val="22"/>
        </w:rPr>
        <w:t xml:space="preserve"> 2017</w:t>
      </w:r>
      <w:r>
        <w:rPr>
          <w:rFonts w:ascii="Times New Roman" w:hAnsi="Times New Roman" w:cs="Times New Roman"/>
          <w:sz w:val="22"/>
        </w:rPr>
        <w:t xml:space="preserve"> donde</w:t>
      </w:r>
      <w:r w:rsidR="00FA015C" w:rsidRPr="009B09B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BN-Vital</w:t>
      </w:r>
      <w:r w:rsidR="00FA015C" w:rsidRPr="009B09B5">
        <w:rPr>
          <w:rFonts w:ascii="Times New Roman" w:hAnsi="Times New Roman" w:cs="Times New Roman"/>
          <w:sz w:val="22"/>
        </w:rPr>
        <w:t xml:space="preserve"> </w:t>
      </w:r>
      <w:r w:rsidR="00137961">
        <w:rPr>
          <w:rFonts w:ascii="Times New Roman" w:hAnsi="Times New Roman" w:cs="Times New Roman"/>
          <w:sz w:val="22"/>
        </w:rPr>
        <w:t xml:space="preserve">OPC </w:t>
      </w:r>
      <w:r>
        <w:rPr>
          <w:rFonts w:ascii="Times New Roman" w:hAnsi="Times New Roman" w:cs="Times New Roman"/>
          <w:sz w:val="22"/>
        </w:rPr>
        <w:t>incrementa su posición en el extranjero.</w:t>
      </w:r>
    </w:p>
    <w:p w14:paraId="735AABE2" w14:textId="77777777" w:rsidR="0063627E" w:rsidRDefault="0063627E" w:rsidP="00AE3107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Nuestra interpretación de los agrupamientos, nos indica</w:t>
      </w:r>
      <w:r w:rsidR="00FA015C" w:rsidRPr="009B09B5">
        <w:rPr>
          <w:rFonts w:ascii="Times New Roman" w:hAnsi="Times New Roman" w:cs="Times New Roman"/>
          <w:sz w:val="22"/>
        </w:rPr>
        <w:t xml:space="preserve"> dos grupos con estrategias de inversión diferentes</w:t>
      </w:r>
      <w:r>
        <w:rPr>
          <w:rFonts w:ascii="Times New Roman" w:hAnsi="Times New Roman" w:cs="Times New Roman"/>
          <w:sz w:val="22"/>
        </w:rPr>
        <w:t>.</w:t>
      </w:r>
      <w:r w:rsidR="00FA015C" w:rsidRPr="009B09B5">
        <w:rPr>
          <w:rFonts w:ascii="Times New Roman" w:hAnsi="Times New Roman" w:cs="Times New Roman"/>
          <w:sz w:val="22"/>
        </w:rPr>
        <w:t xml:space="preserve"> Los que han ido invirtiendo mayores porcentajes de valores extranjeros en sus carteras y los otros han mantenido una diversificación de carteras basada en el mercado local.</w:t>
      </w:r>
    </w:p>
    <w:p w14:paraId="32C589E5" w14:textId="3A9230EB" w:rsidR="00FA015C" w:rsidRPr="0063627E" w:rsidRDefault="009D298E" w:rsidP="00AE3107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r w:rsidRPr="0063627E">
        <w:rPr>
          <w:rFonts w:ascii="Times New Roman" w:hAnsi="Times New Roman" w:cs="Times New Roman"/>
          <w:sz w:val="22"/>
        </w:rPr>
        <w:t>BCR-Pensión</w:t>
      </w:r>
      <w:r w:rsidR="00FA015C" w:rsidRPr="0063627E">
        <w:rPr>
          <w:rFonts w:ascii="Times New Roman" w:hAnsi="Times New Roman" w:cs="Times New Roman"/>
          <w:sz w:val="22"/>
        </w:rPr>
        <w:t xml:space="preserve"> </w:t>
      </w:r>
      <w:r w:rsidR="00137961">
        <w:rPr>
          <w:rFonts w:ascii="Times New Roman" w:hAnsi="Times New Roman" w:cs="Times New Roman"/>
          <w:sz w:val="22"/>
        </w:rPr>
        <w:t xml:space="preserve">OPC </w:t>
      </w:r>
      <w:r w:rsidR="0063627E">
        <w:rPr>
          <w:rFonts w:ascii="Times New Roman" w:hAnsi="Times New Roman" w:cs="Times New Roman"/>
          <w:iCs/>
          <w:sz w:val="22"/>
        </w:rPr>
        <w:t>continú</w:t>
      </w:r>
      <w:r w:rsidR="00FA015C" w:rsidRPr="0063627E">
        <w:rPr>
          <w:rFonts w:ascii="Times New Roman" w:hAnsi="Times New Roman" w:cs="Times New Roman"/>
          <w:iCs/>
          <w:sz w:val="22"/>
        </w:rPr>
        <w:t>a</w:t>
      </w:r>
      <w:r w:rsidR="00FA015C" w:rsidRPr="0063627E">
        <w:rPr>
          <w:rFonts w:ascii="Times New Roman" w:hAnsi="Times New Roman" w:cs="Times New Roman"/>
          <w:sz w:val="22"/>
        </w:rPr>
        <w:t xml:space="preserve"> sin incorporar estos valores dentro de su cartera.</w:t>
      </w:r>
    </w:p>
    <w:p w14:paraId="5F47F220" w14:textId="77777777" w:rsidR="00FA015C" w:rsidRPr="009B09B5" w:rsidRDefault="00FA015C" w:rsidP="00AE3107">
      <w:pPr>
        <w:pStyle w:val="Ttulo5"/>
        <w:spacing w:before="0"/>
        <w:jc w:val="both"/>
        <w:rPr>
          <w:rFonts w:ascii="Times New Roman" w:hAnsi="Times New Roman" w:cs="Times New Roman"/>
        </w:rPr>
      </w:pPr>
    </w:p>
    <w:p w14:paraId="4DBDE00B" w14:textId="62DFBA3D" w:rsidR="007A0D27" w:rsidRPr="00137961" w:rsidRDefault="007A0D27" w:rsidP="00AE3107">
      <w:pPr>
        <w:spacing w:after="0"/>
        <w:jc w:val="center"/>
        <w:rPr>
          <w:rFonts w:ascii="Times New Roman" w:hAnsi="Times New Roman" w:cs="Times New Roman"/>
          <w:b/>
        </w:rPr>
      </w:pPr>
      <w:r w:rsidRPr="00137961">
        <w:rPr>
          <w:rFonts w:ascii="Times New Roman" w:hAnsi="Times New Roman" w:cs="Times New Roman"/>
          <w:b/>
        </w:rPr>
        <w:t>Gráfico 4</w:t>
      </w:r>
    </w:p>
    <w:p w14:paraId="0848F62B" w14:textId="57F5D685" w:rsidR="007A0D27" w:rsidRPr="00137961" w:rsidRDefault="007A0D27" w:rsidP="00AE3107">
      <w:pPr>
        <w:pStyle w:val="Prrafodelista"/>
        <w:tabs>
          <w:tab w:val="left" w:pos="1056"/>
        </w:tabs>
        <w:spacing w:after="0"/>
        <w:ind w:left="0"/>
        <w:jc w:val="center"/>
        <w:rPr>
          <w:rFonts w:ascii="Times New Roman" w:hAnsi="Times New Roman" w:cs="Times New Roman"/>
          <w:b/>
          <w:sz w:val="22"/>
        </w:rPr>
      </w:pPr>
      <w:r w:rsidRPr="00137961">
        <w:rPr>
          <w:rFonts w:ascii="Times New Roman" w:hAnsi="Times New Roman" w:cs="Times New Roman"/>
          <w:b/>
          <w:sz w:val="22"/>
        </w:rPr>
        <w:t xml:space="preserve"> R</w:t>
      </w:r>
      <w:r w:rsidR="00137961">
        <w:rPr>
          <w:rFonts w:ascii="Times New Roman" w:hAnsi="Times New Roman" w:cs="Times New Roman"/>
          <w:b/>
          <w:sz w:val="22"/>
        </w:rPr>
        <w:t xml:space="preserve">égimen </w:t>
      </w:r>
      <w:r w:rsidRPr="00137961">
        <w:rPr>
          <w:rFonts w:ascii="Times New Roman" w:hAnsi="Times New Roman" w:cs="Times New Roman"/>
          <w:b/>
          <w:sz w:val="22"/>
        </w:rPr>
        <w:t>O</w:t>
      </w:r>
      <w:r w:rsidR="00137961">
        <w:rPr>
          <w:rFonts w:ascii="Times New Roman" w:hAnsi="Times New Roman" w:cs="Times New Roman"/>
          <w:b/>
          <w:sz w:val="22"/>
        </w:rPr>
        <w:t xml:space="preserve">bligatorio de </w:t>
      </w:r>
      <w:r w:rsidRPr="00137961">
        <w:rPr>
          <w:rFonts w:ascii="Times New Roman" w:hAnsi="Times New Roman" w:cs="Times New Roman"/>
          <w:b/>
          <w:sz w:val="22"/>
        </w:rPr>
        <w:t>P</w:t>
      </w:r>
      <w:r w:rsidR="00137961">
        <w:rPr>
          <w:rFonts w:ascii="Times New Roman" w:hAnsi="Times New Roman" w:cs="Times New Roman"/>
          <w:b/>
          <w:sz w:val="22"/>
        </w:rPr>
        <w:t>ensiones</w:t>
      </w:r>
      <w:r w:rsidRPr="00137961">
        <w:rPr>
          <w:rFonts w:ascii="Times New Roman" w:hAnsi="Times New Roman" w:cs="Times New Roman"/>
          <w:b/>
          <w:sz w:val="22"/>
        </w:rPr>
        <w:t xml:space="preserve">, Inversiones por sector </w:t>
      </w:r>
    </w:p>
    <w:p w14:paraId="38B08974" w14:textId="4469009B" w:rsidR="00FA015C" w:rsidRPr="00D8692A" w:rsidRDefault="007A0D27" w:rsidP="00AE3107">
      <w:pPr>
        <w:tabs>
          <w:tab w:val="left" w:pos="1056"/>
        </w:tabs>
        <w:spacing w:after="0"/>
        <w:jc w:val="center"/>
        <w:rPr>
          <w:rFonts w:ascii="Times New Roman" w:hAnsi="Times New Roman" w:cs="Times New Roman"/>
          <w:b/>
        </w:rPr>
      </w:pPr>
      <w:r w:rsidRPr="00137961">
        <w:rPr>
          <w:rFonts w:ascii="Times New Roman" w:hAnsi="Times New Roman" w:cs="Times New Roman"/>
          <w:b/>
        </w:rPr>
        <w:t>(</w:t>
      </w:r>
      <w:r w:rsidR="00506B5D">
        <w:rPr>
          <w:rFonts w:ascii="Times New Roman" w:hAnsi="Times New Roman" w:cs="Times New Roman"/>
          <w:b/>
        </w:rPr>
        <w:t>P</w:t>
      </w:r>
      <w:r w:rsidRPr="00137961">
        <w:rPr>
          <w:rFonts w:ascii="Times New Roman" w:hAnsi="Times New Roman" w:cs="Times New Roman"/>
          <w:b/>
        </w:rPr>
        <w:t>orcentaje</w:t>
      </w:r>
      <w:r w:rsidR="00506B5D">
        <w:rPr>
          <w:rFonts w:ascii="Times New Roman" w:hAnsi="Times New Roman" w:cs="Times New Roman"/>
          <w:b/>
        </w:rPr>
        <w:t>s</w:t>
      </w:r>
      <w:r w:rsidRPr="00137961">
        <w:rPr>
          <w:rFonts w:ascii="Times New Roman" w:hAnsi="Times New Roman" w:cs="Times New Roman"/>
          <w:b/>
        </w:rPr>
        <w:t>)</w:t>
      </w:r>
      <w:r w:rsidR="003A61B5" w:rsidRPr="009B09B5">
        <w:rPr>
          <w:rFonts w:ascii="Times New Roman" w:hAnsi="Times New Roman" w:cs="Times New Roman"/>
          <w:noProof/>
        </w:rPr>
        <w:drawing>
          <wp:inline distT="0" distB="0" distL="0" distR="0" wp14:anchorId="776F0065" wp14:editId="03025493">
            <wp:extent cx="6390640" cy="3028315"/>
            <wp:effectExtent l="0" t="0" r="0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FB969" w14:textId="77777777" w:rsidR="00AF4D6A" w:rsidRPr="009B09B5" w:rsidRDefault="00AF4D6A" w:rsidP="00AE3107">
      <w:pPr>
        <w:spacing w:after="0"/>
        <w:jc w:val="both"/>
        <w:rPr>
          <w:rFonts w:ascii="Times New Roman" w:hAnsi="Times New Roman" w:cs="Times New Roman"/>
          <w:lang w:val="es-CR"/>
        </w:rPr>
      </w:pPr>
    </w:p>
    <w:p w14:paraId="2DDA2AD0" w14:textId="1A5FDEE7" w:rsidR="00C67462" w:rsidRPr="009B09B5" w:rsidRDefault="00C67462" w:rsidP="00AE3107">
      <w:pPr>
        <w:spacing w:after="0"/>
        <w:rPr>
          <w:rFonts w:ascii="Times New Roman" w:hAnsi="Times New Roman" w:cs="Times New Roman"/>
          <w:lang w:val="es-CR"/>
        </w:rPr>
      </w:pPr>
    </w:p>
    <w:p w14:paraId="0941BA3C" w14:textId="5792B7B2" w:rsidR="006F3DBC" w:rsidRDefault="00BA06A6" w:rsidP="00AE3107">
      <w:pPr>
        <w:pStyle w:val="Ttulo2"/>
        <w:spacing w:before="0"/>
      </w:pPr>
      <w:bookmarkStart w:id="26" w:name="_Toc505348335"/>
      <w:bookmarkStart w:id="27" w:name="_Toc506207745"/>
      <w:bookmarkStart w:id="28" w:name="_Toc506212326"/>
      <w:bookmarkStart w:id="29" w:name="_Toc526840859"/>
      <w:r w:rsidRPr="009B09B5">
        <w:t xml:space="preserve">Duración y plazos al </w:t>
      </w:r>
      <w:r w:rsidRPr="00E87B5C">
        <w:t>vencimiento</w:t>
      </w:r>
      <w:bookmarkEnd w:id="26"/>
      <w:bookmarkEnd w:id="27"/>
      <w:bookmarkEnd w:id="28"/>
      <w:bookmarkEnd w:id="29"/>
    </w:p>
    <w:p w14:paraId="329E04E0" w14:textId="77777777" w:rsidR="006F3DBC" w:rsidRPr="006F3DBC" w:rsidRDefault="006F3DBC" w:rsidP="00AE3107">
      <w:pPr>
        <w:spacing w:after="0"/>
      </w:pPr>
    </w:p>
    <w:p w14:paraId="0D80D25B" w14:textId="11EAF948" w:rsidR="00BA06A6" w:rsidRPr="006A4D11" w:rsidRDefault="00BA06A6" w:rsidP="00AE3107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2"/>
          <w:lang w:val="es-CR"/>
        </w:rPr>
      </w:pPr>
      <w:r w:rsidRPr="006A4D11">
        <w:rPr>
          <w:rFonts w:ascii="Times New Roman" w:hAnsi="Times New Roman" w:cs="Times New Roman"/>
          <w:color w:val="000000" w:themeColor="text1"/>
          <w:sz w:val="22"/>
          <w:lang w:val="es-CR"/>
        </w:rPr>
        <w:t xml:space="preserve">En el caso del </w:t>
      </w:r>
      <w:r w:rsidR="00F24E2A" w:rsidRPr="006A4D11">
        <w:rPr>
          <w:rFonts w:ascii="Times New Roman" w:hAnsi="Times New Roman" w:cs="Times New Roman"/>
          <w:color w:val="000000" w:themeColor="text1"/>
          <w:sz w:val="22"/>
          <w:lang w:val="es-CR"/>
        </w:rPr>
        <w:t>ROP, la duración modificada es 2.91</w:t>
      </w:r>
      <w:r w:rsidR="00AD4CF4" w:rsidRPr="006A4D11">
        <w:rPr>
          <w:rFonts w:ascii="Times New Roman" w:hAnsi="Times New Roman" w:cs="Times New Roman"/>
          <w:color w:val="000000" w:themeColor="text1"/>
          <w:sz w:val="22"/>
          <w:lang w:val="es-CR"/>
        </w:rPr>
        <w:t>%</w:t>
      </w:r>
      <w:r w:rsidRPr="006A4D11">
        <w:rPr>
          <w:rFonts w:ascii="Times New Roman" w:hAnsi="Times New Roman" w:cs="Times New Roman"/>
          <w:color w:val="000000" w:themeColor="text1"/>
          <w:sz w:val="22"/>
          <w:lang w:val="es-CR"/>
        </w:rPr>
        <w:t xml:space="preserve">. </w:t>
      </w:r>
      <w:r w:rsidR="00AD4CF4" w:rsidRPr="006A4D11">
        <w:rPr>
          <w:rFonts w:ascii="Times New Roman" w:hAnsi="Times New Roman" w:cs="Times New Roman"/>
          <w:color w:val="000000" w:themeColor="text1"/>
          <w:sz w:val="22"/>
          <w:lang w:val="es-CR"/>
        </w:rPr>
        <w:t xml:space="preserve"> Sin embargo, varía </w:t>
      </w:r>
      <w:r w:rsidR="005338C5" w:rsidRPr="006A4D11">
        <w:rPr>
          <w:rFonts w:ascii="Times New Roman" w:hAnsi="Times New Roman" w:cs="Times New Roman"/>
          <w:color w:val="000000" w:themeColor="text1"/>
          <w:sz w:val="22"/>
          <w:lang w:val="es-CR"/>
        </w:rPr>
        <w:t>entre</w:t>
      </w:r>
      <w:r w:rsidR="00664846" w:rsidRPr="006A4D11">
        <w:rPr>
          <w:rFonts w:ascii="Times New Roman" w:hAnsi="Times New Roman" w:cs="Times New Roman"/>
          <w:color w:val="000000" w:themeColor="text1"/>
          <w:sz w:val="22"/>
          <w:lang w:val="es-CR"/>
        </w:rPr>
        <w:t xml:space="preserve"> 1,77</w:t>
      </w:r>
      <w:r w:rsidR="00AD4CF4" w:rsidRPr="006A4D11">
        <w:rPr>
          <w:rFonts w:ascii="Times New Roman" w:hAnsi="Times New Roman" w:cs="Times New Roman"/>
          <w:color w:val="000000" w:themeColor="text1"/>
          <w:sz w:val="22"/>
          <w:lang w:val="es-CR"/>
        </w:rPr>
        <w:t xml:space="preserve"> para BN Vital</w:t>
      </w:r>
      <w:r w:rsidR="00506B5D">
        <w:rPr>
          <w:rFonts w:ascii="Times New Roman" w:hAnsi="Times New Roman" w:cs="Times New Roman"/>
          <w:color w:val="000000" w:themeColor="text1"/>
          <w:sz w:val="22"/>
          <w:lang w:val="es-CR"/>
        </w:rPr>
        <w:t xml:space="preserve"> OPC</w:t>
      </w:r>
      <w:r w:rsidR="00AD4CF4" w:rsidRPr="006A4D11">
        <w:rPr>
          <w:rFonts w:ascii="Times New Roman" w:hAnsi="Times New Roman" w:cs="Times New Roman"/>
          <w:color w:val="000000" w:themeColor="text1"/>
          <w:sz w:val="22"/>
          <w:lang w:val="es-CR"/>
        </w:rPr>
        <w:t xml:space="preserve"> y</w:t>
      </w:r>
      <w:r w:rsidR="00664846" w:rsidRPr="006A4D11">
        <w:rPr>
          <w:rFonts w:ascii="Times New Roman" w:hAnsi="Times New Roman" w:cs="Times New Roman"/>
          <w:color w:val="000000" w:themeColor="text1"/>
          <w:sz w:val="22"/>
          <w:lang w:val="es-CR"/>
        </w:rPr>
        <w:t xml:space="preserve"> 3,72</w:t>
      </w:r>
      <w:r w:rsidR="00AD4CF4" w:rsidRPr="006A4D11">
        <w:rPr>
          <w:rFonts w:ascii="Times New Roman" w:hAnsi="Times New Roman" w:cs="Times New Roman"/>
          <w:color w:val="000000" w:themeColor="text1"/>
          <w:sz w:val="22"/>
          <w:lang w:val="es-CR"/>
        </w:rPr>
        <w:t>% para Vida Plena OPC.</w:t>
      </w:r>
    </w:p>
    <w:p w14:paraId="274F0F2E" w14:textId="49C7A827" w:rsidR="00506B5D" w:rsidRDefault="00506B5D" w:rsidP="00AE3107">
      <w:pPr>
        <w:spacing w:after="0"/>
        <w:rPr>
          <w:rFonts w:ascii="Times New Roman" w:hAnsi="Times New Roman" w:cs="Times New Roman"/>
          <w:color w:val="000000" w:themeColor="text1"/>
          <w:lang w:val="es-CR"/>
        </w:rPr>
      </w:pPr>
    </w:p>
    <w:p w14:paraId="28663B13" w14:textId="312F4CD2" w:rsidR="00BA06A6" w:rsidRPr="006A4D11" w:rsidRDefault="00CF73B8" w:rsidP="00AE31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A4D11">
        <w:rPr>
          <w:rFonts w:ascii="Times New Roman" w:hAnsi="Times New Roman" w:cs="Times New Roman"/>
          <w:b/>
          <w:bCs/>
          <w:color w:val="000000" w:themeColor="text1"/>
        </w:rPr>
        <w:t>Cuadro</w:t>
      </w:r>
      <w:r w:rsidR="007A0D27" w:rsidRPr="006A4D11">
        <w:rPr>
          <w:rFonts w:ascii="Times New Roman" w:hAnsi="Times New Roman" w:cs="Times New Roman"/>
          <w:b/>
          <w:bCs/>
          <w:color w:val="000000" w:themeColor="text1"/>
        </w:rPr>
        <w:t xml:space="preserve"> 3</w:t>
      </w:r>
    </w:p>
    <w:p w14:paraId="74F50856" w14:textId="4EE24099" w:rsidR="00BA06A6" w:rsidRPr="006A4D11" w:rsidRDefault="00AD4CF4" w:rsidP="00AE3107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6A4D11">
        <w:rPr>
          <w:rFonts w:ascii="Times New Roman" w:hAnsi="Times New Roman" w:cs="Times New Roman"/>
          <w:b/>
          <w:bCs/>
          <w:color w:val="000000" w:themeColor="text1"/>
        </w:rPr>
        <w:t xml:space="preserve">ROP: </w:t>
      </w:r>
      <w:r w:rsidR="00BA06A6" w:rsidRPr="006A4D11">
        <w:rPr>
          <w:rFonts w:ascii="Times New Roman" w:hAnsi="Times New Roman" w:cs="Times New Roman"/>
          <w:b/>
          <w:bCs/>
          <w:color w:val="000000" w:themeColor="text1"/>
        </w:rPr>
        <w:t>D</w:t>
      </w:r>
      <w:r w:rsidR="004045D4" w:rsidRPr="006A4D11">
        <w:rPr>
          <w:rFonts w:ascii="Times New Roman" w:hAnsi="Times New Roman" w:cs="Times New Roman"/>
          <w:b/>
          <w:bCs/>
          <w:color w:val="000000" w:themeColor="text1"/>
        </w:rPr>
        <w:t>uración y plazos al vencimiento</w:t>
      </w:r>
      <w:r w:rsidR="00BA06A6" w:rsidRPr="006A4D11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W w:w="70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1200"/>
        <w:gridCol w:w="1428"/>
        <w:gridCol w:w="1984"/>
      </w:tblGrid>
      <w:tr w:rsidR="00BA06A6" w:rsidRPr="006A4D11" w14:paraId="6862BAA8" w14:textId="77777777" w:rsidTr="00634479">
        <w:trPr>
          <w:trHeight w:val="300"/>
          <w:jc w:val="center"/>
        </w:trPr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DD389" w14:textId="4FCFBA61" w:rsidR="00BA06A6" w:rsidRPr="006A4D11" w:rsidRDefault="00506B5D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OPERADORA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91831" w14:textId="77777777" w:rsidR="00BA06A6" w:rsidRPr="006A4D11" w:rsidRDefault="00BA06A6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Duración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1FF84" w14:textId="647C8554" w:rsidR="00BA06A6" w:rsidRPr="006A4D11" w:rsidRDefault="00BA06A6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Duración </w:t>
            </w:r>
            <w:r w:rsidR="004045D4"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         </w:t>
            </w: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Modificada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46490" w14:textId="11CFD73C" w:rsidR="00BA06A6" w:rsidRPr="006A4D11" w:rsidRDefault="00BA06A6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Plazo al venci</w:t>
            </w:r>
            <w:r w:rsidR="00405E5B"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miento (años)</w:t>
            </w:r>
          </w:p>
        </w:tc>
      </w:tr>
      <w:tr w:rsidR="00BA06A6" w:rsidRPr="006A4D11" w14:paraId="1CEE3478" w14:textId="77777777" w:rsidTr="00634479">
        <w:trPr>
          <w:trHeight w:val="300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B0C6" w14:textId="1295DE30" w:rsidR="00BA06A6" w:rsidRPr="006A4D11" w:rsidRDefault="00405E5B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BN-VITAL</w:t>
            </w:r>
            <w:r w:rsidR="00506B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OPC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6B6E" w14:textId="4E57BC1B" w:rsidR="00BA06A6" w:rsidRPr="006A4D11" w:rsidRDefault="004E7679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1,77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2A17" w14:textId="74C44729" w:rsidR="00BA06A6" w:rsidRPr="006A4D11" w:rsidRDefault="00D04E48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1,72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60A2" w14:textId="749022A3" w:rsidR="00BA06A6" w:rsidRPr="006A4D11" w:rsidRDefault="00D04E48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6,92</w:t>
            </w:r>
          </w:p>
        </w:tc>
      </w:tr>
      <w:tr w:rsidR="00BA06A6" w:rsidRPr="006A4D11" w14:paraId="2D57AFE4" w14:textId="77777777" w:rsidTr="00634479">
        <w:trPr>
          <w:trHeight w:val="300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9EC1" w14:textId="732F6B29" w:rsidR="00BA06A6" w:rsidRPr="006A4D11" w:rsidRDefault="0041619C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POPULAR PENSIONES OPC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5709" w14:textId="516FDA68" w:rsidR="00BA06A6" w:rsidRPr="006A4D11" w:rsidRDefault="004E7679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3,63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D719" w14:textId="251CFB1A" w:rsidR="00BA06A6" w:rsidRPr="006A4D11" w:rsidRDefault="00D04E48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3,47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CA52" w14:textId="411EA9A4" w:rsidR="00BA06A6" w:rsidRPr="006A4D11" w:rsidRDefault="00D04E48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5,71</w:t>
            </w:r>
          </w:p>
        </w:tc>
      </w:tr>
      <w:tr w:rsidR="00BA06A6" w:rsidRPr="006A4D11" w14:paraId="59DF25A8" w14:textId="77777777" w:rsidTr="00634479">
        <w:trPr>
          <w:trHeight w:val="300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7A4C" w14:textId="1B6278D7" w:rsidR="00BA06A6" w:rsidRPr="006A4D11" w:rsidRDefault="00405E5B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VIDA PLENA-OPC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7F7D" w14:textId="30EE32C7" w:rsidR="00BA06A6" w:rsidRPr="006A4D11" w:rsidRDefault="004E7679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3,72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BBFE" w14:textId="194E6BE5" w:rsidR="00BA06A6" w:rsidRPr="006A4D11" w:rsidRDefault="00D04E48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3,58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FA75" w14:textId="7BEB967C" w:rsidR="00BA06A6" w:rsidRPr="006A4D11" w:rsidRDefault="00D04E48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5,28</w:t>
            </w:r>
          </w:p>
        </w:tc>
      </w:tr>
      <w:tr w:rsidR="00BA06A6" w:rsidRPr="006A4D11" w14:paraId="78F4D0CF" w14:textId="77777777" w:rsidTr="00634479">
        <w:trPr>
          <w:trHeight w:val="300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7EFD" w14:textId="798036B9" w:rsidR="00BA06A6" w:rsidRPr="006A4D11" w:rsidRDefault="00405E5B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BAC SJ PENSIONES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8B67" w14:textId="08A39FAD" w:rsidR="00BA06A6" w:rsidRPr="006A4D11" w:rsidRDefault="004E7679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3,47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9994" w14:textId="50E1671D" w:rsidR="00BA06A6" w:rsidRPr="006A4D11" w:rsidRDefault="00BA06A6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3,</w:t>
            </w:r>
            <w:r w:rsidR="00D04E48"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8E38" w14:textId="2AD95ECD" w:rsidR="00BA06A6" w:rsidRPr="006A4D11" w:rsidRDefault="00D04E48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7,32</w:t>
            </w:r>
          </w:p>
        </w:tc>
      </w:tr>
      <w:tr w:rsidR="00BA06A6" w:rsidRPr="006A4D11" w14:paraId="141B7602" w14:textId="77777777" w:rsidTr="00634479">
        <w:trPr>
          <w:trHeight w:val="300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8690" w14:textId="2EE7A66A" w:rsidR="00BA06A6" w:rsidRPr="006A4D11" w:rsidRDefault="00BA06A6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BCR</w:t>
            </w:r>
            <w:r w:rsidR="00506B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-PENSIÓ</w:t>
            </w:r>
            <w:r w:rsidR="00405E5B"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3BC5" w14:textId="35109709" w:rsidR="00BA06A6" w:rsidRPr="006A4D11" w:rsidRDefault="00D04E48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2,57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DF43" w14:textId="0F137234" w:rsidR="00BA06A6" w:rsidRPr="006A4D11" w:rsidRDefault="00D04E48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2,49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005B" w14:textId="7D948DDE" w:rsidR="00BA06A6" w:rsidRPr="006A4D11" w:rsidRDefault="00D04E48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6,48</w:t>
            </w:r>
          </w:p>
        </w:tc>
      </w:tr>
      <w:tr w:rsidR="00BA06A6" w:rsidRPr="006A4D11" w14:paraId="5E64BC4D" w14:textId="77777777" w:rsidTr="00634479">
        <w:trPr>
          <w:trHeight w:val="300"/>
          <w:jc w:val="center"/>
        </w:trPr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AE11F" w14:textId="1ED5C465" w:rsidR="00BA06A6" w:rsidRPr="006A4D11" w:rsidRDefault="00BA06A6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CCSS</w:t>
            </w:r>
            <w:r w:rsidR="00405E5B"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-OPC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B5D84" w14:textId="5F481EEF" w:rsidR="00BA06A6" w:rsidRPr="006A4D11" w:rsidRDefault="00D04E48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4,03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F8983" w14:textId="581F0373" w:rsidR="00BA06A6" w:rsidRPr="006A4D11" w:rsidRDefault="00D04E48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3,88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B4A78" w14:textId="02F5C279" w:rsidR="00BA06A6" w:rsidRPr="006A4D11" w:rsidRDefault="00D04E48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5,98</w:t>
            </w:r>
          </w:p>
        </w:tc>
      </w:tr>
      <w:tr w:rsidR="00BA06A6" w:rsidRPr="006A4D11" w14:paraId="75B847AF" w14:textId="77777777" w:rsidTr="00634479">
        <w:trPr>
          <w:trHeight w:val="300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C697" w14:textId="77777777" w:rsidR="00BA06A6" w:rsidRPr="006A4D11" w:rsidRDefault="00BA06A6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ROP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68EB" w14:textId="03F5A97B" w:rsidR="00BA06A6" w:rsidRPr="006A4D11" w:rsidRDefault="00D04E48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3,02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E5F3" w14:textId="37955C24" w:rsidR="00BA06A6" w:rsidRPr="006A4D11" w:rsidRDefault="00D04E48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2,91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684D" w14:textId="21EAD498" w:rsidR="00BA06A6" w:rsidRPr="006A4D11" w:rsidRDefault="00D04E48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6,26</w:t>
            </w:r>
          </w:p>
        </w:tc>
      </w:tr>
    </w:tbl>
    <w:p w14:paraId="651E7A6C" w14:textId="13D33873" w:rsidR="00A45E15" w:rsidRPr="006A4D11" w:rsidRDefault="00A45E15" w:rsidP="00AE3107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14:paraId="7E1A3692" w14:textId="25A93A84" w:rsidR="00BA06A6" w:rsidRPr="006A4D11" w:rsidRDefault="00BA06A6" w:rsidP="00AE3107">
      <w:pPr>
        <w:spacing w:after="0"/>
        <w:jc w:val="center"/>
        <w:rPr>
          <w:rFonts w:ascii="Times New Roman" w:hAnsi="Times New Roman" w:cs="Times New Roman"/>
          <w:color w:val="000000" w:themeColor="text1"/>
          <w:lang w:val="es-CR"/>
        </w:rPr>
      </w:pPr>
    </w:p>
    <w:p w14:paraId="2E9EB647" w14:textId="77777777" w:rsidR="00D04E48" w:rsidRPr="006A4D11" w:rsidRDefault="00D04E48" w:rsidP="00AE3107">
      <w:pPr>
        <w:spacing w:after="0"/>
        <w:rPr>
          <w:rFonts w:ascii="Times New Roman" w:hAnsi="Times New Roman" w:cs="Times New Roman"/>
          <w:color w:val="000000" w:themeColor="text1"/>
          <w:lang w:val="es-CR"/>
        </w:rPr>
      </w:pPr>
    </w:p>
    <w:p w14:paraId="50A1BC40" w14:textId="74988CAF" w:rsidR="00634479" w:rsidRPr="00D8692A" w:rsidRDefault="00BA06A6" w:rsidP="00AE3107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2"/>
          <w:lang w:val="es-CR"/>
        </w:rPr>
      </w:pPr>
      <w:r w:rsidRPr="006A4D11">
        <w:rPr>
          <w:rFonts w:ascii="Times New Roman" w:hAnsi="Times New Roman" w:cs="Times New Roman"/>
          <w:color w:val="000000" w:themeColor="text1"/>
          <w:sz w:val="22"/>
          <w:lang w:val="es-CR"/>
        </w:rPr>
        <w:t xml:space="preserve">Para los fondos administrados por </w:t>
      </w:r>
      <w:r w:rsidR="00B36C5B" w:rsidRPr="006A4D11">
        <w:rPr>
          <w:rFonts w:ascii="Times New Roman" w:hAnsi="Times New Roman" w:cs="Times New Roman"/>
          <w:color w:val="000000" w:themeColor="text1"/>
          <w:sz w:val="22"/>
          <w:lang w:val="es-CR"/>
        </w:rPr>
        <w:t xml:space="preserve">el </w:t>
      </w:r>
      <w:r w:rsidRPr="006A4D11">
        <w:rPr>
          <w:rFonts w:ascii="Times New Roman" w:hAnsi="Times New Roman" w:cs="Times New Roman"/>
          <w:color w:val="000000" w:themeColor="text1"/>
          <w:sz w:val="22"/>
          <w:lang w:val="es-CR"/>
        </w:rPr>
        <w:t>BCR</w:t>
      </w:r>
      <w:r w:rsidR="00506B5D">
        <w:rPr>
          <w:rFonts w:ascii="Times New Roman" w:hAnsi="Times New Roman" w:cs="Times New Roman"/>
          <w:color w:val="000000" w:themeColor="text1"/>
          <w:sz w:val="22"/>
          <w:lang w:val="es-CR"/>
        </w:rPr>
        <w:t xml:space="preserve"> Pensión</w:t>
      </w:r>
      <w:r w:rsidRPr="006A4D11">
        <w:rPr>
          <w:rFonts w:ascii="Times New Roman" w:hAnsi="Times New Roman" w:cs="Times New Roman"/>
          <w:color w:val="000000" w:themeColor="text1"/>
          <w:sz w:val="22"/>
          <w:lang w:val="es-CR"/>
        </w:rPr>
        <w:t xml:space="preserve"> y </w:t>
      </w:r>
      <w:r w:rsidR="00B36C5B" w:rsidRPr="006A4D11">
        <w:rPr>
          <w:rFonts w:ascii="Times New Roman" w:hAnsi="Times New Roman" w:cs="Times New Roman"/>
          <w:color w:val="000000" w:themeColor="text1"/>
          <w:sz w:val="22"/>
          <w:lang w:val="es-CR"/>
        </w:rPr>
        <w:t xml:space="preserve">el </w:t>
      </w:r>
      <w:r w:rsidRPr="006A4D11">
        <w:rPr>
          <w:rFonts w:ascii="Times New Roman" w:hAnsi="Times New Roman" w:cs="Times New Roman"/>
          <w:color w:val="000000" w:themeColor="text1"/>
          <w:sz w:val="22"/>
          <w:lang w:val="es-CR"/>
        </w:rPr>
        <w:t>BN</w:t>
      </w:r>
      <w:r w:rsidR="00C64914">
        <w:rPr>
          <w:rFonts w:ascii="Times New Roman" w:hAnsi="Times New Roman" w:cs="Times New Roman"/>
          <w:color w:val="000000" w:themeColor="text1"/>
          <w:sz w:val="22"/>
          <w:lang w:val="es-CR"/>
        </w:rPr>
        <w:t>-Vital</w:t>
      </w:r>
      <w:r w:rsidR="00506B5D">
        <w:rPr>
          <w:rFonts w:ascii="Times New Roman" w:hAnsi="Times New Roman" w:cs="Times New Roman"/>
          <w:color w:val="000000" w:themeColor="text1"/>
          <w:sz w:val="22"/>
          <w:lang w:val="es-CR"/>
        </w:rPr>
        <w:t xml:space="preserve"> OPC</w:t>
      </w:r>
      <w:r w:rsidRPr="006A4D11">
        <w:rPr>
          <w:rFonts w:ascii="Times New Roman" w:hAnsi="Times New Roman" w:cs="Times New Roman"/>
          <w:color w:val="000000" w:themeColor="text1"/>
          <w:sz w:val="22"/>
          <w:lang w:val="es-CR"/>
        </w:rPr>
        <w:t xml:space="preserve">, a pesar de tener los plazos al vencimiento mayores, presentan una duración menor, producto de una mayor participación de las carteras en instrumentos con tasas </w:t>
      </w:r>
      <w:r w:rsidR="005338C5" w:rsidRPr="006A4D11">
        <w:rPr>
          <w:rFonts w:ascii="Times New Roman" w:hAnsi="Times New Roman" w:cs="Times New Roman"/>
          <w:color w:val="000000" w:themeColor="text1"/>
          <w:sz w:val="22"/>
          <w:lang w:val="es-CR"/>
        </w:rPr>
        <w:t>ajustables</w:t>
      </w:r>
      <w:r w:rsidRPr="006A4D11">
        <w:rPr>
          <w:rFonts w:ascii="Times New Roman" w:hAnsi="Times New Roman" w:cs="Times New Roman"/>
          <w:color w:val="000000" w:themeColor="text1"/>
          <w:sz w:val="22"/>
          <w:lang w:val="es-CR"/>
        </w:rPr>
        <w:t>, cuya duración se limita como máximo al plazo de cupón</w:t>
      </w:r>
      <w:r w:rsidR="00930926" w:rsidRPr="006A4D11">
        <w:rPr>
          <w:rFonts w:ascii="Times New Roman" w:hAnsi="Times New Roman" w:cs="Times New Roman"/>
          <w:color w:val="000000" w:themeColor="text1"/>
          <w:sz w:val="22"/>
          <w:lang w:val="es-CR"/>
        </w:rPr>
        <w:t xml:space="preserve"> (6 meses)</w:t>
      </w:r>
      <w:r w:rsidRPr="006A4D11">
        <w:rPr>
          <w:rFonts w:ascii="Times New Roman" w:hAnsi="Times New Roman" w:cs="Times New Roman"/>
          <w:color w:val="000000" w:themeColor="text1"/>
          <w:sz w:val="22"/>
          <w:lang w:val="es-CR"/>
        </w:rPr>
        <w:t>.</w:t>
      </w:r>
    </w:p>
    <w:p w14:paraId="6E8F37EB" w14:textId="77777777" w:rsidR="007A0D27" w:rsidRPr="009B09B5" w:rsidRDefault="007A0D27" w:rsidP="00AE3107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2"/>
          <w:lang w:val="es-CR"/>
        </w:rPr>
      </w:pPr>
    </w:p>
    <w:p w14:paraId="305ECFFC" w14:textId="29E90399" w:rsidR="00BA06A6" w:rsidRPr="009B09B5" w:rsidRDefault="00CF73B8" w:rsidP="00AE310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B09B5">
        <w:rPr>
          <w:rFonts w:ascii="Times New Roman" w:hAnsi="Times New Roman" w:cs="Times New Roman"/>
          <w:b/>
          <w:bCs/>
        </w:rPr>
        <w:t>Cuadro</w:t>
      </w:r>
      <w:r w:rsidR="007A0D27" w:rsidRPr="009B09B5">
        <w:rPr>
          <w:rFonts w:ascii="Times New Roman" w:hAnsi="Times New Roman" w:cs="Times New Roman"/>
          <w:b/>
          <w:bCs/>
        </w:rPr>
        <w:t xml:space="preserve"> 4</w:t>
      </w:r>
    </w:p>
    <w:p w14:paraId="405DB88F" w14:textId="7DD51BC0" w:rsidR="00BA06A6" w:rsidRPr="009B09B5" w:rsidRDefault="00CC227E" w:rsidP="00AE3107">
      <w:pPr>
        <w:spacing w:after="0"/>
        <w:jc w:val="center"/>
        <w:rPr>
          <w:rFonts w:ascii="Times New Roman" w:hAnsi="Times New Roman" w:cs="Times New Roman"/>
        </w:rPr>
      </w:pPr>
      <w:r w:rsidRPr="009B09B5">
        <w:rPr>
          <w:rFonts w:ascii="Times New Roman" w:hAnsi="Times New Roman" w:cs="Times New Roman"/>
          <w:b/>
          <w:bCs/>
        </w:rPr>
        <w:t xml:space="preserve">ROP: </w:t>
      </w:r>
      <w:r w:rsidR="00BA06A6" w:rsidRPr="009B09B5">
        <w:rPr>
          <w:rFonts w:ascii="Times New Roman" w:hAnsi="Times New Roman" w:cs="Times New Roman"/>
          <w:b/>
          <w:bCs/>
        </w:rPr>
        <w:t>Distribución porcentual de cartera por tipo de instrumento:</w:t>
      </w:r>
      <w:r w:rsidR="00BA06A6" w:rsidRPr="009B09B5">
        <w:rPr>
          <w:rFonts w:ascii="Times New Roman" w:hAnsi="Times New Roman" w:cs="Times New Roman"/>
        </w:rPr>
        <w:t xml:space="preserve"> </w:t>
      </w:r>
    </w:p>
    <w:tbl>
      <w:tblPr>
        <w:tblW w:w="8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1484"/>
        <w:gridCol w:w="1033"/>
        <w:gridCol w:w="1142"/>
        <w:gridCol w:w="1142"/>
        <w:gridCol w:w="1133"/>
        <w:gridCol w:w="1349"/>
      </w:tblGrid>
      <w:tr w:rsidR="00473A10" w:rsidRPr="006A4D11" w14:paraId="06868F9B" w14:textId="77777777" w:rsidTr="00634479">
        <w:trPr>
          <w:trHeight w:val="251"/>
          <w:jc w:val="center"/>
        </w:trPr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1C86F" w14:textId="77777777" w:rsidR="00473A10" w:rsidRPr="006A4D11" w:rsidRDefault="00473A10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31447" w14:textId="77777777" w:rsidR="00473A10" w:rsidRPr="006A4D11" w:rsidRDefault="00473A10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s-CR" w:eastAsia="es-CR"/>
              </w:rPr>
              <w:t>BCR-PENSION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DCC59" w14:textId="77777777" w:rsidR="00473A10" w:rsidRPr="006A4D11" w:rsidRDefault="00473A10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s-CR" w:eastAsia="es-CR"/>
              </w:rPr>
              <w:t>BN-VITAL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54308" w14:textId="77777777" w:rsidR="00473A10" w:rsidRPr="006A4D11" w:rsidRDefault="00473A10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s-CR" w:eastAsia="es-CR"/>
              </w:rPr>
              <w:t>CCSS-OPC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9556F" w14:textId="0E8692CD" w:rsidR="00473A10" w:rsidRPr="006A4D11" w:rsidRDefault="0041619C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s-CR" w:eastAsia="es-CR"/>
              </w:rPr>
              <w:t>POPULAR PENSIONES OPC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F60C2" w14:textId="77777777" w:rsidR="00473A10" w:rsidRPr="006A4D11" w:rsidRDefault="00473A10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s-CR" w:eastAsia="es-CR"/>
              </w:rPr>
              <w:t>BAC SJ PENSIONES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FDFBA" w14:textId="77777777" w:rsidR="00473A10" w:rsidRPr="006A4D11" w:rsidRDefault="00473A10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s-CR" w:eastAsia="es-CR"/>
              </w:rPr>
              <w:t>VIDA PLENA OPC</w:t>
            </w:r>
          </w:p>
        </w:tc>
      </w:tr>
      <w:tr w:rsidR="00473A10" w:rsidRPr="006A4D11" w14:paraId="554729A2" w14:textId="77777777" w:rsidTr="00634479">
        <w:trPr>
          <w:trHeight w:val="251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E727" w14:textId="77777777" w:rsidR="00473A10" w:rsidRPr="006A4D11" w:rsidRDefault="00473A10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s-CR" w:eastAsia="es-CR"/>
              </w:rPr>
              <w:t>Cero Cupón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A5B2" w14:textId="77777777" w:rsidR="00473A10" w:rsidRPr="006A4D11" w:rsidRDefault="00473A10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9879" w14:textId="77777777" w:rsidR="00473A10" w:rsidRPr="006A4D11" w:rsidRDefault="00473A10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28B5" w14:textId="77777777" w:rsidR="00473A10" w:rsidRPr="006A4D11" w:rsidRDefault="00473A10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7DEB" w14:textId="77777777" w:rsidR="00473A10" w:rsidRPr="006A4D11" w:rsidRDefault="00473A10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9C3A" w14:textId="56507F19" w:rsidR="00473A10" w:rsidRPr="006A4D11" w:rsidRDefault="00EB2052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3,68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4094" w14:textId="296425CB" w:rsidR="00473A10" w:rsidRPr="006A4D11" w:rsidRDefault="00EB2052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3,01</w:t>
            </w:r>
          </w:p>
        </w:tc>
      </w:tr>
      <w:tr w:rsidR="00473A10" w:rsidRPr="006A4D11" w14:paraId="4D0585C6" w14:textId="77777777" w:rsidTr="00634479">
        <w:trPr>
          <w:trHeight w:val="251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0AB6" w14:textId="77777777" w:rsidR="00473A10" w:rsidRPr="006A4D11" w:rsidRDefault="00473A10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s-CR" w:eastAsia="es-CR"/>
              </w:rPr>
              <w:t>Tasa Fija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C050" w14:textId="510A7CD7" w:rsidR="00473A10" w:rsidRPr="006A4D11" w:rsidRDefault="00EB2052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75,77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6885" w14:textId="4E6291E2" w:rsidR="00473A10" w:rsidRPr="006A4D11" w:rsidRDefault="00EB2052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62,98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9DA4" w14:textId="79AFDE7A" w:rsidR="00473A10" w:rsidRPr="006A4D11" w:rsidRDefault="00EB2052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95,91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88ED" w14:textId="2DAAC2E9" w:rsidR="00473A10" w:rsidRPr="006A4D11" w:rsidRDefault="00EB2052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89,05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B899" w14:textId="3770C591" w:rsidR="00473A10" w:rsidRPr="006A4D11" w:rsidRDefault="00EB2052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81,81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B0E1" w14:textId="6AB15181" w:rsidR="00473A10" w:rsidRPr="006A4D11" w:rsidRDefault="00473A10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93,</w:t>
            </w:r>
            <w:r w:rsidR="00EB2052"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26</w:t>
            </w:r>
          </w:p>
        </w:tc>
      </w:tr>
      <w:tr w:rsidR="00473A10" w:rsidRPr="006A4D11" w14:paraId="509C672E" w14:textId="77777777" w:rsidTr="00634479">
        <w:trPr>
          <w:trHeight w:val="251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D531" w14:textId="77777777" w:rsidR="00473A10" w:rsidRPr="006A4D11" w:rsidRDefault="00473A10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s-CR" w:eastAsia="es-CR"/>
              </w:rPr>
              <w:t>Tasa Variable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B7F5" w14:textId="57C3463F" w:rsidR="00473A10" w:rsidRPr="006A4D11" w:rsidRDefault="00EB2052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24,23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EED9" w14:textId="5DCDDDD3" w:rsidR="00473A10" w:rsidRPr="006A4D11" w:rsidRDefault="00EB2052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37,02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C132" w14:textId="0437EE05" w:rsidR="00473A10" w:rsidRPr="006A4D11" w:rsidRDefault="00EB2052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4,09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3DC8" w14:textId="08700388" w:rsidR="00473A10" w:rsidRPr="006A4D11" w:rsidRDefault="00EB2052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10,95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F859" w14:textId="6126012A" w:rsidR="00473A10" w:rsidRPr="006A4D11" w:rsidRDefault="00EB2052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14,51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4E3D" w14:textId="077755F5" w:rsidR="00473A10" w:rsidRPr="006A4D11" w:rsidRDefault="00EB2052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3,73</w:t>
            </w:r>
          </w:p>
        </w:tc>
      </w:tr>
      <w:tr w:rsidR="00473A10" w:rsidRPr="006A4D11" w14:paraId="74AE3872" w14:textId="77777777" w:rsidTr="00634479">
        <w:trPr>
          <w:trHeight w:val="251"/>
          <w:jc w:val="center"/>
        </w:trPr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F3491" w14:textId="77777777" w:rsidR="00473A10" w:rsidRPr="006A4D11" w:rsidRDefault="00473A10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s-CR" w:eastAsia="es-CR"/>
              </w:rPr>
              <w:t>Total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064E1" w14:textId="77777777" w:rsidR="00473A10" w:rsidRPr="006A4D11" w:rsidRDefault="00473A10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s-CR" w:eastAsia="es-CR"/>
              </w:rPr>
              <w:t>100,00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B1383" w14:textId="77777777" w:rsidR="00473A10" w:rsidRPr="006A4D11" w:rsidRDefault="00473A10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s-CR" w:eastAsia="es-CR"/>
              </w:rPr>
              <w:t>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84128" w14:textId="77777777" w:rsidR="00473A10" w:rsidRPr="006A4D11" w:rsidRDefault="00473A10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s-CR" w:eastAsia="es-CR"/>
              </w:rPr>
              <w:t>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8A10E" w14:textId="77777777" w:rsidR="00473A10" w:rsidRPr="006A4D11" w:rsidRDefault="00473A10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s-CR" w:eastAsia="es-CR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763F0" w14:textId="77777777" w:rsidR="00473A10" w:rsidRPr="006A4D11" w:rsidRDefault="00473A10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s-CR" w:eastAsia="es-CR"/>
              </w:rPr>
              <w:t>100,00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1BD76" w14:textId="77777777" w:rsidR="00473A10" w:rsidRPr="006A4D11" w:rsidRDefault="00473A10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s-CR" w:eastAsia="es-CR"/>
              </w:rPr>
            </w:pPr>
            <w:r w:rsidRPr="006A4D1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s-CR" w:eastAsia="es-CR"/>
              </w:rPr>
              <w:t>100,00</w:t>
            </w:r>
          </w:p>
        </w:tc>
      </w:tr>
    </w:tbl>
    <w:p w14:paraId="1CF121DF" w14:textId="24137C66" w:rsidR="00775F04" w:rsidRPr="009B09B5" w:rsidRDefault="00BA06A6" w:rsidP="00AE3107">
      <w:pPr>
        <w:spacing w:after="0"/>
        <w:rPr>
          <w:rFonts w:ascii="Times New Roman" w:hAnsi="Times New Roman" w:cs="Times New Roman"/>
          <w:b/>
          <w:lang w:val="es-CR"/>
        </w:rPr>
      </w:pPr>
      <w:r w:rsidRPr="009B09B5">
        <w:rPr>
          <w:rFonts w:ascii="Times New Roman" w:hAnsi="Times New Roman" w:cs="Times New Roman"/>
          <w:b/>
          <w:lang w:val="es-CR"/>
        </w:rPr>
        <w:t xml:space="preserve">  </w:t>
      </w:r>
    </w:p>
    <w:p w14:paraId="1A98139F" w14:textId="77777777" w:rsidR="00E41396" w:rsidRPr="009B09B5" w:rsidRDefault="00E41396" w:rsidP="00AE3107">
      <w:pPr>
        <w:spacing w:after="0"/>
        <w:rPr>
          <w:rFonts w:ascii="Times New Roman" w:hAnsi="Times New Roman" w:cs="Times New Roman"/>
          <w:b/>
          <w:lang w:val="es-CR"/>
        </w:rPr>
      </w:pPr>
    </w:p>
    <w:p w14:paraId="46331638" w14:textId="26A3452F" w:rsidR="00506B5D" w:rsidRDefault="00884C70" w:rsidP="00AE3107">
      <w:pPr>
        <w:pStyle w:val="Ttulo1"/>
      </w:pPr>
      <w:bookmarkStart w:id="30" w:name="_Toc505348336"/>
      <w:bookmarkStart w:id="31" w:name="_Toc506207746"/>
      <w:bookmarkStart w:id="32" w:name="_Toc506212327"/>
      <w:bookmarkStart w:id="33" w:name="_Toc526840860"/>
      <w:r w:rsidRPr="00E87B5C">
        <w:t>Rentabilidad</w:t>
      </w:r>
      <w:bookmarkEnd w:id="30"/>
      <w:bookmarkEnd w:id="31"/>
      <w:bookmarkEnd w:id="32"/>
      <w:bookmarkEnd w:id="33"/>
    </w:p>
    <w:p w14:paraId="60A1D5B1" w14:textId="77777777" w:rsidR="006F3DBC" w:rsidRPr="006F3DBC" w:rsidRDefault="006F3DBC" w:rsidP="00AE3107">
      <w:pPr>
        <w:spacing w:after="0"/>
      </w:pPr>
    </w:p>
    <w:p w14:paraId="7989B71C" w14:textId="24C6A740" w:rsidR="00AA3DF5" w:rsidRPr="009B09B5" w:rsidRDefault="00AA3DF5" w:rsidP="00AE3107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lang w:val="es-CR"/>
        </w:rPr>
      </w:pPr>
      <w:r w:rsidRPr="009B09B5">
        <w:rPr>
          <w:rFonts w:ascii="Times New Roman" w:hAnsi="Times New Roman" w:cs="Times New Roman"/>
          <w:sz w:val="22"/>
          <w:lang w:val="es-CR"/>
        </w:rPr>
        <w:t>Durante el 2</w:t>
      </w:r>
      <w:r w:rsidR="00C64D8F" w:rsidRPr="009B09B5">
        <w:rPr>
          <w:rFonts w:ascii="Times New Roman" w:hAnsi="Times New Roman" w:cs="Times New Roman"/>
          <w:sz w:val="22"/>
          <w:lang w:val="es-CR"/>
        </w:rPr>
        <w:t>018</w:t>
      </w:r>
      <w:r w:rsidRPr="009B09B5">
        <w:rPr>
          <w:rFonts w:ascii="Times New Roman" w:hAnsi="Times New Roman" w:cs="Times New Roman"/>
          <w:sz w:val="22"/>
          <w:lang w:val="es-CR"/>
        </w:rPr>
        <w:t xml:space="preserve"> </w:t>
      </w:r>
      <w:r w:rsidR="00C64D8F" w:rsidRPr="009B09B5">
        <w:rPr>
          <w:rFonts w:ascii="Times New Roman" w:hAnsi="Times New Roman" w:cs="Times New Roman"/>
          <w:sz w:val="22"/>
          <w:lang w:val="es-CR"/>
        </w:rPr>
        <w:t>ha continuado, aunque en menor medida, el aumento</w:t>
      </w:r>
      <w:r w:rsidRPr="009B09B5">
        <w:rPr>
          <w:rFonts w:ascii="Times New Roman" w:hAnsi="Times New Roman" w:cs="Times New Roman"/>
          <w:sz w:val="22"/>
          <w:lang w:val="es-CR"/>
        </w:rPr>
        <w:t xml:space="preserve"> las tasas locales, afectando el valor de </w:t>
      </w:r>
      <w:r w:rsidR="00BD4F3D" w:rsidRPr="009B09B5">
        <w:rPr>
          <w:rFonts w:ascii="Times New Roman" w:hAnsi="Times New Roman" w:cs="Times New Roman"/>
          <w:sz w:val="22"/>
          <w:lang w:val="es-CR"/>
        </w:rPr>
        <w:t>los activo</w:t>
      </w:r>
      <w:r w:rsidR="006D435A" w:rsidRPr="009B09B5">
        <w:rPr>
          <w:rFonts w:ascii="Times New Roman" w:hAnsi="Times New Roman" w:cs="Times New Roman"/>
          <w:sz w:val="22"/>
          <w:lang w:val="es-CR"/>
        </w:rPr>
        <w:t>s que conforman los portafolios</w:t>
      </w:r>
      <w:r w:rsidRPr="009B09B5">
        <w:rPr>
          <w:rFonts w:ascii="Times New Roman" w:hAnsi="Times New Roman" w:cs="Times New Roman"/>
          <w:sz w:val="22"/>
          <w:lang w:val="es-CR"/>
        </w:rPr>
        <w:t xml:space="preserve"> y por tanto su rentabilidad.</w:t>
      </w:r>
    </w:p>
    <w:p w14:paraId="5AEA6258" w14:textId="42502237" w:rsidR="004478E3" w:rsidRPr="00D8692A" w:rsidRDefault="000274D4" w:rsidP="00AE3107">
      <w:pPr>
        <w:spacing w:after="0"/>
        <w:rPr>
          <w:rFonts w:ascii="Times New Roman" w:hAnsi="Times New Roman" w:cs="Times New Roman"/>
        </w:rPr>
      </w:pPr>
      <w:r w:rsidRPr="009B09B5">
        <w:rPr>
          <w:rFonts w:ascii="Times New Roman" w:hAnsi="Times New Roman" w:cs="Times New Roman"/>
        </w:rPr>
        <w:t xml:space="preserve"> </w:t>
      </w:r>
      <w:r w:rsidR="003E5DFE" w:rsidRPr="009B09B5">
        <w:rPr>
          <w:rFonts w:ascii="Times New Roman" w:hAnsi="Times New Roman" w:cs="Times New Roman"/>
          <w:b/>
        </w:rPr>
        <w:t xml:space="preserve"> </w:t>
      </w:r>
      <w:r w:rsidR="00555CF8" w:rsidRPr="009B09B5">
        <w:rPr>
          <w:rFonts w:ascii="Times New Roman" w:hAnsi="Times New Roman" w:cs="Times New Roman"/>
          <w:b/>
        </w:rPr>
        <w:t xml:space="preserve"> </w:t>
      </w:r>
    </w:p>
    <w:p w14:paraId="59289F6F" w14:textId="6BE03043" w:rsidR="00506B5D" w:rsidRDefault="00467734" w:rsidP="00AE3107">
      <w:pPr>
        <w:pStyle w:val="Ttulo2"/>
        <w:spacing w:before="0"/>
      </w:pPr>
      <w:bookmarkStart w:id="34" w:name="_Toc505348337"/>
      <w:bookmarkStart w:id="35" w:name="_Toc506207747"/>
      <w:bookmarkStart w:id="36" w:name="_Toc506212328"/>
      <w:bookmarkStart w:id="37" w:name="_Toc526840861"/>
      <w:r w:rsidRPr="009B09B5">
        <w:t xml:space="preserve">Plusvalías y </w:t>
      </w:r>
      <w:r w:rsidRPr="006F3DBC">
        <w:t>minusvalías</w:t>
      </w:r>
      <w:bookmarkEnd w:id="34"/>
      <w:bookmarkEnd w:id="35"/>
      <w:bookmarkEnd w:id="36"/>
      <w:bookmarkEnd w:id="37"/>
      <w:r w:rsidRPr="009B09B5">
        <w:t xml:space="preserve"> </w:t>
      </w:r>
    </w:p>
    <w:p w14:paraId="12A87945" w14:textId="77777777" w:rsidR="006F3DBC" w:rsidRPr="006F3DBC" w:rsidRDefault="006F3DBC" w:rsidP="00AE3107">
      <w:pPr>
        <w:spacing w:after="0"/>
      </w:pPr>
    </w:p>
    <w:p w14:paraId="29A9D22B" w14:textId="76174191" w:rsidR="00F17558" w:rsidRPr="00511DDE" w:rsidRDefault="004478E3" w:rsidP="00AE3107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2"/>
          <w:lang w:val="es-CR" w:eastAsia="es-CR"/>
        </w:rPr>
      </w:pPr>
      <w:r w:rsidRPr="00595A16">
        <w:rPr>
          <w:rFonts w:ascii="Times New Roman" w:eastAsia="Times New Roman" w:hAnsi="Times New Roman" w:cs="Times New Roman"/>
          <w:color w:val="000000" w:themeColor="text1"/>
          <w:sz w:val="22"/>
          <w:lang w:val="es-CR" w:eastAsia="es-CR"/>
        </w:rPr>
        <w:t xml:space="preserve">Las </w:t>
      </w:r>
      <w:r w:rsidR="00E41396" w:rsidRPr="00595A16">
        <w:rPr>
          <w:rFonts w:ascii="Times New Roman" w:eastAsia="Times New Roman" w:hAnsi="Times New Roman" w:cs="Times New Roman"/>
          <w:color w:val="000000" w:themeColor="text1"/>
          <w:sz w:val="22"/>
          <w:lang w:val="es-CR" w:eastAsia="es-CR"/>
        </w:rPr>
        <w:t>minusvalías</w:t>
      </w:r>
      <w:r w:rsidR="00E5251B" w:rsidRPr="00595A16">
        <w:rPr>
          <w:rFonts w:ascii="Times New Roman" w:eastAsia="Times New Roman" w:hAnsi="Times New Roman" w:cs="Times New Roman"/>
          <w:color w:val="000000" w:themeColor="text1"/>
          <w:sz w:val="22"/>
          <w:lang w:val="es-CR" w:eastAsia="es-CR"/>
        </w:rPr>
        <w:t xml:space="preserve"> no realizadas en</w:t>
      </w:r>
      <w:r w:rsidRPr="00595A16">
        <w:rPr>
          <w:rFonts w:ascii="Times New Roman" w:eastAsia="Times New Roman" w:hAnsi="Times New Roman" w:cs="Times New Roman"/>
          <w:color w:val="000000" w:themeColor="text1"/>
          <w:sz w:val="22"/>
          <w:lang w:val="es-CR" w:eastAsia="es-CR"/>
        </w:rPr>
        <w:t xml:space="preserve"> las </w:t>
      </w:r>
      <w:r w:rsidRPr="00595A16">
        <w:rPr>
          <w:rFonts w:ascii="Times New Roman" w:hAnsi="Times New Roman" w:cs="Times New Roman"/>
          <w:color w:val="000000" w:themeColor="text1"/>
          <w:sz w:val="22"/>
        </w:rPr>
        <w:t>inversiones</w:t>
      </w:r>
      <w:r w:rsidRPr="00595A16">
        <w:rPr>
          <w:rFonts w:ascii="Times New Roman" w:eastAsia="Times New Roman" w:hAnsi="Times New Roman" w:cs="Times New Roman"/>
          <w:color w:val="000000" w:themeColor="text1"/>
          <w:sz w:val="22"/>
          <w:lang w:val="es-CR" w:eastAsia="es-CR"/>
        </w:rPr>
        <w:t xml:space="preserve"> locales </w:t>
      </w:r>
      <w:r w:rsidR="00E41396" w:rsidRPr="00595A16">
        <w:rPr>
          <w:rFonts w:ascii="Times New Roman" w:eastAsia="Times New Roman" w:hAnsi="Times New Roman" w:cs="Times New Roman"/>
          <w:color w:val="000000" w:themeColor="text1"/>
          <w:sz w:val="22"/>
          <w:lang w:val="es-CR" w:eastAsia="es-CR"/>
        </w:rPr>
        <w:t>han aumento a lo largo del 2018 (disminución del valor de las carteras).</w:t>
      </w:r>
      <w:r w:rsidR="00296500" w:rsidRPr="00595A16">
        <w:rPr>
          <w:rFonts w:ascii="Times New Roman" w:eastAsia="Times New Roman" w:hAnsi="Times New Roman" w:cs="Times New Roman"/>
          <w:color w:val="000000" w:themeColor="text1"/>
          <w:sz w:val="22"/>
          <w:lang w:val="es-CR" w:eastAsia="es-CR"/>
        </w:rPr>
        <w:t xml:space="preserve"> Esta disminución en el precio de los </w:t>
      </w:r>
      <w:r w:rsidR="00296500" w:rsidRPr="00511DDE">
        <w:rPr>
          <w:rFonts w:ascii="Times New Roman" w:eastAsia="Times New Roman" w:hAnsi="Times New Roman" w:cs="Times New Roman"/>
          <w:color w:val="000000" w:themeColor="text1"/>
          <w:sz w:val="22"/>
          <w:lang w:val="es-CR" w:eastAsia="es-CR"/>
        </w:rPr>
        <w:t>instrumentos locales</w:t>
      </w:r>
      <w:r w:rsidRPr="00511DDE">
        <w:rPr>
          <w:rFonts w:ascii="Times New Roman" w:eastAsia="Times New Roman" w:hAnsi="Times New Roman" w:cs="Times New Roman"/>
          <w:color w:val="000000" w:themeColor="text1"/>
          <w:sz w:val="22"/>
          <w:lang w:val="es-CR" w:eastAsia="es-CR"/>
        </w:rPr>
        <w:t xml:space="preserve"> </w:t>
      </w:r>
      <w:r w:rsidR="00E41396" w:rsidRPr="00511DDE">
        <w:rPr>
          <w:rFonts w:ascii="Times New Roman" w:eastAsia="Times New Roman" w:hAnsi="Times New Roman" w:cs="Times New Roman"/>
          <w:color w:val="000000" w:themeColor="text1"/>
          <w:sz w:val="22"/>
          <w:lang w:val="es-CR" w:eastAsia="es-CR"/>
        </w:rPr>
        <w:t>ha representado</w:t>
      </w:r>
      <w:r w:rsidRPr="00511DDE">
        <w:rPr>
          <w:rFonts w:ascii="Times New Roman" w:eastAsia="Times New Roman" w:hAnsi="Times New Roman" w:cs="Times New Roman"/>
          <w:color w:val="000000" w:themeColor="text1"/>
          <w:sz w:val="22"/>
          <w:lang w:val="es-CR" w:eastAsia="es-CR"/>
        </w:rPr>
        <w:t xml:space="preserve"> </w:t>
      </w:r>
      <w:r w:rsidR="003B35C2" w:rsidRPr="00511DDE">
        <w:rPr>
          <w:rFonts w:ascii="Times New Roman" w:eastAsia="Times New Roman" w:hAnsi="Times New Roman" w:cs="Times New Roman"/>
          <w:color w:val="000000" w:themeColor="text1"/>
          <w:sz w:val="22"/>
          <w:lang w:val="es-CR" w:eastAsia="es-CR"/>
        </w:rPr>
        <w:t>cerca de</w:t>
      </w:r>
      <w:r w:rsidR="00E41396" w:rsidRPr="00511DDE">
        <w:rPr>
          <w:rFonts w:ascii="Times New Roman" w:eastAsia="Times New Roman" w:hAnsi="Times New Roman" w:cs="Times New Roman"/>
          <w:color w:val="000000" w:themeColor="text1"/>
          <w:sz w:val="22"/>
          <w:lang w:val="es-CR" w:eastAsia="es-CR"/>
        </w:rPr>
        <w:t xml:space="preserve"> ¢15</w:t>
      </w:r>
      <w:r w:rsidRPr="00511DDE">
        <w:rPr>
          <w:rFonts w:ascii="Times New Roman" w:eastAsia="Times New Roman" w:hAnsi="Times New Roman" w:cs="Times New Roman"/>
          <w:color w:val="000000" w:themeColor="text1"/>
          <w:sz w:val="22"/>
          <w:lang w:val="es-CR" w:eastAsia="es-CR"/>
        </w:rPr>
        <w:t>.000 millones.</w:t>
      </w:r>
      <w:r w:rsidR="00E41396" w:rsidRPr="00511DDE">
        <w:rPr>
          <w:rFonts w:ascii="Times New Roman" w:eastAsia="Times New Roman" w:hAnsi="Times New Roman" w:cs="Times New Roman"/>
          <w:color w:val="000000" w:themeColor="text1"/>
          <w:sz w:val="22"/>
          <w:lang w:val="es-CR" w:eastAsia="es-CR"/>
        </w:rPr>
        <w:t xml:space="preserve"> </w:t>
      </w:r>
      <w:r w:rsidR="00092E23" w:rsidRPr="00511DDE">
        <w:rPr>
          <w:rFonts w:ascii="Times New Roman" w:eastAsia="Times New Roman" w:hAnsi="Times New Roman" w:cs="Times New Roman"/>
          <w:color w:val="000000" w:themeColor="text1"/>
          <w:sz w:val="22"/>
          <w:lang w:val="es-CR" w:eastAsia="es-CR"/>
        </w:rPr>
        <w:t>Adicionalmente, las</w:t>
      </w:r>
      <w:r w:rsidRPr="00511DDE">
        <w:rPr>
          <w:rFonts w:ascii="Times New Roman" w:eastAsia="Times New Roman" w:hAnsi="Times New Roman" w:cs="Times New Roman"/>
          <w:color w:val="000000" w:themeColor="text1"/>
          <w:sz w:val="22"/>
          <w:lang w:val="es-CR" w:eastAsia="es-CR"/>
        </w:rPr>
        <w:t xml:space="preserve"> </w:t>
      </w:r>
      <w:r w:rsidR="00092E23" w:rsidRPr="00511DDE">
        <w:rPr>
          <w:rFonts w:ascii="Times New Roman" w:eastAsia="Times New Roman" w:hAnsi="Times New Roman" w:cs="Times New Roman"/>
          <w:color w:val="000000" w:themeColor="text1"/>
          <w:sz w:val="22"/>
          <w:lang w:val="es-CR" w:eastAsia="es-CR"/>
        </w:rPr>
        <w:t>plusvalías</w:t>
      </w:r>
      <w:r w:rsidRPr="00511DDE">
        <w:rPr>
          <w:rFonts w:ascii="Times New Roman" w:eastAsia="Times New Roman" w:hAnsi="Times New Roman" w:cs="Times New Roman"/>
          <w:color w:val="000000" w:themeColor="text1"/>
          <w:sz w:val="22"/>
          <w:lang w:val="es-CR" w:eastAsia="es-CR"/>
        </w:rPr>
        <w:t xml:space="preserve"> en valo</w:t>
      </w:r>
      <w:r w:rsidR="00936156" w:rsidRPr="00511DDE">
        <w:rPr>
          <w:rFonts w:ascii="Times New Roman" w:eastAsia="Times New Roman" w:hAnsi="Times New Roman" w:cs="Times New Roman"/>
          <w:color w:val="000000" w:themeColor="text1"/>
          <w:sz w:val="22"/>
          <w:lang w:val="es-CR" w:eastAsia="es-CR"/>
        </w:rPr>
        <w:t xml:space="preserve">res extranjeros han </w:t>
      </w:r>
      <w:r w:rsidR="00092E23" w:rsidRPr="00511DDE">
        <w:rPr>
          <w:rFonts w:ascii="Times New Roman" w:eastAsia="Times New Roman" w:hAnsi="Times New Roman" w:cs="Times New Roman"/>
          <w:color w:val="000000" w:themeColor="text1"/>
          <w:sz w:val="22"/>
          <w:lang w:val="es-CR" w:eastAsia="es-CR"/>
        </w:rPr>
        <w:t>disminuido en</w:t>
      </w:r>
      <w:r w:rsidR="00936156" w:rsidRPr="00511DDE">
        <w:rPr>
          <w:rFonts w:ascii="Times New Roman" w:eastAsia="Times New Roman" w:hAnsi="Times New Roman" w:cs="Times New Roman"/>
          <w:color w:val="000000" w:themeColor="text1"/>
          <w:sz w:val="22"/>
          <w:lang w:val="es-CR" w:eastAsia="es-CR"/>
        </w:rPr>
        <w:t xml:space="preserve"> ¢21.900</w:t>
      </w:r>
      <w:r w:rsidRPr="00511DDE">
        <w:rPr>
          <w:rFonts w:ascii="Times New Roman" w:eastAsia="Times New Roman" w:hAnsi="Times New Roman" w:cs="Times New Roman"/>
          <w:color w:val="000000" w:themeColor="text1"/>
          <w:sz w:val="22"/>
          <w:lang w:val="es-CR" w:eastAsia="es-CR"/>
        </w:rPr>
        <w:t xml:space="preserve"> millones. </w:t>
      </w:r>
    </w:p>
    <w:p w14:paraId="4B094038" w14:textId="77777777" w:rsidR="009C0442" w:rsidRDefault="009C0442" w:rsidP="00AE31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214E7F0" w14:textId="09ACF395" w:rsidR="00CF73B8" w:rsidRPr="00595A16" w:rsidRDefault="00CF73B8" w:rsidP="00AE31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95A16">
        <w:rPr>
          <w:rFonts w:ascii="Times New Roman" w:hAnsi="Times New Roman" w:cs="Times New Roman"/>
          <w:b/>
          <w:bCs/>
          <w:color w:val="000000" w:themeColor="text1"/>
        </w:rPr>
        <w:t xml:space="preserve">Cuadro </w:t>
      </w:r>
      <w:r w:rsidR="007A0D27" w:rsidRPr="00595A16">
        <w:rPr>
          <w:rFonts w:ascii="Times New Roman" w:hAnsi="Times New Roman" w:cs="Times New Roman"/>
          <w:b/>
          <w:bCs/>
          <w:color w:val="000000" w:themeColor="text1"/>
        </w:rPr>
        <w:t>7</w:t>
      </w:r>
      <w:r w:rsidRPr="00595A16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5AF93B46" w14:textId="3C291A6F" w:rsidR="00CF73B8" w:rsidRPr="00595A16" w:rsidRDefault="00CC227E" w:rsidP="00AE31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95A16">
        <w:rPr>
          <w:rFonts w:ascii="Times New Roman" w:hAnsi="Times New Roman" w:cs="Times New Roman"/>
          <w:b/>
          <w:bCs/>
          <w:color w:val="000000" w:themeColor="text1"/>
        </w:rPr>
        <w:t>R</w:t>
      </w:r>
      <w:r w:rsidR="006D524C">
        <w:rPr>
          <w:rFonts w:ascii="Times New Roman" w:hAnsi="Times New Roman" w:cs="Times New Roman"/>
          <w:b/>
          <w:bCs/>
          <w:color w:val="000000" w:themeColor="text1"/>
        </w:rPr>
        <w:t xml:space="preserve">égimen </w:t>
      </w:r>
      <w:r w:rsidRPr="00595A16">
        <w:rPr>
          <w:rFonts w:ascii="Times New Roman" w:hAnsi="Times New Roman" w:cs="Times New Roman"/>
          <w:b/>
          <w:bCs/>
          <w:color w:val="000000" w:themeColor="text1"/>
        </w:rPr>
        <w:t>O</w:t>
      </w:r>
      <w:r w:rsidR="006D524C">
        <w:rPr>
          <w:rFonts w:ascii="Times New Roman" w:hAnsi="Times New Roman" w:cs="Times New Roman"/>
          <w:b/>
          <w:bCs/>
          <w:color w:val="000000" w:themeColor="text1"/>
        </w:rPr>
        <w:t xml:space="preserve">bligatorio de </w:t>
      </w:r>
      <w:r w:rsidRPr="00595A16">
        <w:rPr>
          <w:rFonts w:ascii="Times New Roman" w:hAnsi="Times New Roman" w:cs="Times New Roman"/>
          <w:b/>
          <w:bCs/>
          <w:color w:val="000000" w:themeColor="text1"/>
        </w:rPr>
        <w:t>P</w:t>
      </w:r>
      <w:r w:rsidR="006D524C">
        <w:rPr>
          <w:rFonts w:ascii="Times New Roman" w:hAnsi="Times New Roman" w:cs="Times New Roman"/>
          <w:b/>
          <w:bCs/>
          <w:color w:val="000000" w:themeColor="text1"/>
        </w:rPr>
        <w:t>ensiones</w:t>
      </w:r>
      <w:r w:rsidRPr="00595A16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CF73B8" w:rsidRPr="00595A16">
        <w:rPr>
          <w:rFonts w:ascii="Times New Roman" w:hAnsi="Times New Roman" w:cs="Times New Roman"/>
          <w:b/>
          <w:bCs/>
          <w:color w:val="000000" w:themeColor="text1"/>
        </w:rPr>
        <w:t>Plusvalías y Minusvalías</w:t>
      </w:r>
    </w:p>
    <w:p w14:paraId="6CCFEFF1" w14:textId="59EBCECD" w:rsidR="00405E5B" w:rsidRPr="00595A16" w:rsidRDefault="004478E3" w:rsidP="00AE31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95A16">
        <w:rPr>
          <w:rFonts w:ascii="Times New Roman" w:hAnsi="Times New Roman" w:cs="Times New Roman"/>
          <w:b/>
          <w:bCs/>
          <w:color w:val="000000" w:themeColor="text1"/>
        </w:rPr>
        <w:t>(millones de colones)</w:t>
      </w:r>
    </w:p>
    <w:tbl>
      <w:tblPr>
        <w:tblW w:w="7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1200"/>
        <w:gridCol w:w="1200"/>
        <w:gridCol w:w="1200"/>
        <w:gridCol w:w="1200"/>
        <w:gridCol w:w="1200"/>
      </w:tblGrid>
      <w:tr w:rsidR="00405E5B" w:rsidRPr="009C0442" w14:paraId="3C2E13C6" w14:textId="77777777" w:rsidTr="00405E5B">
        <w:trPr>
          <w:trHeight w:val="420"/>
          <w:jc w:val="center"/>
        </w:trPr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FE387" w14:textId="77777777" w:rsidR="00405E5B" w:rsidRPr="009C0442" w:rsidRDefault="00405E5B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Fecha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8776D" w14:textId="77777777" w:rsidR="00405E5B" w:rsidRPr="009C0442" w:rsidRDefault="00405E5B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Disponibilidades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A7214" w14:textId="77777777" w:rsidR="00405E5B" w:rsidRPr="009C0442" w:rsidRDefault="00405E5B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Inversiones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74F2C" w14:textId="77777777" w:rsidR="00405E5B" w:rsidRPr="009C0442" w:rsidRDefault="00405E5B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Plusvalías valores Nacionales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4FFAA" w14:textId="77777777" w:rsidR="00405E5B" w:rsidRPr="009C0442" w:rsidRDefault="00405E5B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Plusvalías valores Extranjeros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0C477" w14:textId="05444D2B" w:rsidR="00405E5B" w:rsidRPr="009C0442" w:rsidRDefault="00F7106C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Total</w:t>
            </w:r>
          </w:p>
        </w:tc>
      </w:tr>
      <w:tr w:rsidR="00412B61" w:rsidRPr="009C0442" w14:paraId="6EA82C0D" w14:textId="77777777" w:rsidTr="00405E5B">
        <w:trPr>
          <w:trHeight w:val="420"/>
          <w:jc w:val="center"/>
        </w:trPr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96739" w14:textId="6B347A38" w:rsidR="00412B61" w:rsidRPr="009C0442" w:rsidRDefault="00412B61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31/01/2018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9DCCF" w14:textId="0FD8EF98" w:rsidR="00412B61" w:rsidRPr="009C0442" w:rsidRDefault="00C46BEF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 xml:space="preserve">48 </w:t>
            </w:r>
            <w:r w:rsidR="00974014"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385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8C8A4" w14:textId="2A8200AE" w:rsidR="00412B61" w:rsidRPr="009C0442" w:rsidRDefault="00C46BEF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 xml:space="preserve">4 957 </w:t>
            </w:r>
            <w:r w:rsidR="00412B61"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655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61472" w14:textId="60054222" w:rsidR="00412B61" w:rsidRPr="009C0442" w:rsidRDefault="00C46BEF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 xml:space="preserve">-7 </w:t>
            </w:r>
            <w:r w:rsidR="00915FE6"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757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B1D3A" w14:textId="7731C7EF" w:rsidR="00412B61" w:rsidRPr="009C0442" w:rsidRDefault="00C46BEF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 xml:space="preserve">29 </w:t>
            </w:r>
            <w:r w:rsidR="00974014"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548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CFC4E" w14:textId="5EE0A66B" w:rsidR="00412B61" w:rsidRPr="009C0442" w:rsidRDefault="00C74E9D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21</w:t>
            </w:r>
            <w:r w:rsidR="00434671"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 xml:space="preserve"> </w:t>
            </w: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791</w:t>
            </w:r>
          </w:p>
        </w:tc>
      </w:tr>
      <w:tr w:rsidR="00412B61" w:rsidRPr="009C0442" w14:paraId="796E22B3" w14:textId="77777777" w:rsidTr="00405E5B">
        <w:trPr>
          <w:trHeight w:val="420"/>
          <w:jc w:val="center"/>
        </w:trPr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EE855" w14:textId="38B63F70" w:rsidR="00412B61" w:rsidRPr="009C0442" w:rsidRDefault="00412B61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28/02/2018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3D73B" w14:textId="2A00DF36" w:rsidR="00412B61" w:rsidRPr="009C0442" w:rsidRDefault="00C46BEF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 xml:space="preserve">78 </w:t>
            </w:r>
            <w:r w:rsidR="00974014"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020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49772" w14:textId="61D7CD77" w:rsidR="00412B61" w:rsidRPr="009C0442" w:rsidRDefault="00C46BEF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 xml:space="preserve">4 923 </w:t>
            </w:r>
            <w:r w:rsidR="00412B61"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577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2E647" w14:textId="65699E53" w:rsidR="00412B61" w:rsidRPr="009C0442" w:rsidRDefault="00C46BEF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 xml:space="preserve">-14 </w:t>
            </w:r>
            <w:r w:rsidR="00974014"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748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900EA" w14:textId="09980B55" w:rsidR="00412B61" w:rsidRPr="009C0442" w:rsidRDefault="00C46BEF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 xml:space="preserve">10 </w:t>
            </w:r>
            <w:r w:rsidR="00974014"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084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50A05" w14:textId="781438F5" w:rsidR="00412B61" w:rsidRPr="009C0442" w:rsidRDefault="00434671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 xml:space="preserve">-4 </w:t>
            </w:r>
            <w:r w:rsidR="003130D4"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662</w:t>
            </w:r>
          </w:p>
        </w:tc>
      </w:tr>
      <w:tr w:rsidR="00412B61" w:rsidRPr="009C0442" w14:paraId="356BFD71" w14:textId="77777777" w:rsidTr="00405E5B">
        <w:trPr>
          <w:trHeight w:val="420"/>
          <w:jc w:val="center"/>
        </w:trPr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638C6" w14:textId="37A5B735" w:rsidR="00412B61" w:rsidRPr="009C0442" w:rsidRDefault="00412B61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31/03/2018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CAE43" w14:textId="2F4B4691" w:rsidR="00412B61" w:rsidRPr="009C0442" w:rsidRDefault="00C46BEF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 xml:space="preserve">79 </w:t>
            </w:r>
            <w:r w:rsidR="00974014"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886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6323C" w14:textId="5F1B50D4" w:rsidR="00412B61" w:rsidRPr="009C0442" w:rsidRDefault="00C46BEF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 xml:space="preserve">5 109 </w:t>
            </w:r>
            <w:r w:rsidR="00412B61"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805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1DEDE" w14:textId="6858CE19" w:rsidR="00412B61" w:rsidRPr="009C0442" w:rsidRDefault="00C46BEF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 xml:space="preserve">-19 </w:t>
            </w:r>
            <w:r w:rsidR="00974014"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971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FD7E5" w14:textId="20A2AF6C" w:rsidR="00412B61" w:rsidRPr="009C0442" w:rsidRDefault="00974014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213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A3FBC" w14:textId="46DBC691" w:rsidR="00412B61" w:rsidRPr="009C0442" w:rsidRDefault="00434671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 xml:space="preserve">-19 </w:t>
            </w:r>
            <w:r w:rsidR="00C74E9D"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758</w:t>
            </w:r>
          </w:p>
        </w:tc>
      </w:tr>
      <w:tr w:rsidR="00412B61" w:rsidRPr="009C0442" w14:paraId="0760FC39" w14:textId="77777777" w:rsidTr="00405E5B">
        <w:trPr>
          <w:trHeight w:val="420"/>
          <w:jc w:val="center"/>
        </w:trPr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6B258" w14:textId="67A20B67" w:rsidR="00412B61" w:rsidRPr="009C0442" w:rsidRDefault="00412B61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30/04/2018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488B9" w14:textId="5A1609C1" w:rsidR="00412B61" w:rsidRPr="009C0442" w:rsidRDefault="00C46BEF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 xml:space="preserve">74 </w:t>
            </w:r>
            <w:r w:rsidR="00974014"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566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E083B" w14:textId="7341010F" w:rsidR="00412B61" w:rsidRPr="009C0442" w:rsidRDefault="00C46BEF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 xml:space="preserve">5 </w:t>
            </w:r>
            <w:r w:rsidR="00412B61"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158</w:t>
            </w: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 xml:space="preserve"> </w:t>
            </w:r>
            <w:r w:rsidR="00412B61"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930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EB646" w14:textId="38D54B20" w:rsidR="00412B61" w:rsidRPr="009C0442" w:rsidRDefault="00C46BEF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 xml:space="preserve">-21 </w:t>
            </w:r>
            <w:r w:rsidR="00974014"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285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35235" w14:textId="1B4D17C1" w:rsidR="00412B61" w:rsidRPr="009C0442" w:rsidRDefault="00C46BEF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 xml:space="preserve">9 </w:t>
            </w:r>
            <w:r w:rsidR="00974014"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315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56643" w14:textId="56FE5EBA" w:rsidR="00412B61" w:rsidRPr="009C0442" w:rsidRDefault="00434671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 xml:space="preserve">-11 </w:t>
            </w:r>
            <w:r w:rsidR="00C74E9D"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970</w:t>
            </w:r>
          </w:p>
        </w:tc>
      </w:tr>
      <w:tr w:rsidR="00412B61" w:rsidRPr="009C0442" w14:paraId="5D45BD4F" w14:textId="77777777" w:rsidTr="00405E5B">
        <w:trPr>
          <w:trHeight w:val="420"/>
          <w:jc w:val="center"/>
        </w:trPr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8CF0E" w14:textId="53C8B2F7" w:rsidR="00412B61" w:rsidRPr="009C0442" w:rsidRDefault="00412B61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31/05/2018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C1658" w14:textId="18F7811A" w:rsidR="00412B61" w:rsidRPr="009C0442" w:rsidRDefault="00C46BEF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 xml:space="preserve">52 </w:t>
            </w:r>
            <w:r w:rsidR="00974014"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048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1E1AC" w14:textId="5BCE62B6" w:rsidR="00412B61" w:rsidRPr="009C0442" w:rsidRDefault="00C46BEF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 xml:space="preserve">5 197 </w:t>
            </w:r>
            <w:r w:rsidR="00412B61"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840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B43B3" w14:textId="5B0EA2F1" w:rsidR="00412B61" w:rsidRPr="009C0442" w:rsidRDefault="00C46BEF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 xml:space="preserve">-24 </w:t>
            </w:r>
            <w:r w:rsidR="00974014"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10E0F" w14:textId="485F69D5" w:rsidR="00412B61" w:rsidRPr="009C0442" w:rsidRDefault="00C46BEF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 xml:space="preserve">11 </w:t>
            </w:r>
            <w:r w:rsidR="00974014"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951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51BBC" w14:textId="6678C251" w:rsidR="00412B61" w:rsidRPr="009C0442" w:rsidRDefault="00434671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 xml:space="preserve">-12 </w:t>
            </w:r>
            <w:r w:rsidR="00C74E9D"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049</w:t>
            </w:r>
          </w:p>
        </w:tc>
      </w:tr>
      <w:tr w:rsidR="00412B61" w:rsidRPr="009C0442" w14:paraId="6ABE129E" w14:textId="77777777" w:rsidTr="00405E5B">
        <w:trPr>
          <w:trHeight w:val="420"/>
          <w:jc w:val="center"/>
        </w:trPr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C5A83" w14:textId="3C508C50" w:rsidR="00412B61" w:rsidRPr="009C0442" w:rsidRDefault="00412B61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30/06/2018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9331F" w14:textId="1F6A8B56" w:rsidR="00412B61" w:rsidRPr="009C0442" w:rsidRDefault="00C46BEF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 xml:space="preserve">42 </w:t>
            </w:r>
            <w:r w:rsidR="00974014"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638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B1CCD" w14:textId="5DC813A6" w:rsidR="00412B61" w:rsidRPr="009C0442" w:rsidRDefault="00C46BEF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 xml:space="preserve">5 241 </w:t>
            </w:r>
            <w:r w:rsidR="00412B61"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229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CDDEF" w14:textId="6FBC7B8D" w:rsidR="00412B61" w:rsidRPr="009C0442" w:rsidRDefault="00C46BEF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 xml:space="preserve">-22 </w:t>
            </w:r>
            <w:r w:rsidR="00974014"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793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ADE3C" w14:textId="78F175DC" w:rsidR="00412B61" w:rsidRPr="009C0442" w:rsidRDefault="00C46BEF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 xml:space="preserve">7 </w:t>
            </w:r>
            <w:r w:rsidR="00974014"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651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C776B" w14:textId="49635AAC" w:rsidR="00412B61" w:rsidRPr="009C0442" w:rsidRDefault="00434671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 xml:space="preserve">-15 </w:t>
            </w:r>
            <w:r w:rsidR="00C74E9D" w:rsidRPr="009C0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142</w:t>
            </w:r>
          </w:p>
        </w:tc>
      </w:tr>
    </w:tbl>
    <w:p w14:paraId="2B87C822" w14:textId="2E957812" w:rsidR="00D8692A" w:rsidRPr="009B09B5" w:rsidRDefault="00C937FF" w:rsidP="00AE3107">
      <w:pPr>
        <w:tabs>
          <w:tab w:val="left" w:pos="7108"/>
        </w:tabs>
        <w:rPr>
          <w:rFonts w:ascii="Times New Roman" w:hAnsi="Times New Roman" w:cs="Times New Roman"/>
        </w:rPr>
      </w:pPr>
      <w:bookmarkStart w:id="38" w:name="_Toc505348338"/>
      <w:bookmarkStart w:id="39" w:name="_Toc506207748"/>
      <w:r w:rsidRPr="009B09B5">
        <w:rPr>
          <w:rFonts w:ascii="Times New Roman" w:hAnsi="Times New Roman" w:cs="Times New Roman"/>
        </w:rPr>
        <w:tab/>
      </w:r>
    </w:p>
    <w:p w14:paraId="20C54CA9" w14:textId="64411A84" w:rsidR="00717DF3" w:rsidRDefault="00D65C85" w:rsidP="00AE3107">
      <w:pPr>
        <w:pStyle w:val="Ttulo2"/>
        <w:spacing w:before="0"/>
      </w:pPr>
      <w:bookmarkStart w:id="40" w:name="_Toc506212329"/>
      <w:bookmarkStart w:id="41" w:name="_Toc526840862"/>
      <w:r w:rsidRPr="009B09B5">
        <w:t>Rentabilidades</w:t>
      </w:r>
      <w:r w:rsidR="006D524C">
        <w:t xml:space="preserve"> a</w:t>
      </w:r>
      <w:r w:rsidRPr="009B09B5">
        <w:t xml:space="preserve"> 3,</w:t>
      </w:r>
      <w:r w:rsidR="006D524C">
        <w:t xml:space="preserve"> </w:t>
      </w:r>
      <w:r w:rsidRPr="009B09B5">
        <w:t xml:space="preserve">5 y 10 </w:t>
      </w:r>
      <w:r w:rsidRPr="00384982">
        <w:t>años</w:t>
      </w:r>
      <w:bookmarkEnd w:id="38"/>
      <w:bookmarkEnd w:id="39"/>
      <w:bookmarkEnd w:id="40"/>
      <w:bookmarkEnd w:id="41"/>
    </w:p>
    <w:p w14:paraId="30A31A9D" w14:textId="6831568F" w:rsidR="006F3DBC" w:rsidRPr="006F3DBC" w:rsidRDefault="006F3DBC" w:rsidP="00AE3107">
      <w:pPr>
        <w:spacing w:after="0"/>
      </w:pPr>
    </w:p>
    <w:p w14:paraId="1EFA2256" w14:textId="048D1AB8" w:rsidR="0040090D" w:rsidRPr="009B09B5" w:rsidRDefault="00CF6ECF" w:rsidP="00AE3107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r w:rsidRPr="009B09B5">
        <w:rPr>
          <w:rFonts w:ascii="Times New Roman" w:hAnsi="Times New Roman" w:cs="Times New Roman"/>
          <w:sz w:val="22"/>
        </w:rPr>
        <w:t xml:space="preserve">Se </w:t>
      </w:r>
      <w:r w:rsidR="00C64914">
        <w:rPr>
          <w:rFonts w:ascii="Times New Roman" w:hAnsi="Times New Roman" w:cs="Times New Roman"/>
          <w:sz w:val="22"/>
        </w:rPr>
        <w:t>pospuso,</w:t>
      </w:r>
      <w:r w:rsidR="00245998" w:rsidRPr="009B09B5">
        <w:rPr>
          <w:rFonts w:ascii="Times New Roman" w:hAnsi="Times New Roman" w:cs="Times New Roman"/>
          <w:sz w:val="22"/>
        </w:rPr>
        <w:t xml:space="preserve"> hasta diciembre</w:t>
      </w:r>
      <w:r w:rsidR="00C64914">
        <w:rPr>
          <w:rFonts w:ascii="Times New Roman" w:hAnsi="Times New Roman" w:cs="Times New Roman"/>
          <w:sz w:val="22"/>
        </w:rPr>
        <w:t xml:space="preserve"> de 2018,</w:t>
      </w:r>
      <w:r w:rsidR="00245998" w:rsidRPr="009B09B5">
        <w:rPr>
          <w:rFonts w:ascii="Times New Roman" w:hAnsi="Times New Roman" w:cs="Times New Roman"/>
          <w:sz w:val="22"/>
        </w:rPr>
        <w:t xml:space="preserve"> la aplicación del acuerdo sobre el </w:t>
      </w:r>
      <w:r w:rsidR="00F7106C" w:rsidRPr="009B09B5">
        <w:rPr>
          <w:rFonts w:ascii="Times New Roman" w:hAnsi="Times New Roman" w:cs="Times New Roman"/>
          <w:sz w:val="22"/>
        </w:rPr>
        <w:t xml:space="preserve">cambio en </w:t>
      </w:r>
      <w:r w:rsidR="00245998" w:rsidRPr="009B09B5">
        <w:rPr>
          <w:rFonts w:ascii="Times New Roman" w:hAnsi="Times New Roman" w:cs="Times New Roman"/>
          <w:sz w:val="22"/>
        </w:rPr>
        <w:t>el uso</w:t>
      </w:r>
      <w:r w:rsidR="0040090D" w:rsidRPr="009B09B5">
        <w:rPr>
          <w:rFonts w:ascii="Times New Roman" w:hAnsi="Times New Roman" w:cs="Times New Roman"/>
          <w:sz w:val="22"/>
        </w:rPr>
        <w:t xml:space="preserve"> de la rentabilidad de los fondos para fines de información o publicidad y el contenido mínimo de los estados de cuenta, (ver sección de normativa) de manera tal que la rentabilidad presentada en l</w:t>
      </w:r>
      <w:r w:rsidR="00F87529" w:rsidRPr="009B09B5">
        <w:rPr>
          <w:rFonts w:ascii="Times New Roman" w:hAnsi="Times New Roman" w:cs="Times New Roman"/>
          <w:sz w:val="22"/>
        </w:rPr>
        <w:t>os estados de cuenta muestre</w:t>
      </w:r>
      <w:r w:rsidR="0040090D" w:rsidRPr="009B09B5">
        <w:rPr>
          <w:rFonts w:ascii="Times New Roman" w:hAnsi="Times New Roman" w:cs="Times New Roman"/>
          <w:sz w:val="22"/>
        </w:rPr>
        <w:t xml:space="preserve"> plazos mayores (3, 5 y 10 años)</w:t>
      </w:r>
      <w:r w:rsidR="00693C1F" w:rsidRPr="009B09B5">
        <w:rPr>
          <w:rFonts w:ascii="Times New Roman" w:hAnsi="Times New Roman" w:cs="Times New Roman"/>
          <w:sz w:val="22"/>
        </w:rPr>
        <w:t>, más acorde</w:t>
      </w:r>
      <w:r w:rsidR="00B36C5B" w:rsidRPr="009B09B5">
        <w:rPr>
          <w:rFonts w:ascii="Times New Roman" w:hAnsi="Times New Roman" w:cs="Times New Roman"/>
          <w:sz w:val="22"/>
        </w:rPr>
        <w:t>s</w:t>
      </w:r>
      <w:r w:rsidR="00693C1F" w:rsidRPr="009B09B5">
        <w:rPr>
          <w:rFonts w:ascii="Times New Roman" w:hAnsi="Times New Roman" w:cs="Times New Roman"/>
          <w:sz w:val="22"/>
        </w:rPr>
        <w:t xml:space="preserve"> con </w:t>
      </w:r>
      <w:r w:rsidR="0040090D" w:rsidRPr="009B09B5">
        <w:rPr>
          <w:rFonts w:ascii="Times New Roman" w:hAnsi="Times New Roman" w:cs="Times New Roman"/>
          <w:sz w:val="22"/>
        </w:rPr>
        <w:t>el horizonte de inversión de largo plazo de los fondos de pensiones.</w:t>
      </w:r>
    </w:p>
    <w:p w14:paraId="762F9618" w14:textId="15A08E52" w:rsidR="009C0442" w:rsidRDefault="009C0442" w:rsidP="00AE3107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2"/>
        </w:rPr>
      </w:pPr>
    </w:p>
    <w:p w14:paraId="20923738" w14:textId="77777777" w:rsidR="009C0442" w:rsidRPr="009B09B5" w:rsidRDefault="009C0442" w:rsidP="00AE3107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2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4"/>
        <w:gridCol w:w="1299"/>
        <w:gridCol w:w="1197"/>
        <w:gridCol w:w="1532"/>
        <w:gridCol w:w="1766"/>
        <w:gridCol w:w="1172"/>
      </w:tblGrid>
      <w:tr w:rsidR="00C141E1" w:rsidRPr="00C46BEF" w14:paraId="08360EA6" w14:textId="77777777" w:rsidTr="00F82C3D">
        <w:trPr>
          <w:trHeight w:val="375"/>
        </w:trPr>
        <w:tc>
          <w:tcPr>
            <w:tcW w:w="9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2E0BC" w14:textId="08FE5CF2" w:rsidR="00CF73B8" w:rsidRPr="00C46BEF" w:rsidRDefault="00CF73B8" w:rsidP="00AE31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46B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Cuadro </w:t>
            </w:r>
            <w:r w:rsidR="007A0D27" w:rsidRPr="00C46B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  <w:r w:rsidR="001813D4" w:rsidRPr="00C46B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</w:p>
          <w:p w14:paraId="0C893EAC" w14:textId="08FFCB58" w:rsidR="00C141E1" w:rsidRPr="00C46BEF" w:rsidRDefault="00CC227E" w:rsidP="00AE31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46B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ROP: </w:t>
            </w:r>
            <w:r w:rsidR="00C141E1" w:rsidRPr="00C46B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Rentabilidades nominales</w:t>
            </w:r>
            <w:r w:rsidR="0043467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(porcentajes)</w:t>
            </w:r>
          </w:p>
        </w:tc>
      </w:tr>
      <w:tr w:rsidR="00C141E1" w:rsidRPr="00C46BEF" w14:paraId="095B7B98" w14:textId="77777777" w:rsidTr="00F82C3D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CB8B2" w14:textId="77777777" w:rsidR="00C141E1" w:rsidRPr="00C46BEF" w:rsidRDefault="00C141E1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CR" w:eastAsia="es-CR"/>
              </w:rPr>
            </w:pPr>
            <w:r w:rsidRPr="00C46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CR" w:eastAsia="es-CR"/>
              </w:rPr>
              <w:lastRenderedPageBreak/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63597" w14:textId="77777777" w:rsidR="00C141E1" w:rsidRPr="00C46BEF" w:rsidRDefault="00C141E1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CR" w:eastAsia="es-CR"/>
              </w:rPr>
            </w:pPr>
            <w:r w:rsidRPr="00C46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CR" w:eastAsia="es-CR"/>
              </w:rPr>
              <w:t>3 años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2D326" w14:textId="2D347DBE" w:rsidR="00C141E1" w:rsidRPr="00C46BEF" w:rsidRDefault="00C141E1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CR" w:eastAsia="es-CR"/>
              </w:rPr>
            </w:pPr>
            <w:r w:rsidRPr="00C46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CR" w:eastAsia="es-CR"/>
              </w:rPr>
              <w:t>5</w:t>
            </w:r>
            <w:r w:rsidR="006365AB" w:rsidRPr="00C46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CR" w:eastAsia="es-CR"/>
              </w:rPr>
              <w:t xml:space="preserve"> </w:t>
            </w:r>
            <w:r w:rsidRPr="00C46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CR" w:eastAsia="es-CR"/>
              </w:rPr>
              <w:t>años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B24DC" w14:textId="77777777" w:rsidR="00C141E1" w:rsidRPr="00C46BEF" w:rsidRDefault="00C141E1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CR" w:eastAsia="es-CR"/>
              </w:rPr>
            </w:pPr>
            <w:r w:rsidRPr="00C46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CR" w:eastAsia="es-CR"/>
              </w:rPr>
              <w:t>10 años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1CD68" w14:textId="77777777" w:rsidR="00C141E1" w:rsidRPr="00C46BEF" w:rsidRDefault="00C141E1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CR" w:eastAsia="es-CR"/>
              </w:rPr>
            </w:pPr>
            <w:r w:rsidRPr="00C46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CR" w:eastAsia="es-CR"/>
              </w:rPr>
              <w:t>Histórico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2058C" w14:textId="77777777" w:rsidR="00C141E1" w:rsidRPr="00C46BEF" w:rsidRDefault="00C141E1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CR" w:eastAsia="es-CR"/>
              </w:rPr>
            </w:pPr>
            <w:r w:rsidRPr="00C46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CR" w:eastAsia="es-CR"/>
              </w:rPr>
              <w:t>Anual</w:t>
            </w:r>
          </w:p>
        </w:tc>
      </w:tr>
      <w:tr w:rsidR="00C8255E" w:rsidRPr="00C46BEF" w14:paraId="22AD6362" w14:textId="77777777" w:rsidTr="00F82C3D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1E62" w14:textId="15AEDD78" w:rsidR="00C8255E" w:rsidRPr="00C46BEF" w:rsidRDefault="00C8255E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</w:pPr>
            <w:r w:rsidRPr="00C46BEF"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  <w:t>31 de diciembre 2017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56DD" w14:textId="0444F77E" w:rsidR="00C8255E" w:rsidRPr="00C46BEF" w:rsidRDefault="00C8255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</w:pPr>
            <w:r w:rsidRPr="00C46BEF"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  <w:t>8,53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3E24" w14:textId="35EBD95E" w:rsidR="00C8255E" w:rsidRPr="00C46BEF" w:rsidRDefault="00C8255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</w:pPr>
            <w:r w:rsidRPr="00C46BEF"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  <w:t>9,14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CD75" w14:textId="4E903E53" w:rsidR="00C8255E" w:rsidRPr="00C46BEF" w:rsidRDefault="00C8255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</w:pPr>
            <w:r w:rsidRPr="00C46BEF"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  <w:t>8,89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EE4C" w14:textId="2498056E" w:rsidR="00C8255E" w:rsidRPr="00C46BEF" w:rsidRDefault="00C8255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</w:pPr>
            <w:r w:rsidRPr="00C46BEF"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  <w:t>12,14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CFED" w14:textId="7C4E53E4" w:rsidR="00C8255E" w:rsidRPr="00C46BEF" w:rsidRDefault="00C8255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</w:pPr>
            <w:r w:rsidRPr="00C46BEF"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  <w:t>6,49</w:t>
            </w:r>
          </w:p>
        </w:tc>
      </w:tr>
      <w:tr w:rsidR="00C141E1" w:rsidRPr="00C46BEF" w14:paraId="307A9BE2" w14:textId="77777777" w:rsidTr="00F82C3D">
        <w:trPr>
          <w:trHeight w:val="315"/>
        </w:trPr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1E931" w14:textId="429D9BA8" w:rsidR="00C141E1" w:rsidRPr="00C46BEF" w:rsidRDefault="00C8255E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</w:pPr>
            <w:r w:rsidRPr="00C46BEF"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  <w:t>30 de junio</w:t>
            </w:r>
            <w:r w:rsidR="00B36C5B" w:rsidRPr="00C46BEF"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  <w:t xml:space="preserve"> 2</w:t>
            </w:r>
            <w:r w:rsidRPr="00C46BEF"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  <w:t>018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BB8F8" w14:textId="5D600AA7" w:rsidR="00C141E1" w:rsidRPr="00C46BEF" w:rsidRDefault="00C8255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</w:pPr>
            <w:r w:rsidRPr="00C46BEF"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  <w:t>7,78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3D677" w14:textId="20945521" w:rsidR="00C141E1" w:rsidRPr="00C46BEF" w:rsidRDefault="00C8255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</w:pPr>
            <w:r w:rsidRPr="00C46BEF"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  <w:t>7,90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75AEF" w14:textId="78EEFB74" w:rsidR="00C141E1" w:rsidRPr="00C46BEF" w:rsidRDefault="00C8255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</w:pPr>
            <w:r w:rsidRPr="00C46BEF"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  <w:t>8,88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87C82" w14:textId="4E75B67F" w:rsidR="00C141E1" w:rsidRPr="00C46BEF" w:rsidRDefault="00C8255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</w:pPr>
            <w:r w:rsidRPr="00C46BEF"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  <w:t>11,98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D6078" w14:textId="1E19C5B7" w:rsidR="00C141E1" w:rsidRPr="00C46BEF" w:rsidRDefault="00C8255E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</w:pPr>
            <w:r w:rsidRPr="00C46BEF">
              <w:rPr>
                <w:rFonts w:ascii="Times New Roman" w:eastAsia="Times New Roman" w:hAnsi="Times New Roman" w:cs="Times New Roman"/>
                <w:color w:val="000000" w:themeColor="text1"/>
                <w:lang w:val="es-CR" w:eastAsia="es-CR"/>
              </w:rPr>
              <w:t>5,94</w:t>
            </w:r>
          </w:p>
        </w:tc>
      </w:tr>
    </w:tbl>
    <w:p w14:paraId="75C65741" w14:textId="20B39E14" w:rsidR="00211328" w:rsidRDefault="00211328" w:rsidP="00AE3107">
      <w:pPr>
        <w:rPr>
          <w:rFonts w:ascii="Times New Roman" w:hAnsi="Times New Roman" w:cs="Times New Roman"/>
        </w:rPr>
      </w:pPr>
    </w:p>
    <w:p w14:paraId="25C42D46" w14:textId="77777777" w:rsidR="009C0442" w:rsidRPr="009B09B5" w:rsidRDefault="009C0442" w:rsidP="00AE3107">
      <w:pPr>
        <w:rPr>
          <w:rFonts w:ascii="Times New Roman" w:hAnsi="Times New Roman" w:cs="Times New Roman"/>
        </w:rPr>
      </w:pPr>
    </w:p>
    <w:p w14:paraId="2C9EDEC5" w14:textId="372C14DE" w:rsidR="00717DF3" w:rsidRDefault="00764214" w:rsidP="00AE3107">
      <w:pPr>
        <w:pStyle w:val="Ttulo1"/>
      </w:pPr>
      <w:bookmarkStart w:id="42" w:name="_Toc505348341"/>
      <w:bookmarkStart w:id="43" w:name="_Toc506207751"/>
      <w:bookmarkStart w:id="44" w:name="_Toc506212332"/>
      <w:bookmarkStart w:id="45" w:name="_Toc526840863"/>
      <w:r w:rsidRPr="00E87B5C">
        <w:t>Pensionados</w:t>
      </w:r>
      <w:bookmarkEnd w:id="42"/>
      <w:bookmarkEnd w:id="43"/>
      <w:bookmarkEnd w:id="44"/>
      <w:bookmarkEnd w:id="45"/>
      <w:r w:rsidRPr="00AA7E36">
        <w:t xml:space="preserve"> </w:t>
      </w:r>
    </w:p>
    <w:p w14:paraId="312969AF" w14:textId="77777777" w:rsidR="006F3DBC" w:rsidRPr="006F3DBC" w:rsidRDefault="006F3DBC" w:rsidP="00AE3107">
      <w:pPr>
        <w:spacing w:after="0"/>
      </w:pPr>
    </w:p>
    <w:p w14:paraId="37625A1A" w14:textId="2C2EC52C" w:rsidR="00717DF3" w:rsidRDefault="000D1F7E" w:rsidP="00AE3107">
      <w:pPr>
        <w:pStyle w:val="Ttulo2"/>
        <w:spacing w:before="0"/>
      </w:pPr>
      <w:bookmarkStart w:id="46" w:name="_Toc505348342"/>
      <w:bookmarkStart w:id="47" w:name="_Toc506207752"/>
      <w:bookmarkStart w:id="48" w:name="_Toc506212333"/>
      <w:bookmarkStart w:id="49" w:name="_Toc526840864"/>
      <w:r w:rsidRPr="009B09B5">
        <w:t>Pensionados</w:t>
      </w:r>
      <w:r w:rsidR="00717DF3">
        <w:t xml:space="preserve"> por el</w:t>
      </w:r>
      <w:r w:rsidRPr="009B09B5">
        <w:t xml:space="preserve"> </w:t>
      </w:r>
      <w:r w:rsidR="00717DF3">
        <w:t xml:space="preserve">Régimen </w:t>
      </w:r>
      <w:r w:rsidR="00083E97" w:rsidRPr="00384982">
        <w:t>O</w:t>
      </w:r>
      <w:r w:rsidR="00717DF3">
        <w:t xml:space="preserve">bligatorio de </w:t>
      </w:r>
      <w:bookmarkEnd w:id="46"/>
      <w:bookmarkEnd w:id="47"/>
      <w:bookmarkEnd w:id="48"/>
      <w:r w:rsidR="00717DF3" w:rsidRPr="00384982">
        <w:t>P</w:t>
      </w:r>
      <w:r w:rsidR="00717DF3">
        <w:t>ensiones Complementarias</w:t>
      </w:r>
      <w:bookmarkEnd w:id="49"/>
    </w:p>
    <w:p w14:paraId="194F05C0" w14:textId="77777777" w:rsidR="006F3DBC" w:rsidRPr="006F3DBC" w:rsidRDefault="006F3DBC" w:rsidP="00AE3107">
      <w:pPr>
        <w:spacing w:after="0"/>
      </w:pPr>
    </w:p>
    <w:p w14:paraId="39FC7520" w14:textId="77777777" w:rsidR="007E05A2" w:rsidRPr="002658BF" w:rsidRDefault="004D459E" w:rsidP="00AE3107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2658BF">
        <w:rPr>
          <w:rFonts w:ascii="Times New Roman" w:hAnsi="Times New Roman" w:cs="Times New Roman"/>
          <w:color w:val="000000" w:themeColor="text1"/>
          <w:sz w:val="22"/>
        </w:rPr>
        <w:t xml:space="preserve">El número de pensionados </w:t>
      </w:r>
      <w:r w:rsidR="00661B82" w:rsidRPr="002658BF">
        <w:rPr>
          <w:rFonts w:ascii="Times New Roman" w:hAnsi="Times New Roman" w:cs="Times New Roman"/>
          <w:color w:val="000000" w:themeColor="text1"/>
          <w:sz w:val="22"/>
        </w:rPr>
        <w:t xml:space="preserve">ha venido aumentando año a año. </w:t>
      </w:r>
      <w:r w:rsidR="004E1415" w:rsidRPr="002658BF">
        <w:rPr>
          <w:rFonts w:ascii="Times New Roman" w:hAnsi="Times New Roman" w:cs="Times New Roman"/>
          <w:color w:val="000000" w:themeColor="text1"/>
          <w:sz w:val="22"/>
        </w:rPr>
        <w:t xml:space="preserve">Se presentan las tres categorías: retiro total, retiro programado y retiro permanente. </w:t>
      </w:r>
    </w:p>
    <w:p w14:paraId="190DA638" w14:textId="582C63C6" w:rsidR="004E1415" w:rsidRPr="002658BF" w:rsidRDefault="00B14592" w:rsidP="00AE3107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2658BF">
        <w:rPr>
          <w:rFonts w:ascii="Times New Roman" w:hAnsi="Times New Roman" w:cs="Times New Roman"/>
          <w:color w:val="000000" w:themeColor="text1"/>
          <w:sz w:val="22"/>
        </w:rPr>
        <w:t xml:space="preserve">Los </w:t>
      </w:r>
      <w:r w:rsidR="005A06F3" w:rsidRPr="002658BF">
        <w:rPr>
          <w:rFonts w:ascii="Times New Roman" w:hAnsi="Times New Roman" w:cs="Times New Roman"/>
          <w:color w:val="000000" w:themeColor="text1"/>
          <w:sz w:val="22"/>
        </w:rPr>
        <w:t xml:space="preserve">retiros programados </w:t>
      </w:r>
      <w:r w:rsidR="00C8255E" w:rsidRPr="002658BF">
        <w:rPr>
          <w:rFonts w:ascii="Times New Roman" w:hAnsi="Times New Roman" w:cs="Times New Roman"/>
          <w:color w:val="000000" w:themeColor="text1"/>
          <w:sz w:val="22"/>
        </w:rPr>
        <w:t>alcanzaron los 2 456 movimientos en junio del 2018.</w:t>
      </w:r>
      <w:r w:rsidR="005A06F3" w:rsidRPr="002658BF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2658BF">
        <w:rPr>
          <w:rFonts w:ascii="Times New Roman" w:hAnsi="Times New Roman" w:cs="Times New Roman"/>
          <w:color w:val="000000" w:themeColor="text1"/>
          <w:sz w:val="22"/>
        </w:rPr>
        <w:t xml:space="preserve">Por su parte, </w:t>
      </w:r>
      <w:r w:rsidR="00CF37EE" w:rsidRPr="002658BF">
        <w:rPr>
          <w:rFonts w:ascii="Times New Roman" w:hAnsi="Times New Roman" w:cs="Times New Roman"/>
          <w:color w:val="000000" w:themeColor="text1"/>
          <w:sz w:val="22"/>
        </w:rPr>
        <w:t>la renta perman</w:t>
      </w:r>
      <w:r w:rsidR="005A06F3" w:rsidRPr="002658BF">
        <w:rPr>
          <w:rFonts w:ascii="Times New Roman" w:hAnsi="Times New Roman" w:cs="Times New Roman"/>
          <w:color w:val="000000" w:themeColor="text1"/>
          <w:sz w:val="22"/>
        </w:rPr>
        <w:t xml:space="preserve">ente </w:t>
      </w:r>
      <w:r w:rsidR="00C8255E" w:rsidRPr="002658BF">
        <w:rPr>
          <w:rFonts w:ascii="Times New Roman" w:hAnsi="Times New Roman" w:cs="Times New Roman"/>
          <w:color w:val="000000" w:themeColor="text1"/>
          <w:sz w:val="22"/>
        </w:rPr>
        <w:t xml:space="preserve">tuvo un total de </w:t>
      </w:r>
      <w:r w:rsidR="00D43514" w:rsidRPr="002658BF">
        <w:rPr>
          <w:rFonts w:ascii="Times New Roman" w:hAnsi="Times New Roman" w:cs="Times New Roman"/>
          <w:color w:val="000000" w:themeColor="text1"/>
          <w:sz w:val="22"/>
        </w:rPr>
        <w:t>1 7</w:t>
      </w:r>
      <w:r w:rsidR="00C8255E" w:rsidRPr="002658BF">
        <w:rPr>
          <w:rFonts w:ascii="Times New Roman" w:hAnsi="Times New Roman" w:cs="Times New Roman"/>
          <w:color w:val="000000" w:themeColor="text1"/>
          <w:sz w:val="22"/>
        </w:rPr>
        <w:t>21</w:t>
      </w:r>
      <w:r w:rsidR="00CF37EE" w:rsidRPr="002658BF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807EDD" w:rsidRPr="002658BF">
        <w:rPr>
          <w:rFonts w:ascii="Times New Roman" w:hAnsi="Times New Roman" w:cs="Times New Roman"/>
          <w:color w:val="000000" w:themeColor="text1"/>
          <w:sz w:val="22"/>
        </w:rPr>
        <w:t>pensionados.</w:t>
      </w:r>
    </w:p>
    <w:p w14:paraId="7D698FF8" w14:textId="06A3E582" w:rsidR="007E05A2" w:rsidRPr="002658BF" w:rsidRDefault="007E05A2" w:rsidP="00AE3107">
      <w:pPr>
        <w:pStyle w:val="Prrafodelista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14:paraId="194E8AA7" w14:textId="7529DF23" w:rsidR="009C0442" w:rsidRPr="002658BF" w:rsidRDefault="009C0442" w:rsidP="00AE3107">
      <w:pPr>
        <w:pStyle w:val="Prrafodelista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14:paraId="43D58289" w14:textId="01A68966" w:rsidR="00CF73B8" w:rsidRPr="002658BF" w:rsidRDefault="00CF73B8" w:rsidP="00AE31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658BF">
        <w:rPr>
          <w:rFonts w:ascii="Times New Roman" w:hAnsi="Times New Roman" w:cs="Times New Roman"/>
          <w:b/>
          <w:bCs/>
          <w:color w:val="000000" w:themeColor="text1"/>
        </w:rPr>
        <w:t xml:space="preserve">Cuadro </w:t>
      </w:r>
      <w:r w:rsidR="00384982" w:rsidRPr="002658BF">
        <w:rPr>
          <w:rFonts w:ascii="Times New Roman" w:hAnsi="Times New Roman" w:cs="Times New Roman"/>
          <w:b/>
          <w:bCs/>
          <w:color w:val="000000" w:themeColor="text1"/>
        </w:rPr>
        <w:t>9</w:t>
      </w:r>
      <w:r w:rsidRPr="002658BF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70FDAAD1" w14:textId="4EB96CBC" w:rsidR="00CF73B8" w:rsidRPr="002658BF" w:rsidRDefault="00CF73B8" w:rsidP="00AE31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658BF">
        <w:rPr>
          <w:rFonts w:ascii="Times New Roman" w:hAnsi="Times New Roman" w:cs="Times New Roman"/>
          <w:b/>
          <w:bCs/>
          <w:color w:val="000000" w:themeColor="text1"/>
        </w:rPr>
        <w:t>Pensionados del R</w:t>
      </w:r>
      <w:r w:rsidR="00717DF3">
        <w:rPr>
          <w:rFonts w:ascii="Times New Roman" w:hAnsi="Times New Roman" w:cs="Times New Roman"/>
          <w:b/>
          <w:bCs/>
          <w:color w:val="000000" w:themeColor="text1"/>
        </w:rPr>
        <w:t xml:space="preserve">égimen </w:t>
      </w:r>
      <w:r w:rsidRPr="002658BF">
        <w:rPr>
          <w:rFonts w:ascii="Times New Roman" w:hAnsi="Times New Roman" w:cs="Times New Roman"/>
          <w:b/>
          <w:bCs/>
          <w:color w:val="000000" w:themeColor="text1"/>
        </w:rPr>
        <w:t>O</w:t>
      </w:r>
      <w:r w:rsidR="00717DF3">
        <w:rPr>
          <w:rFonts w:ascii="Times New Roman" w:hAnsi="Times New Roman" w:cs="Times New Roman"/>
          <w:b/>
          <w:bCs/>
          <w:color w:val="000000" w:themeColor="text1"/>
        </w:rPr>
        <w:t xml:space="preserve">bligatorio de </w:t>
      </w:r>
      <w:r w:rsidRPr="002658BF">
        <w:rPr>
          <w:rFonts w:ascii="Times New Roman" w:hAnsi="Times New Roman" w:cs="Times New Roman"/>
          <w:b/>
          <w:bCs/>
          <w:color w:val="000000" w:themeColor="text1"/>
        </w:rPr>
        <w:t>P</w:t>
      </w:r>
      <w:r w:rsidR="00717DF3">
        <w:rPr>
          <w:rFonts w:ascii="Times New Roman" w:hAnsi="Times New Roman" w:cs="Times New Roman"/>
          <w:b/>
          <w:bCs/>
          <w:color w:val="000000" w:themeColor="text1"/>
        </w:rPr>
        <w:t>ensiones Complementarias</w:t>
      </w:r>
    </w:p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5"/>
        <w:gridCol w:w="827"/>
        <w:gridCol w:w="1003"/>
        <w:gridCol w:w="1004"/>
        <w:gridCol w:w="1003"/>
        <w:gridCol w:w="1003"/>
        <w:gridCol w:w="1004"/>
        <w:gridCol w:w="1003"/>
        <w:gridCol w:w="828"/>
      </w:tblGrid>
      <w:tr w:rsidR="00CB5121" w:rsidRPr="002658BF" w14:paraId="44799A27" w14:textId="77777777" w:rsidTr="00CB5121">
        <w:trPr>
          <w:trHeight w:val="261"/>
        </w:trPr>
        <w:tc>
          <w:tcPr>
            <w:tcW w:w="104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54171" w14:textId="5FFF773B" w:rsidR="00F94A44" w:rsidRDefault="00CB5121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Planes de beneficios, 2011-2018</w:t>
            </w:r>
          </w:p>
          <w:p w14:paraId="668DF2DD" w14:textId="6EAAFFB8" w:rsidR="007204CE" w:rsidRPr="002658BF" w:rsidRDefault="007204CE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Pensionados (en personas)</w:t>
            </w:r>
          </w:p>
          <w:p w14:paraId="7C0E1CF3" w14:textId="587B68ED" w:rsidR="00CB5121" w:rsidRPr="002658BF" w:rsidRDefault="00CB5121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</w:p>
        </w:tc>
      </w:tr>
      <w:tr w:rsidR="00CB5121" w:rsidRPr="002658BF" w14:paraId="2334CDAA" w14:textId="77777777" w:rsidTr="00CB5121">
        <w:trPr>
          <w:trHeight w:val="274"/>
        </w:trPr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B9806" w14:textId="77777777" w:rsidR="00F94A44" w:rsidRPr="002658BF" w:rsidRDefault="00F94A44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3C718" w14:textId="77777777" w:rsidR="00F94A44" w:rsidRPr="002658BF" w:rsidRDefault="00F94A44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2011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99DF1" w14:textId="77777777" w:rsidR="00F94A44" w:rsidRPr="002658BF" w:rsidRDefault="00F94A44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2012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CDF32" w14:textId="77777777" w:rsidR="00F94A44" w:rsidRPr="002658BF" w:rsidRDefault="00F94A44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2013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B674A" w14:textId="77777777" w:rsidR="00F94A44" w:rsidRPr="002658BF" w:rsidRDefault="00F94A44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2014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671D3" w14:textId="77777777" w:rsidR="00F94A44" w:rsidRPr="002658BF" w:rsidRDefault="00F94A44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2015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993BA" w14:textId="77777777" w:rsidR="00F94A44" w:rsidRPr="002658BF" w:rsidRDefault="00F94A44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2016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52BDF" w14:textId="77777777" w:rsidR="00F94A44" w:rsidRPr="002658BF" w:rsidRDefault="00F94A44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2017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0FA07" w14:textId="77777777" w:rsidR="00F94A44" w:rsidRPr="002658BF" w:rsidRDefault="00F94A44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2018</w:t>
            </w:r>
          </w:p>
        </w:tc>
      </w:tr>
      <w:tr w:rsidR="00CB5121" w:rsidRPr="002658BF" w14:paraId="379524C5" w14:textId="77777777" w:rsidTr="00CB5121">
        <w:trPr>
          <w:trHeight w:val="261"/>
        </w:trPr>
        <w:tc>
          <w:tcPr>
            <w:tcW w:w="10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B48C" w14:textId="77E67ABC" w:rsidR="00F94A44" w:rsidRPr="002658BF" w:rsidRDefault="00F94A44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</w:p>
        </w:tc>
      </w:tr>
      <w:tr w:rsidR="00CB5121" w:rsidRPr="002658BF" w14:paraId="7CA6BD8B" w14:textId="77777777" w:rsidTr="00CB5121">
        <w:trPr>
          <w:trHeight w:val="261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5F19" w14:textId="77777777" w:rsidR="00F94A44" w:rsidRPr="002658BF" w:rsidRDefault="00F94A44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Retiro total**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3180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8 319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D93D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10 282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B58D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10 871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CB80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10 802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A8D9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11 993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3AEB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12 756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4F1AF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13 440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895C6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7 554</w:t>
            </w:r>
          </w:p>
        </w:tc>
      </w:tr>
      <w:tr w:rsidR="00CB5121" w:rsidRPr="002658BF" w14:paraId="416023E9" w14:textId="77777777" w:rsidTr="00CB5121">
        <w:trPr>
          <w:trHeight w:val="261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7E00" w14:textId="77777777" w:rsidR="00F94A44" w:rsidRPr="002658BF" w:rsidRDefault="00F94A44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Retiro programado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8D41" w14:textId="65B11D23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</w:t>
            </w:r>
            <w:r w:rsidR="00C20B8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</w:t>
            </w:r>
            <w:r w:rsidR="007C29F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</w:t>
            </w: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ECDB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24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32F2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66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6042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231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8A09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390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4EBD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567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8FD6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1 449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E327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2 453</w:t>
            </w:r>
          </w:p>
        </w:tc>
      </w:tr>
      <w:tr w:rsidR="00CB5121" w:rsidRPr="002658BF" w14:paraId="1E426C26" w14:textId="77777777" w:rsidTr="00CB5121">
        <w:trPr>
          <w:trHeight w:val="261"/>
        </w:trPr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E8C32" w14:textId="77777777" w:rsidR="00F94A44" w:rsidRPr="002658BF" w:rsidRDefault="00F94A44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Renta permanente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518E2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84ADA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C623E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1AC9B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127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7861B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333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0A4CE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984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F5B5D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1 524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0C140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1 721</w:t>
            </w:r>
          </w:p>
        </w:tc>
      </w:tr>
      <w:tr w:rsidR="00CB5121" w:rsidRPr="002658BF" w14:paraId="639AE77C" w14:textId="77777777" w:rsidTr="00CB5121">
        <w:trPr>
          <w:trHeight w:val="261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B49C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B777" w14:textId="77777777" w:rsidR="00F94A44" w:rsidRPr="002658BF" w:rsidRDefault="00F94A44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0E32" w14:textId="77777777" w:rsidR="00F94A44" w:rsidRPr="002658BF" w:rsidRDefault="00F94A44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7652" w14:textId="77777777" w:rsidR="00F94A44" w:rsidRPr="002658BF" w:rsidRDefault="00F94A44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FFAF" w14:textId="77777777" w:rsidR="00F94A44" w:rsidRPr="002658BF" w:rsidRDefault="00F94A44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9287" w14:textId="77777777" w:rsidR="00F94A44" w:rsidRPr="002658BF" w:rsidRDefault="00F94A44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F020" w14:textId="77777777" w:rsidR="00F94A44" w:rsidRPr="002658BF" w:rsidRDefault="00F94A44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E679" w14:textId="77777777" w:rsidR="00F94A44" w:rsidRPr="002658BF" w:rsidRDefault="00F94A44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8A8B" w14:textId="77777777" w:rsidR="00F94A44" w:rsidRPr="002658BF" w:rsidRDefault="00F94A44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</w:p>
        </w:tc>
      </w:tr>
      <w:tr w:rsidR="00CB5121" w:rsidRPr="002658BF" w14:paraId="0F596E9E" w14:textId="77777777" w:rsidTr="00CB5121">
        <w:trPr>
          <w:trHeight w:val="261"/>
        </w:trPr>
        <w:tc>
          <w:tcPr>
            <w:tcW w:w="10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7CF4" w14:textId="77777777" w:rsidR="00F94A44" w:rsidRPr="002658BF" w:rsidRDefault="00F94A44" w:rsidP="00A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Monto promedio pensión (miles de colones)</w:t>
            </w:r>
          </w:p>
        </w:tc>
      </w:tr>
      <w:tr w:rsidR="00CB5121" w:rsidRPr="002658BF" w14:paraId="6D71F88C" w14:textId="77777777" w:rsidTr="00CB5121">
        <w:trPr>
          <w:trHeight w:val="261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4BEF" w14:textId="77777777" w:rsidR="00F94A44" w:rsidRPr="002658BF" w:rsidRDefault="00F94A44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Retiro total**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F3EF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2 185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BEB7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2 838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3060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3 381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9333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4 100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F62F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4 564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6BBF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5 349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F7632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6 023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64717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6 794</w:t>
            </w:r>
          </w:p>
        </w:tc>
      </w:tr>
      <w:tr w:rsidR="00CB5121" w:rsidRPr="002658BF" w14:paraId="07770223" w14:textId="77777777" w:rsidTr="00CB5121">
        <w:trPr>
          <w:trHeight w:val="261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FFBB" w14:textId="77777777" w:rsidR="00F94A44" w:rsidRPr="002658BF" w:rsidRDefault="00F94A44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Retiro programado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7FEE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7C84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41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B07D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58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91C3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76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C453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80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7FDE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77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27B7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5692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67</w:t>
            </w:r>
          </w:p>
        </w:tc>
      </w:tr>
      <w:tr w:rsidR="00CB5121" w:rsidRPr="002658BF" w14:paraId="7D87F58A" w14:textId="77777777" w:rsidTr="00CB5121">
        <w:trPr>
          <w:trHeight w:val="261"/>
        </w:trPr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9A179" w14:textId="77777777" w:rsidR="00F94A44" w:rsidRPr="002658BF" w:rsidRDefault="00F94A44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Renta permanente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497F7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206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6C60F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8F36F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144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FB5D3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F4AF3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B2A50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31754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2CA4D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60</w:t>
            </w:r>
          </w:p>
        </w:tc>
      </w:tr>
      <w:tr w:rsidR="00CB5121" w:rsidRPr="002658BF" w14:paraId="00B93BDD" w14:textId="77777777" w:rsidTr="00CB5121">
        <w:trPr>
          <w:trHeight w:val="261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9BDA" w14:textId="77777777" w:rsidR="00F94A44" w:rsidRPr="002658BF" w:rsidRDefault="00F94A44" w:rsidP="00AE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E99D" w14:textId="77777777" w:rsidR="00F94A44" w:rsidRPr="002658BF" w:rsidRDefault="00F94A44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09B2" w14:textId="77777777" w:rsidR="00F94A44" w:rsidRPr="002658BF" w:rsidRDefault="00F94A44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CD73" w14:textId="77777777" w:rsidR="00F94A44" w:rsidRPr="002658BF" w:rsidRDefault="00F94A44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A22C" w14:textId="77777777" w:rsidR="00F94A44" w:rsidRPr="002658BF" w:rsidRDefault="00F94A44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5352" w14:textId="77777777" w:rsidR="00F94A44" w:rsidRPr="002658BF" w:rsidRDefault="00F94A44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2264" w14:textId="77777777" w:rsidR="00F94A44" w:rsidRPr="002658BF" w:rsidRDefault="00F94A44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399B" w14:textId="77777777" w:rsidR="00F94A44" w:rsidRPr="002658BF" w:rsidRDefault="00F94A44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E2FF" w14:textId="77777777" w:rsidR="00F94A44" w:rsidRPr="002658BF" w:rsidRDefault="00F94A44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</w:p>
        </w:tc>
      </w:tr>
      <w:tr w:rsidR="00CB5121" w:rsidRPr="002658BF" w14:paraId="5091BD07" w14:textId="77777777" w:rsidTr="00CB5121">
        <w:trPr>
          <w:trHeight w:val="261"/>
        </w:trPr>
        <w:tc>
          <w:tcPr>
            <w:tcW w:w="5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3DFD" w14:textId="05488524" w:rsidR="00F94A44" w:rsidRPr="002658BF" w:rsidRDefault="00F94A44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**Utilizando </w:t>
            </w:r>
            <w:r w:rsidR="00CB5121"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>únicamente</w:t>
            </w:r>
            <w:r w:rsidRPr="002658B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  <w:t xml:space="preserve"> retiros superiores a ¢300.000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EF4D" w14:textId="77777777" w:rsidR="00F94A44" w:rsidRPr="002658BF" w:rsidRDefault="00F94A44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1A7D" w14:textId="77777777" w:rsidR="00F94A44" w:rsidRPr="002658BF" w:rsidRDefault="00F94A44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0C1F" w14:textId="77777777" w:rsidR="00F94A44" w:rsidRPr="002658BF" w:rsidRDefault="00F94A44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CB84" w14:textId="77777777" w:rsidR="00F94A44" w:rsidRPr="002658BF" w:rsidRDefault="00F94A44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6103" w14:textId="77777777" w:rsidR="00F94A44" w:rsidRPr="002658BF" w:rsidRDefault="00F94A44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</w:p>
        </w:tc>
      </w:tr>
      <w:tr w:rsidR="00CB5121" w:rsidRPr="002658BF" w14:paraId="262ED4DD" w14:textId="77777777" w:rsidTr="00CB5121">
        <w:trPr>
          <w:trHeight w:val="261"/>
        </w:trPr>
        <w:tc>
          <w:tcPr>
            <w:tcW w:w="8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A903" w14:textId="77777777" w:rsidR="00F94A44" w:rsidRPr="002658BF" w:rsidRDefault="00F94A44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  <w:r w:rsidRPr="002658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  <w:t>Fuente: Superintendencia de Pensiones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880B" w14:textId="77777777" w:rsidR="00F94A44" w:rsidRPr="002658BF" w:rsidRDefault="00F94A44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val="es-CR" w:eastAsia="es-C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F16E" w14:textId="77777777" w:rsidR="00F94A44" w:rsidRPr="002658BF" w:rsidRDefault="00F94A44" w:rsidP="00AE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s-CR" w:eastAsia="es-CR"/>
              </w:rPr>
            </w:pPr>
          </w:p>
        </w:tc>
      </w:tr>
    </w:tbl>
    <w:p w14:paraId="2D065C4F" w14:textId="5B5D9D34" w:rsidR="00650060" w:rsidRPr="002658BF" w:rsidRDefault="00650060" w:rsidP="00AE3107">
      <w:pPr>
        <w:pStyle w:val="Ttulo1"/>
        <w:rPr>
          <w:color w:val="000000" w:themeColor="text1"/>
        </w:rPr>
      </w:pPr>
    </w:p>
    <w:sectPr w:rsidR="00650060" w:rsidRPr="002658BF" w:rsidSect="00D053BF">
      <w:footerReference w:type="default" r:id="rId21"/>
      <w:pgSz w:w="12240" w:h="15840"/>
      <w:pgMar w:top="720" w:right="1183" w:bottom="72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118E4" w14:textId="77777777" w:rsidR="00CF382E" w:rsidRDefault="00CF382E" w:rsidP="00081470">
      <w:pPr>
        <w:spacing w:after="0" w:line="240" w:lineRule="auto"/>
      </w:pPr>
      <w:r>
        <w:separator/>
      </w:r>
    </w:p>
  </w:endnote>
  <w:endnote w:type="continuationSeparator" w:id="0">
    <w:p w14:paraId="6DF70A68" w14:textId="77777777" w:rsidR="00CF382E" w:rsidRDefault="00CF382E" w:rsidP="00081470">
      <w:pPr>
        <w:spacing w:after="0" w:line="240" w:lineRule="auto"/>
      </w:pPr>
      <w:r>
        <w:continuationSeparator/>
      </w:r>
    </w:p>
  </w:endnote>
  <w:endnote w:type="continuationNotice" w:id="1">
    <w:p w14:paraId="62564CEE" w14:textId="77777777" w:rsidR="00CF382E" w:rsidRDefault="00CF38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482683"/>
      <w:docPartObj>
        <w:docPartGallery w:val="Page Numbers (Bottom of Page)"/>
        <w:docPartUnique/>
      </w:docPartObj>
    </w:sdtPr>
    <w:sdtEndPr/>
    <w:sdtContent>
      <w:p w14:paraId="2A36E703" w14:textId="21A60B79" w:rsidR="00CF382E" w:rsidRDefault="00CF382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DC26A" w14:textId="77777777" w:rsidR="00CF382E" w:rsidRDefault="00CF382E" w:rsidP="00081470">
      <w:pPr>
        <w:spacing w:after="0" w:line="240" w:lineRule="auto"/>
      </w:pPr>
      <w:r>
        <w:separator/>
      </w:r>
    </w:p>
  </w:footnote>
  <w:footnote w:type="continuationSeparator" w:id="0">
    <w:p w14:paraId="7561E93C" w14:textId="77777777" w:rsidR="00CF382E" w:rsidRDefault="00CF382E" w:rsidP="00081470">
      <w:pPr>
        <w:spacing w:after="0" w:line="240" w:lineRule="auto"/>
      </w:pPr>
      <w:r>
        <w:continuationSeparator/>
      </w:r>
    </w:p>
  </w:footnote>
  <w:footnote w:type="continuationNotice" w:id="1">
    <w:p w14:paraId="7DC2FE44" w14:textId="77777777" w:rsidR="00CF382E" w:rsidRDefault="00CF38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22E2"/>
    <w:multiLevelType w:val="hybridMultilevel"/>
    <w:tmpl w:val="4EDA9334"/>
    <w:lvl w:ilvl="0" w:tplc="595477D2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1368EB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D1AC6"/>
    <w:multiLevelType w:val="hybridMultilevel"/>
    <w:tmpl w:val="8988926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D245B"/>
    <w:multiLevelType w:val="hybridMultilevel"/>
    <w:tmpl w:val="E18674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F544D"/>
    <w:multiLevelType w:val="hybridMultilevel"/>
    <w:tmpl w:val="A1909584"/>
    <w:lvl w:ilvl="0" w:tplc="54F0125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D74F9"/>
    <w:multiLevelType w:val="hybridMultilevel"/>
    <w:tmpl w:val="65CCD1CE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140A001B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4F433DE"/>
    <w:multiLevelType w:val="hybridMultilevel"/>
    <w:tmpl w:val="C974F10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903E4"/>
    <w:multiLevelType w:val="hybridMultilevel"/>
    <w:tmpl w:val="9356D7AE"/>
    <w:lvl w:ilvl="0" w:tplc="F3A0F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5219C"/>
    <w:multiLevelType w:val="hybridMultilevel"/>
    <w:tmpl w:val="1B1422CC"/>
    <w:lvl w:ilvl="0" w:tplc="FE4C70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40258B"/>
    <w:multiLevelType w:val="hybridMultilevel"/>
    <w:tmpl w:val="0A3E4834"/>
    <w:lvl w:ilvl="0" w:tplc="1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60"/>
    <w:rsid w:val="00000198"/>
    <w:rsid w:val="0000443C"/>
    <w:rsid w:val="0000610F"/>
    <w:rsid w:val="000074A5"/>
    <w:rsid w:val="0000774F"/>
    <w:rsid w:val="000102FC"/>
    <w:rsid w:val="00014443"/>
    <w:rsid w:val="00015F11"/>
    <w:rsid w:val="0001622A"/>
    <w:rsid w:val="00016D35"/>
    <w:rsid w:val="00022675"/>
    <w:rsid w:val="00022C1D"/>
    <w:rsid w:val="00022F9D"/>
    <w:rsid w:val="000232CD"/>
    <w:rsid w:val="00023625"/>
    <w:rsid w:val="000252B1"/>
    <w:rsid w:val="00025850"/>
    <w:rsid w:val="00025B09"/>
    <w:rsid w:val="00025D30"/>
    <w:rsid w:val="00026199"/>
    <w:rsid w:val="000271FD"/>
    <w:rsid w:val="00027413"/>
    <w:rsid w:val="000274D4"/>
    <w:rsid w:val="00027C1E"/>
    <w:rsid w:val="0003105B"/>
    <w:rsid w:val="00032791"/>
    <w:rsid w:val="0003279B"/>
    <w:rsid w:val="000327C1"/>
    <w:rsid w:val="00032E7E"/>
    <w:rsid w:val="000333F6"/>
    <w:rsid w:val="00033BAE"/>
    <w:rsid w:val="000345F4"/>
    <w:rsid w:val="00041126"/>
    <w:rsid w:val="00041D06"/>
    <w:rsid w:val="000434CA"/>
    <w:rsid w:val="00050D86"/>
    <w:rsid w:val="000511E4"/>
    <w:rsid w:val="000512C9"/>
    <w:rsid w:val="00052A16"/>
    <w:rsid w:val="00052FDE"/>
    <w:rsid w:val="00053155"/>
    <w:rsid w:val="00053E97"/>
    <w:rsid w:val="000541FB"/>
    <w:rsid w:val="00054F06"/>
    <w:rsid w:val="00056B11"/>
    <w:rsid w:val="00056F0F"/>
    <w:rsid w:val="00060952"/>
    <w:rsid w:val="00060BE8"/>
    <w:rsid w:val="00060F6E"/>
    <w:rsid w:val="000614D6"/>
    <w:rsid w:val="00062271"/>
    <w:rsid w:val="000658B4"/>
    <w:rsid w:val="00065C51"/>
    <w:rsid w:val="00067AC7"/>
    <w:rsid w:val="00070879"/>
    <w:rsid w:val="00071977"/>
    <w:rsid w:val="00072DC4"/>
    <w:rsid w:val="000800EE"/>
    <w:rsid w:val="000803A6"/>
    <w:rsid w:val="0008065F"/>
    <w:rsid w:val="00080BB0"/>
    <w:rsid w:val="00081470"/>
    <w:rsid w:val="00083D40"/>
    <w:rsid w:val="00083E97"/>
    <w:rsid w:val="00084993"/>
    <w:rsid w:val="00085E49"/>
    <w:rsid w:val="00086922"/>
    <w:rsid w:val="0009006F"/>
    <w:rsid w:val="0009100B"/>
    <w:rsid w:val="000922B0"/>
    <w:rsid w:val="00092E23"/>
    <w:rsid w:val="00096E89"/>
    <w:rsid w:val="00097EBB"/>
    <w:rsid w:val="000A06E4"/>
    <w:rsid w:val="000A0D86"/>
    <w:rsid w:val="000A343E"/>
    <w:rsid w:val="000B2ADE"/>
    <w:rsid w:val="000B411E"/>
    <w:rsid w:val="000B4B1D"/>
    <w:rsid w:val="000B5D8C"/>
    <w:rsid w:val="000C00B4"/>
    <w:rsid w:val="000C24FD"/>
    <w:rsid w:val="000C33DE"/>
    <w:rsid w:val="000C4597"/>
    <w:rsid w:val="000C466A"/>
    <w:rsid w:val="000C4A55"/>
    <w:rsid w:val="000C6854"/>
    <w:rsid w:val="000D062C"/>
    <w:rsid w:val="000D18EE"/>
    <w:rsid w:val="000D1F7E"/>
    <w:rsid w:val="000D2642"/>
    <w:rsid w:val="000D282B"/>
    <w:rsid w:val="000D322E"/>
    <w:rsid w:val="000D6235"/>
    <w:rsid w:val="000E0B57"/>
    <w:rsid w:val="000E26E0"/>
    <w:rsid w:val="000E538B"/>
    <w:rsid w:val="000F1770"/>
    <w:rsid w:val="000F21F3"/>
    <w:rsid w:val="000F2F6E"/>
    <w:rsid w:val="000F30AE"/>
    <w:rsid w:val="000F3F65"/>
    <w:rsid w:val="000F512E"/>
    <w:rsid w:val="000F65AD"/>
    <w:rsid w:val="000F6E98"/>
    <w:rsid w:val="000F7997"/>
    <w:rsid w:val="001000E8"/>
    <w:rsid w:val="0010023D"/>
    <w:rsid w:val="00101CDB"/>
    <w:rsid w:val="001025A6"/>
    <w:rsid w:val="001027B8"/>
    <w:rsid w:val="00102B98"/>
    <w:rsid w:val="001031FA"/>
    <w:rsid w:val="001044EA"/>
    <w:rsid w:val="00104861"/>
    <w:rsid w:val="00106918"/>
    <w:rsid w:val="00106EE4"/>
    <w:rsid w:val="00110689"/>
    <w:rsid w:val="00110808"/>
    <w:rsid w:val="00110DF9"/>
    <w:rsid w:val="001122AD"/>
    <w:rsid w:val="001125B3"/>
    <w:rsid w:val="00114132"/>
    <w:rsid w:val="00116A67"/>
    <w:rsid w:val="00120AE0"/>
    <w:rsid w:val="00120D36"/>
    <w:rsid w:val="00122100"/>
    <w:rsid w:val="0012296A"/>
    <w:rsid w:val="00123473"/>
    <w:rsid w:val="00123E6E"/>
    <w:rsid w:val="001246FC"/>
    <w:rsid w:val="0012779A"/>
    <w:rsid w:val="00127B63"/>
    <w:rsid w:val="00131849"/>
    <w:rsid w:val="00132019"/>
    <w:rsid w:val="00132D30"/>
    <w:rsid w:val="00133DE9"/>
    <w:rsid w:val="00137859"/>
    <w:rsid w:val="00137961"/>
    <w:rsid w:val="00141888"/>
    <w:rsid w:val="00144677"/>
    <w:rsid w:val="0015033E"/>
    <w:rsid w:val="001507CD"/>
    <w:rsid w:val="00152DFB"/>
    <w:rsid w:val="00155996"/>
    <w:rsid w:val="00156DBA"/>
    <w:rsid w:val="001575D4"/>
    <w:rsid w:val="001636EB"/>
    <w:rsid w:val="0016383F"/>
    <w:rsid w:val="00164B75"/>
    <w:rsid w:val="00166173"/>
    <w:rsid w:val="00166ACA"/>
    <w:rsid w:val="00166E7F"/>
    <w:rsid w:val="00170142"/>
    <w:rsid w:val="00170F7E"/>
    <w:rsid w:val="001716FF"/>
    <w:rsid w:val="00171A2D"/>
    <w:rsid w:val="00171A72"/>
    <w:rsid w:val="00171B95"/>
    <w:rsid w:val="00174659"/>
    <w:rsid w:val="00174FCB"/>
    <w:rsid w:val="001757CE"/>
    <w:rsid w:val="00180123"/>
    <w:rsid w:val="001813D4"/>
    <w:rsid w:val="0018298B"/>
    <w:rsid w:val="0018415C"/>
    <w:rsid w:val="0018432B"/>
    <w:rsid w:val="00185082"/>
    <w:rsid w:val="00187AD6"/>
    <w:rsid w:val="00190560"/>
    <w:rsid w:val="00192517"/>
    <w:rsid w:val="001930D1"/>
    <w:rsid w:val="001961EC"/>
    <w:rsid w:val="0019705A"/>
    <w:rsid w:val="001A024C"/>
    <w:rsid w:val="001A089A"/>
    <w:rsid w:val="001A4823"/>
    <w:rsid w:val="001A7B42"/>
    <w:rsid w:val="001A7F94"/>
    <w:rsid w:val="001B45FA"/>
    <w:rsid w:val="001B5652"/>
    <w:rsid w:val="001B5790"/>
    <w:rsid w:val="001B5965"/>
    <w:rsid w:val="001B5D58"/>
    <w:rsid w:val="001B6EEF"/>
    <w:rsid w:val="001B76DC"/>
    <w:rsid w:val="001C104F"/>
    <w:rsid w:val="001C1D31"/>
    <w:rsid w:val="001C5E6A"/>
    <w:rsid w:val="001C75D3"/>
    <w:rsid w:val="001D3578"/>
    <w:rsid w:val="001D372E"/>
    <w:rsid w:val="001D40DE"/>
    <w:rsid w:val="001E1BFC"/>
    <w:rsid w:val="001E5576"/>
    <w:rsid w:val="001E5DF5"/>
    <w:rsid w:val="001E6CC4"/>
    <w:rsid w:val="001E709E"/>
    <w:rsid w:val="001F2037"/>
    <w:rsid w:val="001F3EFD"/>
    <w:rsid w:val="001F42A9"/>
    <w:rsid w:val="001F689A"/>
    <w:rsid w:val="001F6D56"/>
    <w:rsid w:val="002001B5"/>
    <w:rsid w:val="002015A2"/>
    <w:rsid w:val="00204267"/>
    <w:rsid w:val="00205DB3"/>
    <w:rsid w:val="00206C0A"/>
    <w:rsid w:val="00211328"/>
    <w:rsid w:val="002120CD"/>
    <w:rsid w:val="00212702"/>
    <w:rsid w:val="002140D0"/>
    <w:rsid w:val="002151E8"/>
    <w:rsid w:val="00215A0F"/>
    <w:rsid w:val="002164E2"/>
    <w:rsid w:val="00216DAB"/>
    <w:rsid w:val="00217942"/>
    <w:rsid w:val="00220685"/>
    <w:rsid w:val="00220C8F"/>
    <w:rsid w:val="00220E06"/>
    <w:rsid w:val="00221EE3"/>
    <w:rsid w:val="00222102"/>
    <w:rsid w:val="0022343C"/>
    <w:rsid w:val="002236F2"/>
    <w:rsid w:val="00224860"/>
    <w:rsid w:val="00224DE2"/>
    <w:rsid w:val="002259FD"/>
    <w:rsid w:val="00225AA6"/>
    <w:rsid w:val="00226165"/>
    <w:rsid w:val="00230BDE"/>
    <w:rsid w:val="002315F9"/>
    <w:rsid w:val="00231CF1"/>
    <w:rsid w:val="002325A2"/>
    <w:rsid w:val="0023324B"/>
    <w:rsid w:val="00233948"/>
    <w:rsid w:val="00233D51"/>
    <w:rsid w:val="0023517C"/>
    <w:rsid w:val="002364B3"/>
    <w:rsid w:val="00240BBD"/>
    <w:rsid w:val="00243EFE"/>
    <w:rsid w:val="00244026"/>
    <w:rsid w:val="002446B3"/>
    <w:rsid w:val="00244C7C"/>
    <w:rsid w:val="00245667"/>
    <w:rsid w:val="00245998"/>
    <w:rsid w:val="0024669E"/>
    <w:rsid w:val="002510C1"/>
    <w:rsid w:val="0025247D"/>
    <w:rsid w:val="00252606"/>
    <w:rsid w:val="0025283C"/>
    <w:rsid w:val="00254A69"/>
    <w:rsid w:val="00255955"/>
    <w:rsid w:val="00255DA5"/>
    <w:rsid w:val="002565F5"/>
    <w:rsid w:val="00260CF6"/>
    <w:rsid w:val="00261470"/>
    <w:rsid w:val="002629F6"/>
    <w:rsid w:val="00263730"/>
    <w:rsid w:val="002658BF"/>
    <w:rsid w:val="00266605"/>
    <w:rsid w:val="00270766"/>
    <w:rsid w:val="0027115A"/>
    <w:rsid w:val="002719C0"/>
    <w:rsid w:val="00271E22"/>
    <w:rsid w:val="002721AA"/>
    <w:rsid w:val="00272590"/>
    <w:rsid w:val="00273057"/>
    <w:rsid w:val="00273916"/>
    <w:rsid w:val="00273F69"/>
    <w:rsid w:val="0027448D"/>
    <w:rsid w:val="002769E4"/>
    <w:rsid w:val="00276B37"/>
    <w:rsid w:val="00276CEF"/>
    <w:rsid w:val="002802A5"/>
    <w:rsid w:val="002814C3"/>
    <w:rsid w:val="00282A44"/>
    <w:rsid w:val="002867BC"/>
    <w:rsid w:val="00287205"/>
    <w:rsid w:val="002917CE"/>
    <w:rsid w:val="00292AFB"/>
    <w:rsid w:val="00293A6A"/>
    <w:rsid w:val="002944C9"/>
    <w:rsid w:val="00295B37"/>
    <w:rsid w:val="00296500"/>
    <w:rsid w:val="002A3ACC"/>
    <w:rsid w:val="002A6544"/>
    <w:rsid w:val="002A701A"/>
    <w:rsid w:val="002A7D07"/>
    <w:rsid w:val="002B039B"/>
    <w:rsid w:val="002B39D1"/>
    <w:rsid w:val="002B3AD3"/>
    <w:rsid w:val="002B4103"/>
    <w:rsid w:val="002B4294"/>
    <w:rsid w:val="002C196B"/>
    <w:rsid w:val="002C1E09"/>
    <w:rsid w:val="002C3562"/>
    <w:rsid w:val="002D0668"/>
    <w:rsid w:val="002D2A0F"/>
    <w:rsid w:val="002D330B"/>
    <w:rsid w:val="002D48CD"/>
    <w:rsid w:val="002D50D3"/>
    <w:rsid w:val="002D5B0E"/>
    <w:rsid w:val="002E0886"/>
    <w:rsid w:val="002E2A7E"/>
    <w:rsid w:val="002E3157"/>
    <w:rsid w:val="002E63DD"/>
    <w:rsid w:val="002E7A97"/>
    <w:rsid w:val="002F0718"/>
    <w:rsid w:val="002F3A4D"/>
    <w:rsid w:val="002F4825"/>
    <w:rsid w:val="00303699"/>
    <w:rsid w:val="00303763"/>
    <w:rsid w:val="00306C23"/>
    <w:rsid w:val="003130D4"/>
    <w:rsid w:val="00314A23"/>
    <w:rsid w:val="00316F90"/>
    <w:rsid w:val="00317250"/>
    <w:rsid w:val="00320746"/>
    <w:rsid w:val="00321FA3"/>
    <w:rsid w:val="00325B32"/>
    <w:rsid w:val="00326BFA"/>
    <w:rsid w:val="00327DA7"/>
    <w:rsid w:val="00330022"/>
    <w:rsid w:val="003302A1"/>
    <w:rsid w:val="00330AAC"/>
    <w:rsid w:val="00331F65"/>
    <w:rsid w:val="00332150"/>
    <w:rsid w:val="0033378E"/>
    <w:rsid w:val="003341A4"/>
    <w:rsid w:val="00334512"/>
    <w:rsid w:val="00334BC4"/>
    <w:rsid w:val="003364C2"/>
    <w:rsid w:val="00337483"/>
    <w:rsid w:val="00340D6D"/>
    <w:rsid w:val="00340DE0"/>
    <w:rsid w:val="0034126B"/>
    <w:rsid w:val="00341A75"/>
    <w:rsid w:val="00343544"/>
    <w:rsid w:val="0034367C"/>
    <w:rsid w:val="0034409F"/>
    <w:rsid w:val="00345E63"/>
    <w:rsid w:val="00346880"/>
    <w:rsid w:val="00346B20"/>
    <w:rsid w:val="00347210"/>
    <w:rsid w:val="0035052D"/>
    <w:rsid w:val="00352E99"/>
    <w:rsid w:val="0035353F"/>
    <w:rsid w:val="00353A30"/>
    <w:rsid w:val="00353AD2"/>
    <w:rsid w:val="00354AEE"/>
    <w:rsid w:val="003563A2"/>
    <w:rsid w:val="003578EF"/>
    <w:rsid w:val="00357946"/>
    <w:rsid w:val="0036017A"/>
    <w:rsid w:val="00360593"/>
    <w:rsid w:val="003607BD"/>
    <w:rsid w:val="00363690"/>
    <w:rsid w:val="00363D05"/>
    <w:rsid w:val="00364131"/>
    <w:rsid w:val="00364753"/>
    <w:rsid w:val="00364C3F"/>
    <w:rsid w:val="00365468"/>
    <w:rsid w:val="0036552D"/>
    <w:rsid w:val="00365D02"/>
    <w:rsid w:val="0036715D"/>
    <w:rsid w:val="00367A92"/>
    <w:rsid w:val="003708C9"/>
    <w:rsid w:val="003710FC"/>
    <w:rsid w:val="0037139A"/>
    <w:rsid w:val="00371980"/>
    <w:rsid w:val="0037268E"/>
    <w:rsid w:val="00373C01"/>
    <w:rsid w:val="003742A4"/>
    <w:rsid w:val="0037529A"/>
    <w:rsid w:val="00375367"/>
    <w:rsid w:val="00375A8E"/>
    <w:rsid w:val="00376E84"/>
    <w:rsid w:val="00376FA1"/>
    <w:rsid w:val="003771FA"/>
    <w:rsid w:val="00381555"/>
    <w:rsid w:val="00381BEC"/>
    <w:rsid w:val="00381F09"/>
    <w:rsid w:val="0038230A"/>
    <w:rsid w:val="00383433"/>
    <w:rsid w:val="00383A37"/>
    <w:rsid w:val="00384982"/>
    <w:rsid w:val="00386B12"/>
    <w:rsid w:val="00386F06"/>
    <w:rsid w:val="003905BA"/>
    <w:rsid w:val="00390BB6"/>
    <w:rsid w:val="00391AD5"/>
    <w:rsid w:val="003926AC"/>
    <w:rsid w:val="00393B21"/>
    <w:rsid w:val="00393B67"/>
    <w:rsid w:val="00394291"/>
    <w:rsid w:val="003967D9"/>
    <w:rsid w:val="00397CE7"/>
    <w:rsid w:val="003A10EA"/>
    <w:rsid w:val="003A26FF"/>
    <w:rsid w:val="003A51AF"/>
    <w:rsid w:val="003A61B5"/>
    <w:rsid w:val="003A7CEE"/>
    <w:rsid w:val="003B04D6"/>
    <w:rsid w:val="003B11E7"/>
    <w:rsid w:val="003B24BA"/>
    <w:rsid w:val="003B2705"/>
    <w:rsid w:val="003B35C2"/>
    <w:rsid w:val="003B4EF8"/>
    <w:rsid w:val="003B50C3"/>
    <w:rsid w:val="003B5745"/>
    <w:rsid w:val="003B7B9E"/>
    <w:rsid w:val="003C1420"/>
    <w:rsid w:val="003C2694"/>
    <w:rsid w:val="003C3870"/>
    <w:rsid w:val="003C41D8"/>
    <w:rsid w:val="003C5577"/>
    <w:rsid w:val="003C644F"/>
    <w:rsid w:val="003C729C"/>
    <w:rsid w:val="003C7351"/>
    <w:rsid w:val="003C7707"/>
    <w:rsid w:val="003D0163"/>
    <w:rsid w:val="003D098C"/>
    <w:rsid w:val="003D0E45"/>
    <w:rsid w:val="003D2156"/>
    <w:rsid w:val="003D252F"/>
    <w:rsid w:val="003D327D"/>
    <w:rsid w:val="003D3CE0"/>
    <w:rsid w:val="003D3DE2"/>
    <w:rsid w:val="003D6788"/>
    <w:rsid w:val="003D7C25"/>
    <w:rsid w:val="003E1DEF"/>
    <w:rsid w:val="003E267B"/>
    <w:rsid w:val="003E2BBF"/>
    <w:rsid w:val="003E2CA1"/>
    <w:rsid w:val="003E3E0B"/>
    <w:rsid w:val="003E4E6C"/>
    <w:rsid w:val="003E5243"/>
    <w:rsid w:val="003E5DFE"/>
    <w:rsid w:val="003E6890"/>
    <w:rsid w:val="003F15B5"/>
    <w:rsid w:val="003F5DA8"/>
    <w:rsid w:val="004001BB"/>
    <w:rsid w:val="0040090D"/>
    <w:rsid w:val="00401E1A"/>
    <w:rsid w:val="0040390E"/>
    <w:rsid w:val="004045D4"/>
    <w:rsid w:val="00404626"/>
    <w:rsid w:val="004052EE"/>
    <w:rsid w:val="00405E5B"/>
    <w:rsid w:val="00407122"/>
    <w:rsid w:val="00407E6E"/>
    <w:rsid w:val="004128B2"/>
    <w:rsid w:val="00412B61"/>
    <w:rsid w:val="004141F6"/>
    <w:rsid w:val="004145C3"/>
    <w:rsid w:val="00415CCD"/>
    <w:rsid w:val="0041619C"/>
    <w:rsid w:val="004177A4"/>
    <w:rsid w:val="00417DAE"/>
    <w:rsid w:val="00420660"/>
    <w:rsid w:val="004228BA"/>
    <w:rsid w:val="0042383B"/>
    <w:rsid w:val="0042564D"/>
    <w:rsid w:val="004263FF"/>
    <w:rsid w:val="00431270"/>
    <w:rsid w:val="00431A36"/>
    <w:rsid w:val="004321B9"/>
    <w:rsid w:val="00433EA5"/>
    <w:rsid w:val="0043423B"/>
    <w:rsid w:val="00434671"/>
    <w:rsid w:val="0043508D"/>
    <w:rsid w:val="00435978"/>
    <w:rsid w:val="00436033"/>
    <w:rsid w:val="00437B6A"/>
    <w:rsid w:val="00437CCF"/>
    <w:rsid w:val="00440660"/>
    <w:rsid w:val="00441E5B"/>
    <w:rsid w:val="00444888"/>
    <w:rsid w:val="0044686A"/>
    <w:rsid w:val="004478E3"/>
    <w:rsid w:val="00450ED1"/>
    <w:rsid w:val="004519B0"/>
    <w:rsid w:val="00455840"/>
    <w:rsid w:val="00456029"/>
    <w:rsid w:val="00460610"/>
    <w:rsid w:val="004617DD"/>
    <w:rsid w:val="0046229A"/>
    <w:rsid w:val="0046479E"/>
    <w:rsid w:val="00464915"/>
    <w:rsid w:val="00466C8E"/>
    <w:rsid w:val="004672AB"/>
    <w:rsid w:val="00467734"/>
    <w:rsid w:val="00470CD4"/>
    <w:rsid w:val="0047125E"/>
    <w:rsid w:val="00473A10"/>
    <w:rsid w:val="0047440D"/>
    <w:rsid w:val="004744C1"/>
    <w:rsid w:val="00474CDD"/>
    <w:rsid w:val="0047745C"/>
    <w:rsid w:val="0047761D"/>
    <w:rsid w:val="00480E7D"/>
    <w:rsid w:val="0048366F"/>
    <w:rsid w:val="00483842"/>
    <w:rsid w:val="00483E74"/>
    <w:rsid w:val="0048792B"/>
    <w:rsid w:val="004920C2"/>
    <w:rsid w:val="00492821"/>
    <w:rsid w:val="00493579"/>
    <w:rsid w:val="00494193"/>
    <w:rsid w:val="0049616D"/>
    <w:rsid w:val="00497712"/>
    <w:rsid w:val="004A1CE9"/>
    <w:rsid w:val="004A2BDA"/>
    <w:rsid w:val="004A6964"/>
    <w:rsid w:val="004B1084"/>
    <w:rsid w:val="004B255B"/>
    <w:rsid w:val="004B64C7"/>
    <w:rsid w:val="004C0D34"/>
    <w:rsid w:val="004C277C"/>
    <w:rsid w:val="004C4B7A"/>
    <w:rsid w:val="004C5B85"/>
    <w:rsid w:val="004C7597"/>
    <w:rsid w:val="004D2473"/>
    <w:rsid w:val="004D347B"/>
    <w:rsid w:val="004D354C"/>
    <w:rsid w:val="004D3CF9"/>
    <w:rsid w:val="004D459E"/>
    <w:rsid w:val="004D477C"/>
    <w:rsid w:val="004D6882"/>
    <w:rsid w:val="004D6A1E"/>
    <w:rsid w:val="004D781F"/>
    <w:rsid w:val="004E1415"/>
    <w:rsid w:val="004E1C42"/>
    <w:rsid w:val="004E3D8F"/>
    <w:rsid w:val="004E48AA"/>
    <w:rsid w:val="004E5AB8"/>
    <w:rsid w:val="004E6C09"/>
    <w:rsid w:val="004E7679"/>
    <w:rsid w:val="004F0DEB"/>
    <w:rsid w:val="004F37D7"/>
    <w:rsid w:val="004F6313"/>
    <w:rsid w:val="004F74AC"/>
    <w:rsid w:val="00500A11"/>
    <w:rsid w:val="00502195"/>
    <w:rsid w:val="00503746"/>
    <w:rsid w:val="005041A2"/>
    <w:rsid w:val="00504751"/>
    <w:rsid w:val="00504B38"/>
    <w:rsid w:val="00505A22"/>
    <w:rsid w:val="00506B5D"/>
    <w:rsid w:val="00507E74"/>
    <w:rsid w:val="00511DDE"/>
    <w:rsid w:val="00511F71"/>
    <w:rsid w:val="0051285B"/>
    <w:rsid w:val="005129DD"/>
    <w:rsid w:val="00516E0B"/>
    <w:rsid w:val="00517CC8"/>
    <w:rsid w:val="005207C4"/>
    <w:rsid w:val="00521918"/>
    <w:rsid w:val="00521F75"/>
    <w:rsid w:val="00521F8A"/>
    <w:rsid w:val="0052465D"/>
    <w:rsid w:val="00524E0A"/>
    <w:rsid w:val="00525CB9"/>
    <w:rsid w:val="00526FAD"/>
    <w:rsid w:val="0052714D"/>
    <w:rsid w:val="005271AC"/>
    <w:rsid w:val="005272F9"/>
    <w:rsid w:val="00530262"/>
    <w:rsid w:val="0053253D"/>
    <w:rsid w:val="005328CA"/>
    <w:rsid w:val="0053370E"/>
    <w:rsid w:val="005338C5"/>
    <w:rsid w:val="00534301"/>
    <w:rsid w:val="00534427"/>
    <w:rsid w:val="00535BBF"/>
    <w:rsid w:val="0054078A"/>
    <w:rsid w:val="00541D21"/>
    <w:rsid w:val="00541D88"/>
    <w:rsid w:val="005502D3"/>
    <w:rsid w:val="00550EEE"/>
    <w:rsid w:val="00551192"/>
    <w:rsid w:val="00555061"/>
    <w:rsid w:val="00555CF8"/>
    <w:rsid w:val="00557631"/>
    <w:rsid w:val="00560DC9"/>
    <w:rsid w:val="00561558"/>
    <w:rsid w:val="0056271D"/>
    <w:rsid w:val="00564A2F"/>
    <w:rsid w:val="005671B3"/>
    <w:rsid w:val="00567EDF"/>
    <w:rsid w:val="00570935"/>
    <w:rsid w:val="00571C9A"/>
    <w:rsid w:val="00572CF0"/>
    <w:rsid w:val="00572EC6"/>
    <w:rsid w:val="005737DC"/>
    <w:rsid w:val="00573B76"/>
    <w:rsid w:val="005766DD"/>
    <w:rsid w:val="00577D7B"/>
    <w:rsid w:val="00577E8B"/>
    <w:rsid w:val="00580F83"/>
    <w:rsid w:val="005814B1"/>
    <w:rsid w:val="00582519"/>
    <w:rsid w:val="005825D2"/>
    <w:rsid w:val="0058352F"/>
    <w:rsid w:val="00583BE4"/>
    <w:rsid w:val="00583CA1"/>
    <w:rsid w:val="00585530"/>
    <w:rsid w:val="00586BE4"/>
    <w:rsid w:val="00587F09"/>
    <w:rsid w:val="00587FB2"/>
    <w:rsid w:val="005907A1"/>
    <w:rsid w:val="005926F2"/>
    <w:rsid w:val="00595A16"/>
    <w:rsid w:val="005964A0"/>
    <w:rsid w:val="00596E6A"/>
    <w:rsid w:val="005A06F3"/>
    <w:rsid w:val="005A3741"/>
    <w:rsid w:val="005A4DCE"/>
    <w:rsid w:val="005A5D9B"/>
    <w:rsid w:val="005A685D"/>
    <w:rsid w:val="005A7A80"/>
    <w:rsid w:val="005B10AA"/>
    <w:rsid w:val="005B3188"/>
    <w:rsid w:val="005B35AF"/>
    <w:rsid w:val="005B377F"/>
    <w:rsid w:val="005B40AE"/>
    <w:rsid w:val="005B5E29"/>
    <w:rsid w:val="005B772B"/>
    <w:rsid w:val="005B799E"/>
    <w:rsid w:val="005C072A"/>
    <w:rsid w:val="005C11AE"/>
    <w:rsid w:val="005C1336"/>
    <w:rsid w:val="005C1976"/>
    <w:rsid w:val="005C2182"/>
    <w:rsid w:val="005C4683"/>
    <w:rsid w:val="005C6130"/>
    <w:rsid w:val="005C6476"/>
    <w:rsid w:val="005D14A9"/>
    <w:rsid w:val="005D1C6D"/>
    <w:rsid w:val="005D2805"/>
    <w:rsid w:val="005D4BB2"/>
    <w:rsid w:val="005D5264"/>
    <w:rsid w:val="005D68CA"/>
    <w:rsid w:val="005D70F7"/>
    <w:rsid w:val="005D736B"/>
    <w:rsid w:val="005D755E"/>
    <w:rsid w:val="005E1B2B"/>
    <w:rsid w:val="005E219B"/>
    <w:rsid w:val="005E3EF1"/>
    <w:rsid w:val="005E424E"/>
    <w:rsid w:val="005F24AE"/>
    <w:rsid w:val="005F29DF"/>
    <w:rsid w:val="005F3135"/>
    <w:rsid w:val="005F3B74"/>
    <w:rsid w:val="005F4D09"/>
    <w:rsid w:val="005F501E"/>
    <w:rsid w:val="005F544A"/>
    <w:rsid w:val="005F583B"/>
    <w:rsid w:val="006003D1"/>
    <w:rsid w:val="006016A6"/>
    <w:rsid w:val="00601AD4"/>
    <w:rsid w:val="00602D30"/>
    <w:rsid w:val="006049FA"/>
    <w:rsid w:val="00606EF0"/>
    <w:rsid w:val="00616706"/>
    <w:rsid w:val="00616FB3"/>
    <w:rsid w:val="0061735F"/>
    <w:rsid w:val="00622F42"/>
    <w:rsid w:val="0062407C"/>
    <w:rsid w:val="00625525"/>
    <w:rsid w:val="006305CE"/>
    <w:rsid w:val="00631E4B"/>
    <w:rsid w:val="0063408F"/>
    <w:rsid w:val="00634479"/>
    <w:rsid w:val="00634BDD"/>
    <w:rsid w:val="00634C20"/>
    <w:rsid w:val="0063627E"/>
    <w:rsid w:val="0063635E"/>
    <w:rsid w:val="006365AB"/>
    <w:rsid w:val="006405C2"/>
    <w:rsid w:val="00641C34"/>
    <w:rsid w:val="00643ADE"/>
    <w:rsid w:val="00647689"/>
    <w:rsid w:val="00647AF8"/>
    <w:rsid w:val="00647FCD"/>
    <w:rsid w:val="00650060"/>
    <w:rsid w:val="00652096"/>
    <w:rsid w:val="006547EA"/>
    <w:rsid w:val="006559C5"/>
    <w:rsid w:val="00655F30"/>
    <w:rsid w:val="00656F6B"/>
    <w:rsid w:val="006578A9"/>
    <w:rsid w:val="006610E8"/>
    <w:rsid w:val="00661B82"/>
    <w:rsid w:val="00662638"/>
    <w:rsid w:val="00662753"/>
    <w:rsid w:val="00664846"/>
    <w:rsid w:val="006648B8"/>
    <w:rsid w:val="00666A49"/>
    <w:rsid w:val="00666BBD"/>
    <w:rsid w:val="0066712D"/>
    <w:rsid w:val="00667A14"/>
    <w:rsid w:val="00670290"/>
    <w:rsid w:val="006703D3"/>
    <w:rsid w:val="0067184E"/>
    <w:rsid w:val="0067199C"/>
    <w:rsid w:val="006720A4"/>
    <w:rsid w:val="00672C8A"/>
    <w:rsid w:val="0067473C"/>
    <w:rsid w:val="00674767"/>
    <w:rsid w:val="00675581"/>
    <w:rsid w:val="00676149"/>
    <w:rsid w:val="0067695B"/>
    <w:rsid w:val="006801E5"/>
    <w:rsid w:val="00680BF9"/>
    <w:rsid w:val="00682410"/>
    <w:rsid w:val="00682C79"/>
    <w:rsid w:val="00683A5B"/>
    <w:rsid w:val="006847AA"/>
    <w:rsid w:val="00686326"/>
    <w:rsid w:val="0068688B"/>
    <w:rsid w:val="00691C6F"/>
    <w:rsid w:val="00692532"/>
    <w:rsid w:val="00692B43"/>
    <w:rsid w:val="0069304F"/>
    <w:rsid w:val="00693C1F"/>
    <w:rsid w:val="00693CF7"/>
    <w:rsid w:val="0069470C"/>
    <w:rsid w:val="0069491C"/>
    <w:rsid w:val="00695A4A"/>
    <w:rsid w:val="00695BDF"/>
    <w:rsid w:val="006967D8"/>
    <w:rsid w:val="00696871"/>
    <w:rsid w:val="00696B64"/>
    <w:rsid w:val="006A0099"/>
    <w:rsid w:val="006A0C43"/>
    <w:rsid w:val="006A4789"/>
    <w:rsid w:val="006A4D11"/>
    <w:rsid w:val="006A5C6F"/>
    <w:rsid w:val="006B14AD"/>
    <w:rsid w:val="006B43FF"/>
    <w:rsid w:val="006B52FA"/>
    <w:rsid w:val="006B5EE6"/>
    <w:rsid w:val="006B76B9"/>
    <w:rsid w:val="006C0C7F"/>
    <w:rsid w:val="006C65D0"/>
    <w:rsid w:val="006C6C90"/>
    <w:rsid w:val="006C6DD9"/>
    <w:rsid w:val="006D03FF"/>
    <w:rsid w:val="006D217F"/>
    <w:rsid w:val="006D24E2"/>
    <w:rsid w:val="006D2BF8"/>
    <w:rsid w:val="006D435A"/>
    <w:rsid w:val="006D47C8"/>
    <w:rsid w:val="006D4D38"/>
    <w:rsid w:val="006D4FC4"/>
    <w:rsid w:val="006D524C"/>
    <w:rsid w:val="006D59D8"/>
    <w:rsid w:val="006E09EA"/>
    <w:rsid w:val="006E0FFE"/>
    <w:rsid w:val="006E1FCE"/>
    <w:rsid w:val="006E4010"/>
    <w:rsid w:val="006E485D"/>
    <w:rsid w:val="006E6D75"/>
    <w:rsid w:val="006E7116"/>
    <w:rsid w:val="006F2F17"/>
    <w:rsid w:val="006F3DBC"/>
    <w:rsid w:val="006F4256"/>
    <w:rsid w:val="006F45B7"/>
    <w:rsid w:val="006F4ACA"/>
    <w:rsid w:val="006F4EFE"/>
    <w:rsid w:val="006F6060"/>
    <w:rsid w:val="006F668F"/>
    <w:rsid w:val="006F70ED"/>
    <w:rsid w:val="006F7B14"/>
    <w:rsid w:val="007002ED"/>
    <w:rsid w:val="0070085E"/>
    <w:rsid w:val="007009FD"/>
    <w:rsid w:val="00702B2A"/>
    <w:rsid w:val="00704776"/>
    <w:rsid w:val="00704D86"/>
    <w:rsid w:val="00710C1D"/>
    <w:rsid w:val="0071178D"/>
    <w:rsid w:val="00712BCF"/>
    <w:rsid w:val="00712D34"/>
    <w:rsid w:val="007131A9"/>
    <w:rsid w:val="00713B2A"/>
    <w:rsid w:val="00713EC6"/>
    <w:rsid w:val="00715669"/>
    <w:rsid w:val="0071572F"/>
    <w:rsid w:val="00716A65"/>
    <w:rsid w:val="00717DF3"/>
    <w:rsid w:val="007204CE"/>
    <w:rsid w:val="00721503"/>
    <w:rsid w:val="00722FB7"/>
    <w:rsid w:val="00723E72"/>
    <w:rsid w:val="00724F59"/>
    <w:rsid w:val="007279F5"/>
    <w:rsid w:val="00727A42"/>
    <w:rsid w:val="00731021"/>
    <w:rsid w:val="00731A75"/>
    <w:rsid w:val="00732D3D"/>
    <w:rsid w:val="00732D46"/>
    <w:rsid w:val="00735D7C"/>
    <w:rsid w:val="007361D7"/>
    <w:rsid w:val="00737930"/>
    <w:rsid w:val="00740396"/>
    <w:rsid w:val="007415F2"/>
    <w:rsid w:val="007429F2"/>
    <w:rsid w:val="007443EF"/>
    <w:rsid w:val="00746164"/>
    <w:rsid w:val="00746DA0"/>
    <w:rsid w:val="00753243"/>
    <w:rsid w:val="00753ABD"/>
    <w:rsid w:val="007565E7"/>
    <w:rsid w:val="00757A82"/>
    <w:rsid w:val="007610B5"/>
    <w:rsid w:val="00761A7B"/>
    <w:rsid w:val="00764214"/>
    <w:rsid w:val="00765D2F"/>
    <w:rsid w:val="007668B5"/>
    <w:rsid w:val="007710FB"/>
    <w:rsid w:val="00771511"/>
    <w:rsid w:val="00771753"/>
    <w:rsid w:val="00772258"/>
    <w:rsid w:val="00772F91"/>
    <w:rsid w:val="00773AFC"/>
    <w:rsid w:val="007754A2"/>
    <w:rsid w:val="00775DC7"/>
    <w:rsid w:val="00775F04"/>
    <w:rsid w:val="00776C6F"/>
    <w:rsid w:val="00781E3E"/>
    <w:rsid w:val="00782663"/>
    <w:rsid w:val="00783407"/>
    <w:rsid w:val="00783CF2"/>
    <w:rsid w:val="0078497E"/>
    <w:rsid w:val="00785814"/>
    <w:rsid w:val="007862F9"/>
    <w:rsid w:val="00786BCD"/>
    <w:rsid w:val="00790860"/>
    <w:rsid w:val="0079183D"/>
    <w:rsid w:val="00791BA5"/>
    <w:rsid w:val="00795925"/>
    <w:rsid w:val="00796920"/>
    <w:rsid w:val="00796A2A"/>
    <w:rsid w:val="007A063F"/>
    <w:rsid w:val="007A0717"/>
    <w:rsid w:val="007A0D27"/>
    <w:rsid w:val="007A1C4B"/>
    <w:rsid w:val="007A2188"/>
    <w:rsid w:val="007A79D4"/>
    <w:rsid w:val="007B1C29"/>
    <w:rsid w:val="007B2FE2"/>
    <w:rsid w:val="007B6167"/>
    <w:rsid w:val="007B63CF"/>
    <w:rsid w:val="007B6FB3"/>
    <w:rsid w:val="007B7281"/>
    <w:rsid w:val="007C0A10"/>
    <w:rsid w:val="007C1F39"/>
    <w:rsid w:val="007C29FC"/>
    <w:rsid w:val="007C3A59"/>
    <w:rsid w:val="007C4150"/>
    <w:rsid w:val="007C7191"/>
    <w:rsid w:val="007D0E82"/>
    <w:rsid w:val="007D210C"/>
    <w:rsid w:val="007D2F2F"/>
    <w:rsid w:val="007D3E68"/>
    <w:rsid w:val="007D4030"/>
    <w:rsid w:val="007E05A2"/>
    <w:rsid w:val="007E140A"/>
    <w:rsid w:val="007E1A57"/>
    <w:rsid w:val="007E35BD"/>
    <w:rsid w:val="007E46D9"/>
    <w:rsid w:val="007E4882"/>
    <w:rsid w:val="007E5C2F"/>
    <w:rsid w:val="007F2FE3"/>
    <w:rsid w:val="007F351F"/>
    <w:rsid w:val="007F48C7"/>
    <w:rsid w:val="007F6129"/>
    <w:rsid w:val="007F66D0"/>
    <w:rsid w:val="007F712D"/>
    <w:rsid w:val="00801639"/>
    <w:rsid w:val="00801FE8"/>
    <w:rsid w:val="008034E4"/>
    <w:rsid w:val="0080521A"/>
    <w:rsid w:val="008075FD"/>
    <w:rsid w:val="00807EDD"/>
    <w:rsid w:val="008108AF"/>
    <w:rsid w:val="0081151C"/>
    <w:rsid w:val="00811850"/>
    <w:rsid w:val="00812DD1"/>
    <w:rsid w:val="00813FD5"/>
    <w:rsid w:val="00814400"/>
    <w:rsid w:val="0081715C"/>
    <w:rsid w:val="00817CC5"/>
    <w:rsid w:val="00820B7A"/>
    <w:rsid w:val="00821E10"/>
    <w:rsid w:val="008230A1"/>
    <w:rsid w:val="00823DA4"/>
    <w:rsid w:val="00825267"/>
    <w:rsid w:val="00827E45"/>
    <w:rsid w:val="00830110"/>
    <w:rsid w:val="0083065B"/>
    <w:rsid w:val="008323FA"/>
    <w:rsid w:val="00832676"/>
    <w:rsid w:val="0083690D"/>
    <w:rsid w:val="00837BC6"/>
    <w:rsid w:val="00840235"/>
    <w:rsid w:val="008407B7"/>
    <w:rsid w:val="008411CC"/>
    <w:rsid w:val="00841F05"/>
    <w:rsid w:val="00841FCE"/>
    <w:rsid w:val="00843246"/>
    <w:rsid w:val="0084335D"/>
    <w:rsid w:val="00844144"/>
    <w:rsid w:val="0084435A"/>
    <w:rsid w:val="00845C51"/>
    <w:rsid w:val="0085283D"/>
    <w:rsid w:val="008528F3"/>
    <w:rsid w:val="008529FF"/>
    <w:rsid w:val="00853346"/>
    <w:rsid w:val="0085537E"/>
    <w:rsid w:val="0085621A"/>
    <w:rsid w:val="008562DE"/>
    <w:rsid w:val="00856992"/>
    <w:rsid w:val="00856D7A"/>
    <w:rsid w:val="00860D37"/>
    <w:rsid w:val="00863B44"/>
    <w:rsid w:val="00865B3B"/>
    <w:rsid w:val="00867A1A"/>
    <w:rsid w:val="008704DE"/>
    <w:rsid w:val="008713D4"/>
    <w:rsid w:val="00871617"/>
    <w:rsid w:val="00874A7F"/>
    <w:rsid w:val="00875BA6"/>
    <w:rsid w:val="00877FE9"/>
    <w:rsid w:val="008808B4"/>
    <w:rsid w:val="008830C9"/>
    <w:rsid w:val="00884490"/>
    <w:rsid w:val="00884C70"/>
    <w:rsid w:val="00884E29"/>
    <w:rsid w:val="00885002"/>
    <w:rsid w:val="00886C04"/>
    <w:rsid w:val="00886F44"/>
    <w:rsid w:val="008876F9"/>
    <w:rsid w:val="0089013B"/>
    <w:rsid w:val="00891D23"/>
    <w:rsid w:val="008952D6"/>
    <w:rsid w:val="008974BD"/>
    <w:rsid w:val="008A2097"/>
    <w:rsid w:val="008A3CFB"/>
    <w:rsid w:val="008A4375"/>
    <w:rsid w:val="008A6A51"/>
    <w:rsid w:val="008B0690"/>
    <w:rsid w:val="008B1361"/>
    <w:rsid w:val="008B2057"/>
    <w:rsid w:val="008B26B0"/>
    <w:rsid w:val="008B3185"/>
    <w:rsid w:val="008B3D1E"/>
    <w:rsid w:val="008B516D"/>
    <w:rsid w:val="008B67ED"/>
    <w:rsid w:val="008B71F2"/>
    <w:rsid w:val="008C1C45"/>
    <w:rsid w:val="008C2726"/>
    <w:rsid w:val="008C65C6"/>
    <w:rsid w:val="008C7747"/>
    <w:rsid w:val="008C78E6"/>
    <w:rsid w:val="008C7BDE"/>
    <w:rsid w:val="008D003F"/>
    <w:rsid w:val="008D0926"/>
    <w:rsid w:val="008D2305"/>
    <w:rsid w:val="008D413A"/>
    <w:rsid w:val="008D4DC7"/>
    <w:rsid w:val="008D6C15"/>
    <w:rsid w:val="008E135F"/>
    <w:rsid w:val="008E2B75"/>
    <w:rsid w:val="008E4486"/>
    <w:rsid w:val="008E5C46"/>
    <w:rsid w:val="008E61F0"/>
    <w:rsid w:val="008E621D"/>
    <w:rsid w:val="008E6554"/>
    <w:rsid w:val="008E693C"/>
    <w:rsid w:val="008E6D5E"/>
    <w:rsid w:val="008E74EA"/>
    <w:rsid w:val="008F31F4"/>
    <w:rsid w:val="008F32A2"/>
    <w:rsid w:val="008F37D0"/>
    <w:rsid w:val="008F3E53"/>
    <w:rsid w:val="008F3EA3"/>
    <w:rsid w:val="008F6110"/>
    <w:rsid w:val="008F7C65"/>
    <w:rsid w:val="0090053D"/>
    <w:rsid w:val="0090179E"/>
    <w:rsid w:val="0090623F"/>
    <w:rsid w:val="00907FA2"/>
    <w:rsid w:val="0091186C"/>
    <w:rsid w:val="009127BE"/>
    <w:rsid w:val="009151DB"/>
    <w:rsid w:val="00915C6D"/>
    <w:rsid w:val="00915FE6"/>
    <w:rsid w:val="00921D13"/>
    <w:rsid w:val="00922D6B"/>
    <w:rsid w:val="00923115"/>
    <w:rsid w:val="009234A7"/>
    <w:rsid w:val="00923D7F"/>
    <w:rsid w:val="0092476C"/>
    <w:rsid w:val="00926693"/>
    <w:rsid w:val="00930926"/>
    <w:rsid w:val="009315DE"/>
    <w:rsid w:val="00932593"/>
    <w:rsid w:val="00932BBF"/>
    <w:rsid w:val="0093559A"/>
    <w:rsid w:val="00936156"/>
    <w:rsid w:val="00941388"/>
    <w:rsid w:val="009415D3"/>
    <w:rsid w:val="009427AD"/>
    <w:rsid w:val="00945C1E"/>
    <w:rsid w:val="00945F4D"/>
    <w:rsid w:val="00946CE2"/>
    <w:rsid w:val="00947AF4"/>
    <w:rsid w:val="0095057D"/>
    <w:rsid w:val="00953E6C"/>
    <w:rsid w:val="00953E94"/>
    <w:rsid w:val="009555B4"/>
    <w:rsid w:val="009563A9"/>
    <w:rsid w:val="009563F8"/>
    <w:rsid w:val="0095684E"/>
    <w:rsid w:val="00956952"/>
    <w:rsid w:val="00957D7D"/>
    <w:rsid w:val="00957DD5"/>
    <w:rsid w:val="009622B3"/>
    <w:rsid w:val="009622EA"/>
    <w:rsid w:val="00962E2D"/>
    <w:rsid w:val="00963610"/>
    <w:rsid w:val="00963EE2"/>
    <w:rsid w:val="00964A2D"/>
    <w:rsid w:val="009654DF"/>
    <w:rsid w:val="0096593E"/>
    <w:rsid w:val="00965A5A"/>
    <w:rsid w:val="00965D17"/>
    <w:rsid w:val="00966CDD"/>
    <w:rsid w:val="009705AC"/>
    <w:rsid w:val="00974014"/>
    <w:rsid w:val="0097582C"/>
    <w:rsid w:val="00981602"/>
    <w:rsid w:val="00982E44"/>
    <w:rsid w:val="00983103"/>
    <w:rsid w:val="00986B23"/>
    <w:rsid w:val="009873C6"/>
    <w:rsid w:val="009876D6"/>
    <w:rsid w:val="0099007D"/>
    <w:rsid w:val="00991DEF"/>
    <w:rsid w:val="00991E29"/>
    <w:rsid w:val="0099447B"/>
    <w:rsid w:val="00994A6F"/>
    <w:rsid w:val="009A01EB"/>
    <w:rsid w:val="009A111A"/>
    <w:rsid w:val="009A2B69"/>
    <w:rsid w:val="009A3688"/>
    <w:rsid w:val="009A5697"/>
    <w:rsid w:val="009A5CB9"/>
    <w:rsid w:val="009A799F"/>
    <w:rsid w:val="009B09B5"/>
    <w:rsid w:val="009B0BA4"/>
    <w:rsid w:val="009B36A2"/>
    <w:rsid w:val="009B3AA7"/>
    <w:rsid w:val="009B57D1"/>
    <w:rsid w:val="009C0442"/>
    <w:rsid w:val="009C0E21"/>
    <w:rsid w:val="009C181C"/>
    <w:rsid w:val="009C5A16"/>
    <w:rsid w:val="009D298E"/>
    <w:rsid w:val="009D2E33"/>
    <w:rsid w:val="009D311F"/>
    <w:rsid w:val="009D459E"/>
    <w:rsid w:val="009D4E03"/>
    <w:rsid w:val="009D6F8A"/>
    <w:rsid w:val="009D799F"/>
    <w:rsid w:val="009E24BD"/>
    <w:rsid w:val="009E26B6"/>
    <w:rsid w:val="009E2E4B"/>
    <w:rsid w:val="009E32A4"/>
    <w:rsid w:val="009E3538"/>
    <w:rsid w:val="009E4008"/>
    <w:rsid w:val="009E49FF"/>
    <w:rsid w:val="009E5FCD"/>
    <w:rsid w:val="009F0F2D"/>
    <w:rsid w:val="009F1A04"/>
    <w:rsid w:val="009F2EA4"/>
    <w:rsid w:val="009F5C8E"/>
    <w:rsid w:val="009F7898"/>
    <w:rsid w:val="00A0031D"/>
    <w:rsid w:val="00A015C3"/>
    <w:rsid w:val="00A0256C"/>
    <w:rsid w:val="00A04081"/>
    <w:rsid w:val="00A064E5"/>
    <w:rsid w:val="00A07A89"/>
    <w:rsid w:val="00A07EFA"/>
    <w:rsid w:val="00A1009E"/>
    <w:rsid w:val="00A12DEB"/>
    <w:rsid w:val="00A15717"/>
    <w:rsid w:val="00A16376"/>
    <w:rsid w:val="00A1651E"/>
    <w:rsid w:val="00A20742"/>
    <w:rsid w:val="00A22360"/>
    <w:rsid w:val="00A24CA5"/>
    <w:rsid w:val="00A250A8"/>
    <w:rsid w:val="00A2575A"/>
    <w:rsid w:val="00A2647E"/>
    <w:rsid w:val="00A2758A"/>
    <w:rsid w:val="00A27D51"/>
    <w:rsid w:val="00A3140E"/>
    <w:rsid w:val="00A31F93"/>
    <w:rsid w:val="00A3265E"/>
    <w:rsid w:val="00A3420A"/>
    <w:rsid w:val="00A357E7"/>
    <w:rsid w:val="00A37BAB"/>
    <w:rsid w:val="00A37E3E"/>
    <w:rsid w:val="00A400CE"/>
    <w:rsid w:val="00A418BD"/>
    <w:rsid w:val="00A435A3"/>
    <w:rsid w:val="00A451B3"/>
    <w:rsid w:val="00A45E15"/>
    <w:rsid w:val="00A460A1"/>
    <w:rsid w:val="00A4621C"/>
    <w:rsid w:val="00A507A9"/>
    <w:rsid w:val="00A50AE3"/>
    <w:rsid w:val="00A50F50"/>
    <w:rsid w:val="00A51CC2"/>
    <w:rsid w:val="00A567DB"/>
    <w:rsid w:val="00A57737"/>
    <w:rsid w:val="00A60C49"/>
    <w:rsid w:val="00A6155A"/>
    <w:rsid w:val="00A642BE"/>
    <w:rsid w:val="00A6718E"/>
    <w:rsid w:val="00A67E2F"/>
    <w:rsid w:val="00A70F09"/>
    <w:rsid w:val="00A71E25"/>
    <w:rsid w:val="00A72AF1"/>
    <w:rsid w:val="00A749DC"/>
    <w:rsid w:val="00A75F16"/>
    <w:rsid w:val="00A76F8E"/>
    <w:rsid w:val="00A771F2"/>
    <w:rsid w:val="00A80BFC"/>
    <w:rsid w:val="00A80FE4"/>
    <w:rsid w:val="00A84DD5"/>
    <w:rsid w:val="00A86D04"/>
    <w:rsid w:val="00A86E14"/>
    <w:rsid w:val="00A876F7"/>
    <w:rsid w:val="00A87E3F"/>
    <w:rsid w:val="00A9092B"/>
    <w:rsid w:val="00A90E3B"/>
    <w:rsid w:val="00A9104C"/>
    <w:rsid w:val="00A91477"/>
    <w:rsid w:val="00A9165F"/>
    <w:rsid w:val="00A91F1D"/>
    <w:rsid w:val="00A92084"/>
    <w:rsid w:val="00A92B42"/>
    <w:rsid w:val="00A95E37"/>
    <w:rsid w:val="00A96035"/>
    <w:rsid w:val="00A97E6C"/>
    <w:rsid w:val="00AA0BB8"/>
    <w:rsid w:val="00AA2773"/>
    <w:rsid w:val="00AA37E5"/>
    <w:rsid w:val="00AA3DF5"/>
    <w:rsid w:val="00AA45BE"/>
    <w:rsid w:val="00AA476D"/>
    <w:rsid w:val="00AA54E9"/>
    <w:rsid w:val="00AA61CF"/>
    <w:rsid w:val="00AA6FBE"/>
    <w:rsid w:val="00AA771C"/>
    <w:rsid w:val="00AA7E36"/>
    <w:rsid w:val="00AB0302"/>
    <w:rsid w:val="00AB1093"/>
    <w:rsid w:val="00AB1111"/>
    <w:rsid w:val="00AB2065"/>
    <w:rsid w:val="00AB23C3"/>
    <w:rsid w:val="00AB50B3"/>
    <w:rsid w:val="00AB59B3"/>
    <w:rsid w:val="00AC0EC0"/>
    <w:rsid w:val="00AC1D41"/>
    <w:rsid w:val="00AC2538"/>
    <w:rsid w:val="00AC4B98"/>
    <w:rsid w:val="00AC6334"/>
    <w:rsid w:val="00AC74E0"/>
    <w:rsid w:val="00AC79D1"/>
    <w:rsid w:val="00AD0BB2"/>
    <w:rsid w:val="00AD19A8"/>
    <w:rsid w:val="00AD1FCC"/>
    <w:rsid w:val="00AD298E"/>
    <w:rsid w:val="00AD4CF4"/>
    <w:rsid w:val="00AE1A78"/>
    <w:rsid w:val="00AE3107"/>
    <w:rsid w:val="00AE3B97"/>
    <w:rsid w:val="00AE4277"/>
    <w:rsid w:val="00AE5033"/>
    <w:rsid w:val="00AE50C2"/>
    <w:rsid w:val="00AE5D6C"/>
    <w:rsid w:val="00AE630A"/>
    <w:rsid w:val="00AE63C8"/>
    <w:rsid w:val="00AE7031"/>
    <w:rsid w:val="00AF020E"/>
    <w:rsid w:val="00AF125B"/>
    <w:rsid w:val="00AF1AAB"/>
    <w:rsid w:val="00AF1BAA"/>
    <w:rsid w:val="00AF286D"/>
    <w:rsid w:val="00AF2C8D"/>
    <w:rsid w:val="00AF4068"/>
    <w:rsid w:val="00AF4D6A"/>
    <w:rsid w:val="00AF59E1"/>
    <w:rsid w:val="00AF5BAD"/>
    <w:rsid w:val="00B02C45"/>
    <w:rsid w:val="00B063AC"/>
    <w:rsid w:val="00B0703E"/>
    <w:rsid w:val="00B10B0A"/>
    <w:rsid w:val="00B11132"/>
    <w:rsid w:val="00B14592"/>
    <w:rsid w:val="00B1526D"/>
    <w:rsid w:val="00B15727"/>
    <w:rsid w:val="00B15917"/>
    <w:rsid w:val="00B16AB1"/>
    <w:rsid w:val="00B21F7C"/>
    <w:rsid w:val="00B23DC4"/>
    <w:rsid w:val="00B248BB"/>
    <w:rsid w:val="00B252AE"/>
    <w:rsid w:val="00B30EF2"/>
    <w:rsid w:val="00B32080"/>
    <w:rsid w:val="00B34B4B"/>
    <w:rsid w:val="00B357F7"/>
    <w:rsid w:val="00B36527"/>
    <w:rsid w:val="00B3670C"/>
    <w:rsid w:val="00B36C5B"/>
    <w:rsid w:val="00B371E5"/>
    <w:rsid w:val="00B40BD3"/>
    <w:rsid w:val="00B43328"/>
    <w:rsid w:val="00B44994"/>
    <w:rsid w:val="00B45405"/>
    <w:rsid w:val="00B456D2"/>
    <w:rsid w:val="00B45850"/>
    <w:rsid w:val="00B45E05"/>
    <w:rsid w:val="00B45E21"/>
    <w:rsid w:val="00B47B31"/>
    <w:rsid w:val="00B47CCF"/>
    <w:rsid w:val="00B5256B"/>
    <w:rsid w:val="00B53028"/>
    <w:rsid w:val="00B544A7"/>
    <w:rsid w:val="00B552B9"/>
    <w:rsid w:val="00B55382"/>
    <w:rsid w:val="00B57745"/>
    <w:rsid w:val="00B6701C"/>
    <w:rsid w:val="00B67602"/>
    <w:rsid w:val="00B67889"/>
    <w:rsid w:val="00B67DA3"/>
    <w:rsid w:val="00B711D1"/>
    <w:rsid w:val="00B752B8"/>
    <w:rsid w:val="00B75DF3"/>
    <w:rsid w:val="00B76CFE"/>
    <w:rsid w:val="00B80AD5"/>
    <w:rsid w:val="00B8208C"/>
    <w:rsid w:val="00B82454"/>
    <w:rsid w:val="00B838C1"/>
    <w:rsid w:val="00B83B08"/>
    <w:rsid w:val="00B8486D"/>
    <w:rsid w:val="00B90D4A"/>
    <w:rsid w:val="00B911AC"/>
    <w:rsid w:val="00B91690"/>
    <w:rsid w:val="00B91858"/>
    <w:rsid w:val="00B9217F"/>
    <w:rsid w:val="00B9258D"/>
    <w:rsid w:val="00B92595"/>
    <w:rsid w:val="00B92909"/>
    <w:rsid w:val="00B92941"/>
    <w:rsid w:val="00B93409"/>
    <w:rsid w:val="00B93B57"/>
    <w:rsid w:val="00B93F91"/>
    <w:rsid w:val="00B94B96"/>
    <w:rsid w:val="00B9568F"/>
    <w:rsid w:val="00B9643C"/>
    <w:rsid w:val="00BA018E"/>
    <w:rsid w:val="00BA01B6"/>
    <w:rsid w:val="00BA06A6"/>
    <w:rsid w:val="00BA2AAF"/>
    <w:rsid w:val="00BA2FE7"/>
    <w:rsid w:val="00BA3705"/>
    <w:rsid w:val="00BA3882"/>
    <w:rsid w:val="00BA4046"/>
    <w:rsid w:val="00BA7E99"/>
    <w:rsid w:val="00BA7EE7"/>
    <w:rsid w:val="00BB05B1"/>
    <w:rsid w:val="00BB2CB6"/>
    <w:rsid w:val="00BB358C"/>
    <w:rsid w:val="00BB40F5"/>
    <w:rsid w:val="00BC0CFF"/>
    <w:rsid w:val="00BC0DD0"/>
    <w:rsid w:val="00BC0E62"/>
    <w:rsid w:val="00BC32D1"/>
    <w:rsid w:val="00BC35E0"/>
    <w:rsid w:val="00BC3E19"/>
    <w:rsid w:val="00BC4257"/>
    <w:rsid w:val="00BC4796"/>
    <w:rsid w:val="00BC48CB"/>
    <w:rsid w:val="00BD16E9"/>
    <w:rsid w:val="00BD1EA3"/>
    <w:rsid w:val="00BD251E"/>
    <w:rsid w:val="00BD492E"/>
    <w:rsid w:val="00BD4B10"/>
    <w:rsid w:val="00BD4F3D"/>
    <w:rsid w:val="00BD5871"/>
    <w:rsid w:val="00BD7D6F"/>
    <w:rsid w:val="00BE077D"/>
    <w:rsid w:val="00BE31B3"/>
    <w:rsid w:val="00BE3F79"/>
    <w:rsid w:val="00BE4971"/>
    <w:rsid w:val="00BE4BD1"/>
    <w:rsid w:val="00BE54FE"/>
    <w:rsid w:val="00BE5853"/>
    <w:rsid w:val="00BE6FE0"/>
    <w:rsid w:val="00BE710A"/>
    <w:rsid w:val="00BE7314"/>
    <w:rsid w:val="00BF12CF"/>
    <w:rsid w:val="00BF4ABD"/>
    <w:rsid w:val="00BF60AF"/>
    <w:rsid w:val="00BF6988"/>
    <w:rsid w:val="00BF6E01"/>
    <w:rsid w:val="00C0339D"/>
    <w:rsid w:val="00C035C6"/>
    <w:rsid w:val="00C03E7F"/>
    <w:rsid w:val="00C05FD7"/>
    <w:rsid w:val="00C060FB"/>
    <w:rsid w:val="00C06356"/>
    <w:rsid w:val="00C06BB3"/>
    <w:rsid w:val="00C07887"/>
    <w:rsid w:val="00C141E1"/>
    <w:rsid w:val="00C15516"/>
    <w:rsid w:val="00C166D7"/>
    <w:rsid w:val="00C1678F"/>
    <w:rsid w:val="00C168C1"/>
    <w:rsid w:val="00C1722A"/>
    <w:rsid w:val="00C20B8C"/>
    <w:rsid w:val="00C21332"/>
    <w:rsid w:val="00C23827"/>
    <w:rsid w:val="00C244C9"/>
    <w:rsid w:val="00C256AD"/>
    <w:rsid w:val="00C26828"/>
    <w:rsid w:val="00C26A52"/>
    <w:rsid w:val="00C26FBC"/>
    <w:rsid w:val="00C32CD1"/>
    <w:rsid w:val="00C34D07"/>
    <w:rsid w:val="00C365DA"/>
    <w:rsid w:val="00C40232"/>
    <w:rsid w:val="00C40845"/>
    <w:rsid w:val="00C41D98"/>
    <w:rsid w:val="00C43C41"/>
    <w:rsid w:val="00C44554"/>
    <w:rsid w:val="00C4476B"/>
    <w:rsid w:val="00C44C6B"/>
    <w:rsid w:val="00C44F57"/>
    <w:rsid w:val="00C45EC8"/>
    <w:rsid w:val="00C46BEF"/>
    <w:rsid w:val="00C5012C"/>
    <w:rsid w:val="00C50D4C"/>
    <w:rsid w:val="00C51071"/>
    <w:rsid w:val="00C52151"/>
    <w:rsid w:val="00C52B1D"/>
    <w:rsid w:val="00C52D96"/>
    <w:rsid w:val="00C52F6E"/>
    <w:rsid w:val="00C53620"/>
    <w:rsid w:val="00C55588"/>
    <w:rsid w:val="00C5593F"/>
    <w:rsid w:val="00C55AB0"/>
    <w:rsid w:val="00C56487"/>
    <w:rsid w:val="00C565AE"/>
    <w:rsid w:val="00C56C65"/>
    <w:rsid w:val="00C56FB1"/>
    <w:rsid w:val="00C5777D"/>
    <w:rsid w:val="00C60D9F"/>
    <w:rsid w:val="00C610C2"/>
    <w:rsid w:val="00C63D40"/>
    <w:rsid w:val="00C64914"/>
    <w:rsid w:val="00C64D8F"/>
    <w:rsid w:val="00C64EF5"/>
    <w:rsid w:val="00C657E0"/>
    <w:rsid w:val="00C67462"/>
    <w:rsid w:val="00C70807"/>
    <w:rsid w:val="00C71080"/>
    <w:rsid w:val="00C74E9D"/>
    <w:rsid w:val="00C74F4A"/>
    <w:rsid w:val="00C74FEC"/>
    <w:rsid w:val="00C762A5"/>
    <w:rsid w:val="00C823BE"/>
    <w:rsid w:val="00C8255E"/>
    <w:rsid w:val="00C83AB8"/>
    <w:rsid w:val="00C8507B"/>
    <w:rsid w:val="00C87327"/>
    <w:rsid w:val="00C907A7"/>
    <w:rsid w:val="00C913AA"/>
    <w:rsid w:val="00C937FF"/>
    <w:rsid w:val="00C94405"/>
    <w:rsid w:val="00C94E2E"/>
    <w:rsid w:val="00C96B1A"/>
    <w:rsid w:val="00CA00EB"/>
    <w:rsid w:val="00CA2224"/>
    <w:rsid w:val="00CA3122"/>
    <w:rsid w:val="00CB319E"/>
    <w:rsid w:val="00CB5121"/>
    <w:rsid w:val="00CC227E"/>
    <w:rsid w:val="00CC2D25"/>
    <w:rsid w:val="00CC3AC5"/>
    <w:rsid w:val="00CC413E"/>
    <w:rsid w:val="00CC4EA5"/>
    <w:rsid w:val="00CC5434"/>
    <w:rsid w:val="00CC5E05"/>
    <w:rsid w:val="00CC6592"/>
    <w:rsid w:val="00CD166C"/>
    <w:rsid w:val="00CD1D99"/>
    <w:rsid w:val="00CD2773"/>
    <w:rsid w:val="00CD495B"/>
    <w:rsid w:val="00CD4F2F"/>
    <w:rsid w:val="00CD51AA"/>
    <w:rsid w:val="00CD608A"/>
    <w:rsid w:val="00CD765B"/>
    <w:rsid w:val="00CE1777"/>
    <w:rsid w:val="00CE1811"/>
    <w:rsid w:val="00CE21B2"/>
    <w:rsid w:val="00CE24F0"/>
    <w:rsid w:val="00CE2FF9"/>
    <w:rsid w:val="00CE3691"/>
    <w:rsid w:val="00CE37E8"/>
    <w:rsid w:val="00CE3C1D"/>
    <w:rsid w:val="00CE4283"/>
    <w:rsid w:val="00CE5A16"/>
    <w:rsid w:val="00CE6F0D"/>
    <w:rsid w:val="00CF37EE"/>
    <w:rsid w:val="00CF382E"/>
    <w:rsid w:val="00CF3D2C"/>
    <w:rsid w:val="00CF66C8"/>
    <w:rsid w:val="00CF6ECF"/>
    <w:rsid w:val="00CF73B8"/>
    <w:rsid w:val="00CF770E"/>
    <w:rsid w:val="00D01248"/>
    <w:rsid w:val="00D01515"/>
    <w:rsid w:val="00D01DB6"/>
    <w:rsid w:val="00D02F7E"/>
    <w:rsid w:val="00D04419"/>
    <w:rsid w:val="00D04955"/>
    <w:rsid w:val="00D04E48"/>
    <w:rsid w:val="00D053BF"/>
    <w:rsid w:val="00D064AA"/>
    <w:rsid w:val="00D11D07"/>
    <w:rsid w:val="00D1240C"/>
    <w:rsid w:val="00D1363E"/>
    <w:rsid w:val="00D15259"/>
    <w:rsid w:val="00D1543B"/>
    <w:rsid w:val="00D159D6"/>
    <w:rsid w:val="00D1683E"/>
    <w:rsid w:val="00D168F4"/>
    <w:rsid w:val="00D20E21"/>
    <w:rsid w:val="00D22A75"/>
    <w:rsid w:val="00D23341"/>
    <w:rsid w:val="00D23DE1"/>
    <w:rsid w:val="00D257EB"/>
    <w:rsid w:val="00D27820"/>
    <w:rsid w:val="00D2782A"/>
    <w:rsid w:val="00D30BE7"/>
    <w:rsid w:val="00D31CED"/>
    <w:rsid w:val="00D3431E"/>
    <w:rsid w:val="00D35740"/>
    <w:rsid w:val="00D3690F"/>
    <w:rsid w:val="00D37644"/>
    <w:rsid w:val="00D40135"/>
    <w:rsid w:val="00D411FE"/>
    <w:rsid w:val="00D42B1F"/>
    <w:rsid w:val="00D4340E"/>
    <w:rsid w:val="00D43514"/>
    <w:rsid w:val="00D437C5"/>
    <w:rsid w:val="00D43A0D"/>
    <w:rsid w:val="00D44B89"/>
    <w:rsid w:val="00D44E72"/>
    <w:rsid w:val="00D44F2E"/>
    <w:rsid w:val="00D47D67"/>
    <w:rsid w:val="00D47F76"/>
    <w:rsid w:val="00D513DC"/>
    <w:rsid w:val="00D52886"/>
    <w:rsid w:val="00D533A4"/>
    <w:rsid w:val="00D546DF"/>
    <w:rsid w:val="00D55BAA"/>
    <w:rsid w:val="00D564B9"/>
    <w:rsid w:val="00D5764E"/>
    <w:rsid w:val="00D6010E"/>
    <w:rsid w:val="00D618C1"/>
    <w:rsid w:val="00D61EF1"/>
    <w:rsid w:val="00D6257C"/>
    <w:rsid w:val="00D6259D"/>
    <w:rsid w:val="00D62DF9"/>
    <w:rsid w:val="00D63F3B"/>
    <w:rsid w:val="00D64882"/>
    <w:rsid w:val="00D65C85"/>
    <w:rsid w:val="00D660E1"/>
    <w:rsid w:val="00D663E8"/>
    <w:rsid w:val="00D674D9"/>
    <w:rsid w:val="00D6757B"/>
    <w:rsid w:val="00D67989"/>
    <w:rsid w:val="00D70312"/>
    <w:rsid w:val="00D71247"/>
    <w:rsid w:val="00D71AA6"/>
    <w:rsid w:val="00D71E43"/>
    <w:rsid w:val="00D729C0"/>
    <w:rsid w:val="00D748AF"/>
    <w:rsid w:val="00D75918"/>
    <w:rsid w:val="00D759EB"/>
    <w:rsid w:val="00D76279"/>
    <w:rsid w:val="00D81510"/>
    <w:rsid w:val="00D82202"/>
    <w:rsid w:val="00D82558"/>
    <w:rsid w:val="00D83B8C"/>
    <w:rsid w:val="00D85434"/>
    <w:rsid w:val="00D8692A"/>
    <w:rsid w:val="00D90107"/>
    <w:rsid w:val="00D92F00"/>
    <w:rsid w:val="00D93327"/>
    <w:rsid w:val="00D9337D"/>
    <w:rsid w:val="00D93B5B"/>
    <w:rsid w:val="00D946AB"/>
    <w:rsid w:val="00D95951"/>
    <w:rsid w:val="00D95ECA"/>
    <w:rsid w:val="00D9750B"/>
    <w:rsid w:val="00DA1248"/>
    <w:rsid w:val="00DA29E5"/>
    <w:rsid w:val="00DA2ED7"/>
    <w:rsid w:val="00DA55C4"/>
    <w:rsid w:val="00DA64E4"/>
    <w:rsid w:val="00DA6AC1"/>
    <w:rsid w:val="00DA73E1"/>
    <w:rsid w:val="00DB1070"/>
    <w:rsid w:val="00DB10D1"/>
    <w:rsid w:val="00DB13BF"/>
    <w:rsid w:val="00DB49D0"/>
    <w:rsid w:val="00DB5265"/>
    <w:rsid w:val="00DB5924"/>
    <w:rsid w:val="00DC060C"/>
    <w:rsid w:val="00DC2360"/>
    <w:rsid w:val="00DC25A0"/>
    <w:rsid w:val="00DC2ABD"/>
    <w:rsid w:val="00DC5611"/>
    <w:rsid w:val="00DC6F3B"/>
    <w:rsid w:val="00DC70B2"/>
    <w:rsid w:val="00DC783F"/>
    <w:rsid w:val="00DC7A11"/>
    <w:rsid w:val="00DD1A03"/>
    <w:rsid w:val="00DD3ACA"/>
    <w:rsid w:val="00DD4FB2"/>
    <w:rsid w:val="00DD5E88"/>
    <w:rsid w:val="00DD5EE2"/>
    <w:rsid w:val="00DD7A0D"/>
    <w:rsid w:val="00DE08A4"/>
    <w:rsid w:val="00DE1D25"/>
    <w:rsid w:val="00DE26B6"/>
    <w:rsid w:val="00DE762B"/>
    <w:rsid w:val="00DF0086"/>
    <w:rsid w:val="00DF1268"/>
    <w:rsid w:val="00DF260C"/>
    <w:rsid w:val="00DF3BE5"/>
    <w:rsid w:val="00DF54DC"/>
    <w:rsid w:val="00DF66F1"/>
    <w:rsid w:val="00DF6B5B"/>
    <w:rsid w:val="00DF6B6F"/>
    <w:rsid w:val="00DF72B9"/>
    <w:rsid w:val="00E0171D"/>
    <w:rsid w:val="00E04E24"/>
    <w:rsid w:val="00E051AF"/>
    <w:rsid w:val="00E05809"/>
    <w:rsid w:val="00E06051"/>
    <w:rsid w:val="00E064A4"/>
    <w:rsid w:val="00E06F47"/>
    <w:rsid w:val="00E10E3E"/>
    <w:rsid w:val="00E11164"/>
    <w:rsid w:val="00E12855"/>
    <w:rsid w:val="00E1378A"/>
    <w:rsid w:val="00E13D3D"/>
    <w:rsid w:val="00E15138"/>
    <w:rsid w:val="00E15F4A"/>
    <w:rsid w:val="00E161B9"/>
    <w:rsid w:val="00E16DC9"/>
    <w:rsid w:val="00E217CF"/>
    <w:rsid w:val="00E22441"/>
    <w:rsid w:val="00E2368B"/>
    <w:rsid w:val="00E239D0"/>
    <w:rsid w:val="00E25002"/>
    <w:rsid w:val="00E25AA5"/>
    <w:rsid w:val="00E26FA9"/>
    <w:rsid w:val="00E27031"/>
    <w:rsid w:val="00E273DB"/>
    <w:rsid w:val="00E274E8"/>
    <w:rsid w:val="00E30319"/>
    <w:rsid w:val="00E310B9"/>
    <w:rsid w:val="00E31F73"/>
    <w:rsid w:val="00E34202"/>
    <w:rsid w:val="00E351CD"/>
    <w:rsid w:val="00E37ABF"/>
    <w:rsid w:val="00E40909"/>
    <w:rsid w:val="00E41396"/>
    <w:rsid w:val="00E43017"/>
    <w:rsid w:val="00E45999"/>
    <w:rsid w:val="00E50AA0"/>
    <w:rsid w:val="00E5251B"/>
    <w:rsid w:val="00E52E8A"/>
    <w:rsid w:val="00E544A2"/>
    <w:rsid w:val="00E54E4E"/>
    <w:rsid w:val="00E5773C"/>
    <w:rsid w:val="00E614C1"/>
    <w:rsid w:val="00E61FCF"/>
    <w:rsid w:val="00E6237E"/>
    <w:rsid w:val="00E638C2"/>
    <w:rsid w:val="00E63ECD"/>
    <w:rsid w:val="00E64F8A"/>
    <w:rsid w:val="00E6656A"/>
    <w:rsid w:val="00E66A0E"/>
    <w:rsid w:val="00E6779E"/>
    <w:rsid w:val="00E714AC"/>
    <w:rsid w:val="00E71FB3"/>
    <w:rsid w:val="00E7217F"/>
    <w:rsid w:val="00E73235"/>
    <w:rsid w:val="00E74B0D"/>
    <w:rsid w:val="00E754CD"/>
    <w:rsid w:val="00E75F65"/>
    <w:rsid w:val="00E76FCE"/>
    <w:rsid w:val="00E7700E"/>
    <w:rsid w:val="00E8149D"/>
    <w:rsid w:val="00E819BF"/>
    <w:rsid w:val="00E84628"/>
    <w:rsid w:val="00E8465A"/>
    <w:rsid w:val="00E87B5C"/>
    <w:rsid w:val="00E9069B"/>
    <w:rsid w:val="00E90908"/>
    <w:rsid w:val="00E90C61"/>
    <w:rsid w:val="00E941DE"/>
    <w:rsid w:val="00E94D87"/>
    <w:rsid w:val="00E96372"/>
    <w:rsid w:val="00E96C71"/>
    <w:rsid w:val="00E96EF2"/>
    <w:rsid w:val="00E97B3C"/>
    <w:rsid w:val="00EA0B1F"/>
    <w:rsid w:val="00EA23E8"/>
    <w:rsid w:val="00EA4567"/>
    <w:rsid w:val="00EA49CC"/>
    <w:rsid w:val="00EA5616"/>
    <w:rsid w:val="00EA72DD"/>
    <w:rsid w:val="00EB1BFF"/>
    <w:rsid w:val="00EB2052"/>
    <w:rsid w:val="00EB2660"/>
    <w:rsid w:val="00EB49E8"/>
    <w:rsid w:val="00EB5248"/>
    <w:rsid w:val="00EB5444"/>
    <w:rsid w:val="00EB674D"/>
    <w:rsid w:val="00EC03ED"/>
    <w:rsid w:val="00EC0F5C"/>
    <w:rsid w:val="00EC1566"/>
    <w:rsid w:val="00EC1937"/>
    <w:rsid w:val="00EC2C78"/>
    <w:rsid w:val="00EC340F"/>
    <w:rsid w:val="00EC3B87"/>
    <w:rsid w:val="00EC4FD3"/>
    <w:rsid w:val="00EC5028"/>
    <w:rsid w:val="00EC5AFB"/>
    <w:rsid w:val="00ED122F"/>
    <w:rsid w:val="00ED3227"/>
    <w:rsid w:val="00ED3961"/>
    <w:rsid w:val="00ED51BA"/>
    <w:rsid w:val="00ED6AA7"/>
    <w:rsid w:val="00ED7E7A"/>
    <w:rsid w:val="00EE016D"/>
    <w:rsid w:val="00EE1726"/>
    <w:rsid w:val="00EE258B"/>
    <w:rsid w:val="00EE4068"/>
    <w:rsid w:val="00EE4EE7"/>
    <w:rsid w:val="00EE555E"/>
    <w:rsid w:val="00EF2EDF"/>
    <w:rsid w:val="00EF674D"/>
    <w:rsid w:val="00EF6A8D"/>
    <w:rsid w:val="00F00BD5"/>
    <w:rsid w:val="00F00DC8"/>
    <w:rsid w:val="00F02F81"/>
    <w:rsid w:val="00F033C8"/>
    <w:rsid w:val="00F034C1"/>
    <w:rsid w:val="00F04988"/>
    <w:rsid w:val="00F05C04"/>
    <w:rsid w:val="00F07961"/>
    <w:rsid w:val="00F100AF"/>
    <w:rsid w:val="00F10337"/>
    <w:rsid w:val="00F14B75"/>
    <w:rsid w:val="00F15D01"/>
    <w:rsid w:val="00F16972"/>
    <w:rsid w:val="00F17558"/>
    <w:rsid w:val="00F17AB3"/>
    <w:rsid w:val="00F17CC2"/>
    <w:rsid w:val="00F208A6"/>
    <w:rsid w:val="00F21189"/>
    <w:rsid w:val="00F211DA"/>
    <w:rsid w:val="00F229A7"/>
    <w:rsid w:val="00F241AA"/>
    <w:rsid w:val="00F243DD"/>
    <w:rsid w:val="00F24B36"/>
    <w:rsid w:val="00F24E2A"/>
    <w:rsid w:val="00F2593F"/>
    <w:rsid w:val="00F26826"/>
    <w:rsid w:val="00F2701F"/>
    <w:rsid w:val="00F30541"/>
    <w:rsid w:val="00F31221"/>
    <w:rsid w:val="00F35545"/>
    <w:rsid w:val="00F3666C"/>
    <w:rsid w:val="00F36B8E"/>
    <w:rsid w:val="00F37825"/>
    <w:rsid w:val="00F43484"/>
    <w:rsid w:val="00F43B43"/>
    <w:rsid w:val="00F44521"/>
    <w:rsid w:val="00F45AE6"/>
    <w:rsid w:val="00F465F4"/>
    <w:rsid w:val="00F4689C"/>
    <w:rsid w:val="00F474A7"/>
    <w:rsid w:val="00F47A5A"/>
    <w:rsid w:val="00F50DE7"/>
    <w:rsid w:val="00F54570"/>
    <w:rsid w:val="00F54B5B"/>
    <w:rsid w:val="00F54BB1"/>
    <w:rsid w:val="00F600B4"/>
    <w:rsid w:val="00F61750"/>
    <w:rsid w:val="00F643A8"/>
    <w:rsid w:val="00F66F28"/>
    <w:rsid w:val="00F702C8"/>
    <w:rsid w:val="00F7106C"/>
    <w:rsid w:val="00F715C7"/>
    <w:rsid w:val="00F720F6"/>
    <w:rsid w:val="00F74BD5"/>
    <w:rsid w:val="00F754E4"/>
    <w:rsid w:val="00F77AFA"/>
    <w:rsid w:val="00F800BD"/>
    <w:rsid w:val="00F82C3D"/>
    <w:rsid w:val="00F8550B"/>
    <w:rsid w:val="00F857C4"/>
    <w:rsid w:val="00F85C71"/>
    <w:rsid w:val="00F85FED"/>
    <w:rsid w:val="00F87529"/>
    <w:rsid w:val="00F8792F"/>
    <w:rsid w:val="00F90993"/>
    <w:rsid w:val="00F922AD"/>
    <w:rsid w:val="00F925A9"/>
    <w:rsid w:val="00F92CCF"/>
    <w:rsid w:val="00F93D83"/>
    <w:rsid w:val="00F94059"/>
    <w:rsid w:val="00F942EB"/>
    <w:rsid w:val="00F94A44"/>
    <w:rsid w:val="00F9692A"/>
    <w:rsid w:val="00F97395"/>
    <w:rsid w:val="00FA015C"/>
    <w:rsid w:val="00FA0405"/>
    <w:rsid w:val="00FA2033"/>
    <w:rsid w:val="00FA2592"/>
    <w:rsid w:val="00FA3143"/>
    <w:rsid w:val="00FA3496"/>
    <w:rsid w:val="00FA4811"/>
    <w:rsid w:val="00FA7249"/>
    <w:rsid w:val="00FB3A94"/>
    <w:rsid w:val="00FC0898"/>
    <w:rsid w:val="00FC111C"/>
    <w:rsid w:val="00FC180B"/>
    <w:rsid w:val="00FC2FFC"/>
    <w:rsid w:val="00FC3A48"/>
    <w:rsid w:val="00FC510A"/>
    <w:rsid w:val="00FC72B2"/>
    <w:rsid w:val="00FD23BF"/>
    <w:rsid w:val="00FD35B4"/>
    <w:rsid w:val="00FD3819"/>
    <w:rsid w:val="00FD5ADD"/>
    <w:rsid w:val="00FE0145"/>
    <w:rsid w:val="00FE01CF"/>
    <w:rsid w:val="00FE0AF1"/>
    <w:rsid w:val="00FE12FA"/>
    <w:rsid w:val="00FE4FEC"/>
    <w:rsid w:val="00FE6840"/>
    <w:rsid w:val="00FF0022"/>
    <w:rsid w:val="00FF52D6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04D8718"/>
  <w15:chartTrackingRefBased/>
  <w15:docId w15:val="{0A8B1363-0F81-43C6-ACD4-D38DC204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DC7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12855"/>
    <w:pPr>
      <w:tabs>
        <w:tab w:val="left" w:pos="1056"/>
      </w:tabs>
      <w:spacing w:after="0"/>
      <w:outlineLvl w:val="0"/>
    </w:pPr>
    <w:rPr>
      <w:rFonts w:ascii="Bookman Old Style" w:hAnsi="Bookman Old Style"/>
      <w:b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00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600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908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A01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A01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A01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147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81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47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81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470"/>
    <w:rPr>
      <w:lang w:val="es-ES"/>
    </w:rPr>
  </w:style>
  <w:style w:type="table" w:styleId="Tablaconcuadrcula">
    <w:name w:val="Table Grid"/>
    <w:basedOn w:val="Tablanormal"/>
    <w:uiPriority w:val="39"/>
    <w:rsid w:val="004C5B85"/>
    <w:pPr>
      <w:spacing w:after="0" w:line="240" w:lineRule="auto"/>
      <w:jc w:val="center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12855"/>
    <w:rPr>
      <w:rFonts w:ascii="Bookman Old Style" w:hAnsi="Bookman Old Style"/>
      <w:b/>
      <w:sz w:val="28"/>
      <w:lang w:val="es-ES"/>
    </w:rPr>
  </w:style>
  <w:style w:type="paragraph" w:styleId="Prrafodelista">
    <w:name w:val="List Paragraph"/>
    <w:aliases w:val="Informe"/>
    <w:basedOn w:val="Normal"/>
    <w:link w:val="PrrafodelistaCar"/>
    <w:uiPriority w:val="34"/>
    <w:qFormat/>
    <w:rsid w:val="009D2E33"/>
    <w:pPr>
      <w:ind w:left="720"/>
      <w:contextualSpacing/>
    </w:pPr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95B"/>
    <w:rPr>
      <w:rFonts w:ascii="Segoe UI" w:hAnsi="Segoe UI" w:cs="Segoe UI"/>
      <w:sz w:val="18"/>
      <w:szCs w:val="18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800BD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600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F600B4"/>
    <w:pPr>
      <w:spacing w:line="240" w:lineRule="auto"/>
    </w:pPr>
    <w:rPr>
      <w:rFonts w:ascii="Arial" w:eastAsiaTheme="minorEastAsia" w:hAnsi="Arial"/>
      <w:b/>
      <w:bCs/>
      <w:smallCaps/>
      <w:color w:val="595959" w:themeColor="text1" w:themeTint="A6"/>
      <w:sz w:val="24"/>
      <w:szCs w:val="21"/>
      <w:lang w:val="es-CR"/>
    </w:rPr>
  </w:style>
  <w:style w:type="paragraph" w:styleId="Sinespaciado">
    <w:name w:val="No Spacing"/>
    <w:uiPriority w:val="1"/>
    <w:qFormat/>
    <w:rsid w:val="00F600B4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PrrafodelistaCar">
    <w:name w:val="Párrafo de lista Car"/>
    <w:aliases w:val="Informe Car"/>
    <w:link w:val="Prrafodelista"/>
    <w:rsid w:val="009D2E33"/>
    <w:rPr>
      <w:rFonts w:ascii="Arial" w:hAnsi="Arial"/>
      <w:sz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F600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D2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467734"/>
    <w:pPr>
      <w:tabs>
        <w:tab w:val="right" w:pos="10054"/>
      </w:tabs>
      <w:spacing w:before="100" w:beforeAutospacing="1" w:after="100" w:afterAutospacing="1"/>
    </w:pPr>
    <w:rPr>
      <w:rFonts w:asciiTheme="majorHAnsi" w:hAnsiTheme="majorHAnsi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D6259D"/>
    <w:pPr>
      <w:spacing w:before="240" w:after="0"/>
    </w:pPr>
    <w:rPr>
      <w:rFonts w:cs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D6259D"/>
    <w:pPr>
      <w:spacing w:after="0"/>
      <w:ind w:left="220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D6259D"/>
    <w:pPr>
      <w:spacing w:after="0"/>
      <w:ind w:left="440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D6259D"/>
    <w:pPr>
      <w:spacing w:after="0"/>
      <w:ind w:left="660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D6259D"/>
    <w:pPr>
      <w:spacing w:after="0"/>
      <w:ind w:left="880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D6259D"/>
    <w:pPr>
      <w:spacing w:after="0"/>
      <w:ind w:left="1100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D6259D"/>
    <w:pPr>
      <w:spacing w:after="0"/>
      <w:ind w:left="132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D6259D"/>
    <w:pPr>
      <w:spacing w:after="0"/>
      <w:ind w:left="1540"/>
    </w:pPr>
    <w:rPr>
      <w:rFonts w:cstheme="minorHAnsi"/>
      <w:sz w:val="20"/>
      <w:szCs w:val="20"/>
    </w:rPr>
  </w:style>
  <w:style w:type="paragraph" w:styleId="Revisin">
    <w:name w:val="Revision"/>
    <w:hidden/>
    <w:uiPriority w:val="99"/>
    <w:semiHidden/>
    <w:rsid w:val="00D95951"/>
    <w:pPr>
      <w:spacing w:after="0" w:line="240" w:lineRule="auto"/>
    </w:pPr>
    <w:rPr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790860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9086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90860"/>
    <w:rPr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90860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90860"/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05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05B1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B05B1"/>
    <w:rPr>
      <w:vertAlign w:val="superscript"/>
    </w:rPr>
  </w:style>
  <w:style w:type="paragraph" w:customStyle="1" w:styleId="paragraph">
    <w:name w:val="paragraph"/>
    <w:basedOn w:val="Normal"/>
    <w:rsid w:val="007C1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customStyle="1" w:styleId="normaltextrun1">
    <w:name w:val="normaltextrun1"/>
    <w:basedOn w:val="Fuentedeprrafopredeter"/>
    <w:rsid w:val="007C1F39"/>
  </w:style>
  <w:style w:type="character" w:customStyle="1" w:styleId="eop">
    <w:name w:val="eop"/>
    <w:basedOn w:val="Fuentedeprrafopredeter"/>
    <w:rsid w:val="007C1F39"/>
  </w:style>
  <w:style w:type="character" w:styleId="Refdecomentario">
    <w:name w:val="annotation reference"/>
    <w:basedOn w:val="Fuentedeprrafopredeter"/>
    <w:uiPriority w:val="99"/>
    <w:semiHidden/>
    <w:unhideWhenUsed/>
    <w:rsid w:val="000C00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00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00B4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00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00B4"/>
    <w:rPr>
      <w:b/>
      <w:bCs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C00B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C00B4"/>
    <w:rPr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C00B4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0C466A"/>
    <w:pPr>
      <w:keepNext/>
      <w:keepLines/>
      <w:tabs>
        <w:tab w:val="clear" w:pos="1056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s-CR" w:eastAsia="es-CR"/>
    </w:rPr>
  </w:style>
  <w:style w:type="paragraph" w:customStyle="1" w:styleId="Default">
    <w:name w:val="Default"/>
    <w:rsid w:val="00D1543B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val="es-ES"/>
    </w:rPr>
  </w:style>
  <w:style w:type="character" w:customStyle="1" w:styleId="spellingerror">
    <w:name w:val="spellingerror"/>
    <w:basedOn w:val="Fuentedeprrafopredeter"/>
    <w:rsid w:val="00AC4B98"/>
  </w:style>
  <w:style w:type="character" w:customStyle="1" w:styleId="Ttulo5Car">
    <w:name w:val="Título 5 Car"/>
    <w:basedOn w:val="Fuentedeprrafopredeter"/>
    <w:link w:val="Ttulo5"/>
    <w:uiPriority w:val="9"/>
    <w:rsid w:val="00FA015C"/>
    <w:rPr>
      <w:rFonts w:asciiTheme="majorHAnsi" w:eastAsiaTheme="majorEastAsia" w:hAnsiTheme="majorHAnsi" w:cstheme="majorBidi"/>
      <w:color w:val="365F91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FA015C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FA015C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2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7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76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80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74243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93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24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82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30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737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33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7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5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pen.fi.cr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supen.fi.cr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hart" Target="charts/chart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pen@supen.fi.cr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varadomr\Desktop\Activos%20por%20pila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'Pilar activos'!$K$19</c:f>
              <c:strCache>
                <c:ptCount val="1"/>
                <c:pt idx="0">
                  <c:v>II Pilar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635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cat>
            <c:strRef>
              <c:f>'Pilar activos'!$J$20:$J$26</c:f>
              <c:strCache>
                <c:ptCount val="7"/>
                <c:pt idx="0">
                  <c:v>CCSS-OPC</c:v>
                </c:pt>
                <c:pt idx="1">
                  <c:v>Vida Plena OPC</c:v>
                </c:pt>
                <c:pt idx="2">
                  <c:v>BAC SJ-Pensiones</c:v>
                </c:pt>
                <c:pt idx="3">
                  <c:v>Ocupacionales</c:v>
                </c:pt>
                <c:pt idx="4">
                  <c:v>BCR-Pensión</c:v>
                </c:pt>
                <c:pt idx="5">
                  <c:v>BN-Vital</c:v>
                </c:pt>
                <c:pt idx="6">
                  <c:v>Popular Pensiones</c:v>
                </c:pt>
              </c:strCache>
            </c:strRef>
          </c:cat>
          <c:val>
            <c:numRef>
              <c:f>'Pilar activos'!$K$20:$K$26</c:f>
              <c:numCache>
                <c:formatCode>#,##0</c:formatCode>
                <c:ptCount val="7"/>
                <c:pt idx="0">
                  <c:v>180552.36650120001</c:v>
                </c:pt>
                <c:pt idx="1">
                  <c:v>627076.25210163998</c:v>
                </c:pt>
                <c:pt idx="2">
                  <c:v>660200.10780035995</c:v>
                </c:pt>
                <c:pt idx="3">
                  <c:v>716644.12243126007</c:v>
                </c:pt>
                <c:pt idx="4">
                  <c:v>883811.60053891002</c:v>
                </c:pt>
                <c:pt idx="5">
                  <c:v>1121852.16671892</c:v>
                </c:pt>
                <c:pt idx="6">
                  <c:v>2003780.3091090198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6B-4456-B5AD-39FD4A26B9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84363264"/>
        <c:axId val="484360640"/>
      </c:barChart>
      <c:valAx>
        <c:axId val="484360640"/>
        <c:scaling>
          <c:orientation val="minMax"/>
        </c:scaling>
        <c:delete val="0"/>
        <c:axPos val="b"/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R"/>
          </a:p>
        </c:txPr>
        <c:crossAx val="484363264"/>
        <c:crosses val="autoZero"/>
        <c:crossBetween val="between"/>
      </c:valAx>
      <c:catAx>
        <c:axId val="4843632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05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R"/>
          </a:p>
        </c:txPr>
        <c:crossAx val="4843606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es-ES" sz="1000" b="0" i="0" u="none" strike="noStrike" kern="1200" baseline="0">
          <a:solidFill>
            <a:schemeClr val="tx1"/>
          </a:solidFill>
          <a:latin typeface="+mn-lt"/>
          <a:ea typeface="+mn-ea"/>
          <a:cs typeface="+mn-cs"/>
        </a:defRPr>
      </a:pPr>
      <a:endParaRPr lang="es-C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B0DC814BF8D4DA8F53531F2584D5A" ma:contentTypeVersion="13" ma:contentTypeDescription="Crear nuevo documento." ma:contentTypeScope="" ma:versionID="8b7fbfba6254dd7e72d5f9e2e0cdecee">
  <xsd:schema xmlns:xsd="http://www.w3.org/2001/XMLSchema" xmlns:xs="http://www.w3.org/2001/XMLSchema" xmlns:p="http://schemas.microsoft.com/office/2006/metadata/properties" xmlns:ns2="abcd77d0-6cc8-47bc-9c9c-502c201b5bcf" xmlns:ns3="0f01b33b-af6d-466e-808f-b63681c2fce0" xmlns:ns4="b0165f23-38c6-4bfa-a027-891af1b4e757" targetNamespace="http://schemas.microsoft.com/office/2006/metadata/properties" ma:root="true" ma:fieldsID="bd60377f3e57e509ff63c71f344ba5dc" ns2:_="" ns3:_="" ns4:_="">
    <xsd:import namespace="abcd77d0-6cc8-47bc-9c9c-502c201b5bcf"/>
    <xsd:import namespace="0f01b33b-af6d-466e-808f-b63681c2fce0"/>
    <xsd:import namespace="b0165f23-38c6-4bfa-a027-891af1b4e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d77d0-6cc8-47bc-9c9c-502c201b5b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b33b-af6d-466e-808f-b63681c2fce0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65f23-38c6-4bfa-a027-891af1b4e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D2BEB-3750-4985-8CEC-93B53988B290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b0165f23-38c6-4bfa-a027-891af1b4e757"/>
    <ds:schemaRef ds:uri="0f01b33b-af6d-466e-808f-b63681c2fce0"/>
    <ds:schemaRef ds:uri="abcd77d0-6cc8-47bc-9c9c-502c201b5bcf"/>
  </ds:schemaRefs>
</ds:datastoreItem>
</file>

<file path=customXml/itemProps2.xml><?xml version="1.0" encoding="utf-8"?>
<ds:datastoreItem xmlns:ds="http://schemas.openxmlformats.org/officeDocument/2006/customXml" ds:itemID="{8BC2A47B-C400-4049-BE81-47E59BF91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d77d0-6cc8-47bc-9c9c-502c201b5bcf"/>
    <ds:schemaRef ds:uri="0f01b33b-af6d-466e-808f-b63681c2fce0"/>
    <ds:schemaRef ds:uri="b0165f23-38c6-4bfa-a027-891af1b4e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171E57-EA24-4666-8C06-DFF8E35509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2870DD-AFD4-4043-BA1A-902FB5F9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2054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Trimestre 2018 InformeCONASSIF.docx</vt:lpstr>
    </vt:vector>
  </TitlesOfParts>
  <Company/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Trimestre 2018 InformeCONASSIF.docx</dc:title>
  <dc:subject/>
  <dc:creator>Rudy Corrales Vega</dc:creator>
  <cp:keywords/>
  <dc:description/>
  <cp:lastModifiedBy>ROJAS FAJARDO PORFIRIO</cp:lastModifiedBy>
  <cp:revision>2</cp:revision>
  <dcterms:created xsi:type="dcterms:W3CDTF">2018-10-09T15:34:00Z</dcterms:created>
  <dcterms:modified xsi:type="dcterms:W3CDTF">2018-10-09T15:34:00Z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0x01010042AB0DC814BF8D4DA8F53531F2584D5A</vt:lpwstr>
  </property>
</Properties>
</file>