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0036" w14:textId="77777777" w:rsidR="00081470" w:rsidRPr="002B039B" w:rsidRDefault="00081470" w:rsidP="0040090D">
      <w:pPr>
        <w:spacing w:after="0" w:line="21" w:lineRule="atLeast"/>
        <w:jc w:val="both"/>
        <w:rPr>
          <w:rFonts w:ascii="Times New Roman" w:hAnsi="Times New Roman" w:cs="Times New Roman"/>
          <w:sz w:val="24"/>
          <w:szCs w:val="24"/>
        </w:rPr>
      </w:pPr>
      <w:r w:rsidRPr="002B039B">
        <w:rPr>
          <w:rFonts w:ascii="Times New Roman" w:hAnsi="Times New Roman" w:cs="Times New Roman"/>
          <w:noProof/>
          <w:sz w:val="24"/>
          <w:szCs w:val="24"/>
          <w:lang w:val="es-CR" w:eastAsia="es-CR"/>
        </w:rPr>
        <w:drawing>
          <wp:anchor distT="0" distB="0" distL="114300" distR="114300" simplePos="0" relativeHeight="251658241" behindDoc="0" locked="0" layoutInCell="1" allowOverlap="1" wp14:anchorId="7D1C7510" wp14:editId="47C3EF7B">
            <wp:simplePos x="1076325" y="895350"/>
            <wp:positionH relativeFrom="margin">
              <wp:align>left</wp:align>
            </wp:positionH>
            <wp:positionV relativeFrom="margin">
              <wp:align>center</wp:align>
            </wp:positionV>
            <wp:extent cx="1910392" cy="738963"/>
            <wp:effectExtent l="0" t="0" r="0" b="4445"/>
            <wp:wrapSquare wrapText="bothSides"/>
            <wp:docPr id="8" name="Imagen 8" descr="Logos_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Logos_Transparentes-01.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0392" cy="738963"/>
                    </a:xfrm>
                    <a:prstGeom prst="rect">
                      <a:avLst/>
                    </a:prstGeom>
                  </pic:spPr>
                </pic:pic>
              </a:graphicData>
            </a:graphic>
          </wp:anchor>
        </w:drawing>
      </w:r>
      <w:r w:rsidRPr="002B039B">
        <w:rPr>
          <w:rFonts w:ascii="Times New Roman" w:hAnsi="Times New Roman" w:cs="Times New Roman"/>
          <w:noProof/>
          <w:sz w:val="24"/>
          <w:szCs w:val="24"/>
          <w:lang w:val="es-CR" w:eastAsia="es-CR"/>
        </w:rPr>
        <mc:AlternateContent>
          <mc:Choice Requires="wps">
            <w:drawing>
              <wp:anchor distT="0" distB="0" distL="457200" distR="118745" simplePos="0" relativeHeight="251658240" behindDoc="0" locked="0" layoutInCell="0" allowOverlap="1" wp14:anchorId="42C72783" wp14:editId="6D43A0A8">
                <wp:simplePos x="0" y="0"/>
                <wp:positionH relativeFrom="margin">
                  <wp:posOffset>2491740</wp:posOffset>
                </wp:positionH>
                <wp:positionV relativeFrom="paragraph">
                  <wp:posOffset>-23495</wp:posOffset>
                </wp:positionV>
                <wp:extent cx="3743325" cy="827786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827786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0084AFEC" w14:textId="77777777" w:rsidR="004D4753" w:rsidRPr="00C26828" w:rsidRDefault="004D4753" w:rsidP="00081470">
                            <w:pPr>
                              <w:pBdr>
                                <w:left w:val="single" w:sz="4" w:space="9" w:color="4F81BD" w:themeColor="accent1"/>
                              </w:pBdr>
                              <w:rPr>
                                <w:rFonts w:asciiTheme="majorHAnsi" w:eastAsiaTheme="majorEastAsia" w:hAnsiTheme="majorHAnsi" w:cstheme="majorBidi"/>
                                <w:sz w:val="40"/>
                                <w:szCs w:val="40"/>
                              </w:rPr>
                            </w:pPr>
                          </w:p>
                          <w:p w14:paraId="7D5D9E23" w14:textId="77777777" w:rsidR="004D4753" w:rsidRPr="00C26828" w:rsidRDefault="004D4753" w:rsidP="00081470">
                            <w:pPr>
                              <w:pBdr>
                                <w:left w:val="single" w:sz="4" w:space="9" w:color="4F81BD" w:themeColor="accent1"/>
                              </w:pBdr>
                              <w:rPr>
                                <w:rFonts w:asciiTheme="majorHAnsi" w:eastAsiaTheme="majorEastAsia" w:hAnsiTheme="majorHAnsi" w:cstheme="majorBidi"/>
                                <w:sz w:val="40"/>
                                <w:szCs w:val="40"/>
                              </w:rPr>
                            </w:pPr>
                          </w:p>
                          <w:p w14:paraId="0B88A7C5" w14:textId="77777777" w:rsidR="004D4753" w:rsidRPr="00C26828" w:rsidRDefault="004D4753" w:rsidP="00081470">
                            <w:pPr>
                              <w:pBdr>
                                <w:left w:val="single" w:sz="4" w:space="9" w:color="4F81BD" w:themeColor="accent1"/>
                              </w:pBdr>
                              <w:rPr>
                                <w:rFonts w:asciiTheme="majorHAnsi" w:eastAsiaTheme="majorEastAsia" w:hAnsiTheme="majorHAnsi" w:cstheme="majorBidi"/>
                                <w:sz w:val="40"/>
                                <w:szCs w:val="40"/>
                              </w:rPr>
                            </w:pPr>
                          </w:p>
                          <w:p w14:paraId="1498E3BF" w14:textId="77777777" w:rsidR="004D4753" w:rsidRPr="00C26828" w:rsidRDefault="004D4753" w:rsidP="00081470">
                            <w:pPr>
                              <w:pBdr>
                                <w:left w:val="single" w:sz="4" w:space="9" w:color="4F81BD" w:themeColor="accent1"/>
                              </w:pBdr>
                              <w:rPr>
                                <w:rFonts w:asciiTheme="majorHAnsi" w:eastAsiaTheme="majorEastAsia" w:hAnsiTheme="majorHAnsi" w:cstheme="majorBidi"/>
                                <w:sz w:val="40"/>
                                <w:szCs w:val="40"/>
                              </w:rPr>
                            </w:pPr>
                          </w:p>
                          <w:p w14:paraId="045710F4" w14:textId="62E7D905" w:rsidR="004D4753" w:rsidRPr="00387393" w:rsidRDefault="004D4753" w:rsidP="00081470">
                            <w:pPr>
                              <w:pBdr>
                                <w:left w:val="single" w:sz="4" w:space="9" w:color="4F81BD" w:themeColor="accent1"/>
                              </w:pBdr>
                              <w:jc w:val="center"/>
                              <w:rPr>
                                <w:rFonts w:asciiTheme="majorHAnsi" w:eastAsiaTheme="majorEastAsia" w:hAnsiTheme="majorHAnsi" w:cstheme="majorBidi"/>
                                <w:b/>
                                <w:sz w:val="44"/>
                                <w:szCs w:val="40"/>
                              </w:rPr>
                            </w:pPr>
                            <w:r w:rsidRPr="00387393">
                              <w:rPr>
                                <w:rFonts w:asciiTheme="majorHAnsi" w:eastAsiaTheme="majorEastAsia" w:hAnsiTheme="majorHAnsi" w:cstheme="majorBidi"/>
                                <w:b/>
                                <w:sz w:val="44"/>
                                <w:szCs w:val="40"/>
                              </w:rPr>
                              <w:t xml:space="preserve">EXTRACTO DEL INFORME COYUNTURA Y </w:t>
                            </w:r>
                          </w:p>
                          <w:p w14:paraId="1B320702" w14:textId="77777777" w:rsidR="004D4753" w:rsidRPr="00387393" w:rsidRDefault="004D4753" w:rsidP="00081470">
                            <w:pPr>
                              <w:pBdr>
                                <w:left w:val="single" w:sz="4" w:space="9" w:color="4F81BD" w:themeColor="accent1"/>
                              </w:pBdr>
                              <w:jc w:val="center"/>
                              <w:rPr>
                                <w:rFonts w:asciiTheme="majorHAnsi" w:eastAsiaTheme="majorEastAsia" w:hAnsiTheme="majorHAnsi" w:cstheme="majorBidi"/>
                                <w:b/>
                                <w:sz w:val="44"/>
                                <w:szCs w:val="40"/>
                              </w:rPr>
                            </w:pPr>
                            <w:r w:rsidRPr="00387393">
                              <w:rPr>
                                <w:rFonts w:asciiTheme="majorHAnsi" w:eastAsiaTheme="majorEastAsia" w:hAnsiTheme="majorHAnsi" w:cstheme="majorBidi"/>
                                <w:b/>
                                <w:sz w:val="44"/>
                                <w:szCs w:val="40"/>
                              </w:rPr>
                              <w:t xml:space="preserve">SUPERVISIÓN DEL </w:t>
                            </w:r>
                          </w:p>
                          <w:p w14:paraId="69438B33" w14:textId="77777777" w:rsidR="004D4753" w:rsidRPr="00387393" w:rsidRDefault="004D4753" w:rsidP="00081470">
                            <w:pPr>
                              <w:pBdr>
                                <w:left w:val="single" w:sz="4" w:space="9" w:color="4F81BD" w:themeColor="accent1"/>
                              </w:pBdr>
                              <w:jc w:val="center"/>
                              <w:rPr>
                                <w:rFonts w:asciiTheme="majorHAnsi" w:eastAsiaTheme="majorEastAsia" w:hAnsiTheme="majorHAnsi" w:cstheme="majorBidi"/>
                                <w:b/>
                                <w:sz w:val="44"/>
                                <w:szCs w:val="40"/>
                              </w:rPr>
                            </w:pPr>
                            <w:r w:rsidRPr="00387393">
                              <w:rPr>
                                <w:rFonts w:asciiTheme="majorHAnsi" w:eastAsiaTheme="majorEastAsia" w:hAnsiTheme="majorHAnsi" w:cstheme="majorBidi"/>
                                <w:b/>
                                <w:sz w:val="44"/>
                                <w:szCs w:val="40"/>
                              </w:rPr>
                              <w:t>SECTOR PENSIONES</w:t>
                            </w:r>
                          </w:p>
                          <w:p w14:paraId="5F401B90" w14:textId="77777777" w:rsidR="004D4753" w:rsidRPr="00C26828" w:rsidRDefault="004D4753" w:rsidP="00081470">
                            <w:pPr>
                              <w:pBdr>
                                <w:left w:val="single" w:sz="4" w:space="9" w:color="4F81BD" w:themeColor="accent1"/>
                              </w:pBdr>
                              <w:jc w:val="right"/>
                              <w:rPr>
                                <w:rFonts w:asciiTheme="majorHAnsi" w:eastAsiaTheme="majorEastAsia" w:hAnsiTheme="majorHAnsi" w:cstheme="majorBidi"/>
                                <w:sz w:val="32"/>
                                <w:szCs w:val="40"/>
                              </w:rPr>
                            </w:pPr>
                          </w:p>
                          <w:p w14:paraId="396E3CB4" w14:textId="77777777" w:rsidR="004D4753" w:rsidRPr="00C26828" w:rsidRDefault="004D4753" w:rsidP="00081470">
                            <w:pPr>
                              <w:pBdr>
                                <w:left w:val="single" w:sz="4" w:space="9" w:color="4F81BD" w:themeColor="accent1"/>
                              </w:pBdr>
                              <w:jc w:val="right"/>
                              <w:rPr>
                                <w:rFonts w:asciiTheme="majorHAnsi" w:eastAsiaTheme="majorEastAsia" w:hAnsiTheme="majorHAnsi" w:cstheme="majorBidi"/>
                                <w:sz w:val="32"/>
                                <w:szCs w:val="40"/>
                              </w:rPr>
                            </w:pPr>
                          </w:p>
                          <w:p w14:paraId="551B939D" w14:textId="77777777" w:rsidR="004D4753" w:rsidRPr="00C26828" w:rsidRDefault="004D4753" w:rsidP="00081470">
                            <w:pPr>
                              <w:pBdr>
                                <w:left w:val="single" w:sz="4" w:space="9" w:color="4F81BD" w:themeColor="accent1"/>
                              </w:pBdr>
                              <w:jc w:val="right"/>
                              <w:rPr>
                                <w:rFonts w:asciiTheme="majorHAnsi" w:eastAsiaTheme="majorEastAsia" w:hAnsiTheme="majorHAnsi" w:cstheme="majorBidi"/>
                                <w:sz w:val="32"/>
                                <w:szCs w:val="40"/>
                              </w:rPr>
                            </w:pPr>
                          </w:p>
                          <w:p w14:paraId="1DFAE027" w14:textId="77777777" w:rsidR="004D4753" w:rsidRPr="00C26828" w:rsidRDefault="004D4753" w:rsidP="00081470">
                            <w:pPr>
                              <w:pBdr>
                                <w:left w:val="single" w:sz="4" w:space="9" w:color="4F81BD" w:themeColor="accent1"/>
                              </w:pBdr>
                              <w:jc w:val="right"/>
                              <w:rPr>
                                <w:rFonts w:asciiTheme="majorHAnsi" w:eastAsiaTheme="majorEastAsia" w:hAnsiTheme="majorHAnsi" w:cstheme="majorBidi"/>
                                <w:sz w:val="32"/>
                                <w:szCs w:val="40"/>
                              </w:rPr>
                            </w:pPr>
                          </w:p>
                          <w:p w14:paraId="3C760425" w14:textId="77777777" w:rsidR="004D4753" w:rsidRPr="00C26828" w:rsidRDefault="004D4753" w:rsidP="00081470">
                            <w:pPr>
                              <w:pBdr>
                                <w:left w:val="single" w:sz="4" w:space="9" w:color="4F81BD" w:themeColor="accent1"/>
                              </w:pBdr>
                              <w:jc w:val="center"/>
                              <w:rPr>
                                <w:rFonts w:asciiTheme="majorHAnsi" w:eastAsiaTheme="majorEastAsia" w:hAnsiTheme="majorHAnsi" w:cstheme="majorBidi"/>
                                <w:sz w:val="32"/>
                                <w:szCs w:val="40"/>
                              </w:rPr>
                            </w:pPr>
                            <w:r w:rsidRPr="00C26828">
                              <w:rPr>
                                <w:rFonts w:asciiTheme="majorHAnsi" w:eastAsiaTheme="majorEastAsia" w:hAnsiTheme="majorHAnsi" w:cstheme="majorBidi"/>
                                <w:sz w:val="32"/>
                                <w:szCs w:val="40"/>
                              </w:rPr>
                              <w:t xml:space="preserve">Evolución de los sistemas de pensiones y situación de los entes supervisados </w:t>
                            </w:r>
                          </w:p>
                          <w:p w14:paraId="1689E054" w14:textId="787FA79A" w:rsidR="004D4753" w:rsidRPr="00C26828" w:rsidRDefault="004D4753" w:rsidP="00081470">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Cuarto</w:t>
                            </w:r>
                            <w:r w:rsidRPr="00C26828">
                              <w:rPr>
                                <w:rFonts w:asciiTheme="majorHAnsi" w:eastAsiaTheme="majorEastAsia" w:hAnsiTheme="majorHAnsi" w:cstheme="majorBidi"/>
                                <w:sz w:val="32"/>
                                <w:szCs w:val="40"/>
                              </w:rPr>
                              <w:t xml:space="preserve"> Trimestre</w:t>
                            </w:r>
                          </w:p>
                          <w:p w14:paraId="426FA4AC" w14:textId="5C3F8FF7" w:rsidR="004D4753" w:rsidRPr="00C26828" w:rsidRDefault="004D4753" w:rsidP="006D24E2">
                            <w:pPr>
                              <w:pBdr>
                                <w:left w:val="single" w:sz="4" w:space="9" w:color="4F81BD" w:themeColor="accent1"/>
                              </w:pBdr>
                              <w:jc w:val="center"/>
                            </w:pPr>
                            <w:r w:rsidRPr="00C26828">
                              <w:rPr>
                                <w:rFonts w:asciiTheme="majorHAnsi" w:eastAsiaTheme="majorEastAsia" w:hAnsiTheme="majorHAnsi" w:cstheme="majorBidi"/>
                                <w:sz w:val="32"/>
                                <w:szCs w:val="40"/>
                              </w:rPr>
                              <w:t>2017</w:t>
                            </w:r>
                          </w:p>
                          <w:p w14:paraId="500D3020" w14:textId="77777777" w:rsidR="004D4753" w:rsidRPr="00C26828" w:rsidRDefault="004D475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24FC2D12" w14:textId="77777777" w:rsidR="004D4753" w:rsidRPr="00C26828" w:rsidRDefault="004D475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7959BF29" w14:textId="77777777" w:rsidR="004D4753" w:rsidRPr="00C26828" w:rsidRDefault="004D475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03078DDF" w14:textId="77777777" w:rsidR="004D4753" w:rsidRPr="00C26828" w:rsidRDefault="004D475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53DA4ECB" w14:textId="77777777" w:rsidR="004D4753" w:rsidRPr="00C26828" w:rsidRDefault="004D4753"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C26828">
                              <w:rPr>
                                <w:rFonts w:asciiTheme="majorHAnsi" w:eastAsiaTheme="majorEastAsia" w:hAnsiTheme="majorHAnsi" w:cstheme="majorBidi"/>
                                <w:szCs w:val="40"/>
                              </w:rPr>
                              <w:t>Superintendencia de Pensiones</w:t>
                            </w:r>
                          </w:p>
                          <w:p w14:paraId="790DB715" w14:textId="77777777" w:rsidR="004D4753" w:rsidRPr="00C26828" w:rsidRDefault="004D4753"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C26828">
                              <w:rPr>
                                <w:rFonts w:asciiTheme="majorHAnsi" w:eastAsiaTheme="majorEastAsia" w:hAnsiTheme="majorHAnsi" w:cstheme="majorBidi"/>
                                <w:szCs w:val="40"/>
                              </w:rPr>
                              <w:t>San José, Costa Rica</w:t>
                            </w:r>
                          </w:p>
                          <w:p w14:paraId="1E35A2B5" w14:textId="77777777" w:rsidR="004D4753" w:rsidRPr="00C26828" w:rsidRDefault="00742B4D" w:rsidP="00081470">
                            <w:pPr>
                              <w:pBdr>
                                <w:left w:val="single" w:sz="4" w:space="9" w:color="4F81BD" w:themeColor="accent1"/>
                              </w:pBdr>
                              <w:spacing w:after="0" w:line="240" w:lineRule="auto"/>
                              <w:jc w:val="center"/>
                              <w:rPr>
                                <w:rFonts w:asciiTheme="majorHAnsi" w:eastAsiaTheme="majorEastAsia" w:hAnsiTheme="majorHAnsi" w:cstheme="majorBidi"/>
                                <w:szCs w:val="40"/>
                              </w:rPr>
                            </w:pPr>
                            <w:hyperlink r:id="rId12" w:history="1">
                              <w:r w:rsidR="004D4753" w:rsidRPr="00C26828">
                                <w:rPr>
                                  <w:rStyle w:val="Hipervnculo"/>
                                  <w:rFonts w:asciiTheme="majorHAnsi" w:eastAsiaTheme="majorEastAsia" w:hAnsiTheme="majorHAnsi" w:cstheme="majorBidi"/>
                                  <w:color w:val="auto"/>
                                  <w:szCs w:val="40"/>
                                </w:rPr>
                                <w:t>http://www.supen.fi.cr</w:t>
                              </w:r>
                            </w:hyperlink>
                            <w:r w:rsidR="004D4753" w:rsidRPr="00C26828">
                              <w:rPr>
                                <w:rFonts w:asciiTheme="majorHAnsi" w:eastAsiaTheme="majorEastAsia" w:hAnsiTheme="majorHAnsi" w:cstheme="majorBidi"/>
                                <w:szCs w:val="40"/>
                              </w:rPr>
                              <w:t xml:space="preserve"> </w:t>
                            </w:r>
                          </w:p>
                          <w:p w14:paraId="0AAFB9D2" w14:textId="77777777" w:rsidR="004D4753" w:rsidRPr="00C26828" w:rsidRDefault="004D4753" w:rsidP="00081470">
                            <w:pPr>
                              <w:pBdr>
                                <w:left w:val="single" w:sz="4" w:space="9" w:color="4F81BD" w:themeColor="accent1"/>
                              </w:pBd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C72783" id="Autoforma 14" o:spid="_x0000_s1026" style="position:absolute;left:0;text-align:left;margin-left:196.2pt;margin-top:-1.85pt;width:294.75pt;height:651.8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" o:allowincell="f" filled="f" stroked="f" strokeweight="1.25pt">
                <v:textbox inset=",7.2pt,,7.2pt">
                  <w:txbxContent>
                    <w:p w14:paraId="0084AFEC" w14:textId="77777777" w:rsidR="004D4753" w:rsidRPr="00C26828" w:rsidRDefault="004D4753" w:rsidP="00081470">
                      <w:pPr>
                        <w:pBdr>
                          <w:left w:val="single" w:sz="4" w:space="9" w:color="4F81BD" w:themeColor="accent1"/>
                        </w:pBdr>
                        <w:rPr>
                          <w:rFonts w:asciiTheme="majorHAnsi" w:eastAsiaTheme="majorEastAsia" w:hAnsiTheme="majorHAnsi" w:cstheme="majorBidi"/>
                          <w:sz w:val="40"/>
                          <w:szCs w:val="40"/>
                        </w:rPr>
                      </w:pPr>
                    </w:p>
                    <w:p w14:paraId="7D5D9E23" w14:textId="77777777" w:rsidR="004D4753" w:rsidRPr="00C26828" w:rsidRDefault="004D4753" w:rsidP="00081470">
                      <w:pPr>
                        <w:pBdr>
                          <w:left w:val="single" w:sz="4" w:space="9" w:color="4F81BD" w:themeColor="accent1"/>
                        </w:pBdr>
                        <w:rPr>
                          <w:rFonts w:asciiTheme="majorHAnsi" w:eastAsiaTheme="majorEastAsia" w:hAnsiTheme="majorHAnsi" w:cstheme="majorBidi"/>
                          <w:sz w:val="40"/>
                          <w:szCs w:val="40"/>
                        </w:rPr>
                      </w:pPr>
                    </w:p>
                    <w:p w14:paraId="0B88A7C5" w14:textId="77777777" w:rsidR="004D4753" w:rsidRPr="00C26828" w:rsidRDefault="004D4753" w:rsidP="00081470">
                      <w:pPr>
                        <w:pBdr>
                          <w:left w:val="single" w:sz="4" w:space="9" w:color="4F81BD" w:themeColor="accent1"/>
                        </w:pBdr>
                        <w:rPr>
                          <w:rFonts w:asciiTheme="majorHAnsi" w:eastAsiaTheme="majorEastAsia" w:hAnsiTheme="majorHAnsi" w:cstheme="majorBidi"/>
                          <w:sz w:val="40"/>
                          <w:szCs w:val="40"/>
                        </w:rPr>
                      </w:pPr>
                    </w:p>
                    <w:p w14:paraId="1498E3BF" w14:textId="77777777" w:rsidR="004D4753" w:rsidRPr="00C26828" w:rsidRDefault="004D4753" w:rsidP="00081470">
                      <w:pPr>
                        <w:pBdr>
                          <w:left w:val="single" w:sz="4" w:space="9" w:color="4F81BD" w:themeColor="accent1"/>
                        </w:pBdr>
                        <w:rPr>
                          <w:rFonts w:asciiTheme="majorHAnsi" w:eastAsiaTheme="majorEastAsia" w:hAnsiTheme="majorHAnsi" w:cstheme="majorBidi"/>
                          <w:sz w:val="40"/>
                          <w:szCs w:val="40"/>
                        </w:rPr>
                      </w:pPr>
                    </w:p>
                    <w:p w14:paraId="045710F4" w14:textId="62E7D905" w:rsidR="004D4753" w:rsidRPr="00387393" w:rsidRDefault="004D4753" w:rsidP="00081470">
                      <w:pPr>
                        <w:pBdr>
                          <w:left w:val="single" w:sz="4" w:space="9" w:color="4F81BD" w:themeColor="accent1"/>
                        </w:pBdr>
                        <w:jc w:val="center"/>
                        <w:rPr>
                          <w:rFonts w:asciiTheme="majorHAnsi" w:eastAsiaTheme="majorEastAsia" w:hAnsiTheme="majorHAnsi" w:cstheme="majorBidi"/>
                          <w:b/>
                          <w:sz w:val="44"/>
                          <w:szCs w:val="40"/>
                        </w:rPr>
                      </w:pPr>
                      <w:r w:rsidRPr="00387393">
                        <w:rPr>
                          <w:rFonts w:asciiTheme="majorHAnsi" w:eastAsiaTheme="majorEastAsia" w:hAnsiTheme="majorHAnsi" w:cstheme="majorBidi"/>
                          <w:b/>
                          <w:sz w:val="44"/>
                          <w:szCs w:val="40"/>
                        </w:rPr>
                        <w:t xml:space="preserve">EXTRACTO DEL INFORME COYUNTURA Y </w:t>
                      </w:r>
                    </w:p>
                    <w:p w14:paraId="1B320702" w14:textId="77777777" w:rsidR="004D4753" w:rsidRPr="00387393" w:rsidRDefault="004D4753" w:rsidP="00081470">
                      <w:pPr>
                        <w:pBdr>
                          <w:left w:val="single" w:sz="4" w:space="9" w:color="4F81BD" w:themeColor="accent1"/>
                        </w:pBdr>
                        <w:jc w:val="center"/>
                        <w:rPr>
                          <w:rFonts w:asciiTheme="majorHAnsi" w:eastAsiaTheme="majorEastAsia" w:hAnsiTheme="majorHAnsi" w:cstheme="majorBidi"/>
                          <w:b/>
                          <w:sz w:val="44"/>
                          <w:szCs w:val="40"/>
                        </w:rPr>
                      </w:pPr>
                      <w:r w:rsidRPr="00387393">
                        <w:rPr>
                          <w:rFonts w:asciiTheme="majorHAnsi" w:eastAsiaTheme="majorEastAsia" w:hAnsiTheme="majorHAnsi" w:cstheme="majorBidi"/>
                          <w:b/>
                          <w:sz w:val="44"/>
                          <w:szCs w:val="40"/>
                        </w:rPr>
                        <w:t xml:space="preserve">SUPERVISIÓN DEL </w:t>
                      </w:r>
                    </w:p>
                    <w:p w14:paraId="69438B33" w14:textId="77777777" w:rsidR="004D4753" w:rsidRPr="00387393" w:rsidRDefault="004D4753" w:rsidP="00081470">
                      <w:pPr>
                        <w:pBdr>
                          <w:left w:val="single" w:sz="4" w:space="9" w:color="4F81BD" w:themeColor="accent1"/>
                        </w:pBdr>
                        <w:jc w:val="center"/>
                        <w:rPr>
                          <w:rFonts w:asciiTheme="majorHAnsi" w:eastAsiaTheme="majorEastAsia" w:hAnsiTheme="majorHAnsi" w:cstheme="majorBidi"/>
                          <w:b/>
                          <w:sz w:val="44"/>
                          <w:szCs w:val="40"/>
                        </w:rPr>
                      </w:pPr>
                      <w:r w:rsidRPr="00387393">
                        <w:rPr>
                          <w:rFonts w:asciiTheme="majorHAnsi" w:eastAsiaTheme="majorEastAsia" w:hAnsiTheme="majorHAnsi" w:cstheme="majorBidi"/>
                          <w:b/>
                          <w:sz w:val="44"/>
                          <w:szCs w:val="40"/>
                        </w:rPr>
                        <w:t>SECTOR PENSIONES</w:t>
                      </w:r>
                    </w:p>
                    <w:p w14:paraId="5F401B90" w14:textId="77777777" w:rsidR="004D4753" w:rsidRPr="00C26828" w:rsidRDefault="004D4753" w:rsidP="00081470">
                      <w:pPr>
                        <w:pBdr>
                          <w:left w:val="single" w:sz="4" w:space="9" w:color="4F81BD" w:themeColor="accent1"/>
                        </w:pBdr>
                        <w:jc w:val="right"/>
                        <w:rPr>
                          <w:rFonts w:asciiTheme="majorHAnsi" w:eastAsiaTheme="majorEastAsia" w:hAnsiTheme="majorHAnsi" w:cstheme="majorBidi"/>
                          <w:sz w:val="32"/>
                          <w:szCs w:val="40"/>
                        </w:rPr>
                      </w:pPr>
                    </w:p>
                    <w:p w14:paraId="396E3CB4" w14:textId="77777777" w:rsidR="004D4753" w:rsidRPr="00C26828" w:rsidRDefault="004D4753" w:rsidP="00081470">
                      <w:pPr>
                        <w:pBdr>
                          <w:left w:val="single" w:sz="4" w:space="9" w:color="4F81BD" w:themeColor="accent1"/>
                        </w:pBdr>
                        <w:jc w:val="right"/>
                        <w:rPr>
                          <w:rFonts w:asciiTheme="majorHAnsi" w:eastAsiaTheme="majorEastAsia" w:hAnsiTheme="majorHAnsi" w:cstheme="majorBidi"/>
                          <w:sz w:val="32"/>
                          <w:szCs w:val="40"/>
                        </w:rPr>
                      </w:pPr>
                    </w:p>
                    <w:p w14:paraId="551B939D" w14:textId="77777777" w:rsidR="004D4753" w:rsidRPr="00C26828" w:rsidRDefault="004D4753" w:rsidP="00081470">
                      <w:pPr>
                        <w:pBdr>
                          <w:left w:val="single" w:sz="4" w:space="9" w:color="4F81BD" w:themeColor="accent1"/>
                        </w:pBdr>
                        <w:jc w:val="right"/>
                        <w:rPr>
                          <w:rFonts w:asciiTheme="majorHAnsi" w:eastAsiaTheme="majorEastAsia" w:hAnsiTheme="majorHAnsi" w:cstheme="majorBidi"/>
                          <w:sz w:val="32"/>
                          <w:szCs w:val="40"/>
                        </w:rPr>
                      </w:pPr>
                    </w:p>
                    <w:p w14:paraId="1DFAE027" w14:textId="77777777" w:rsidR="004D4753" w:rsidRPr="00C26828" w:rsidRDefault="004D4753" w:rsidP="00081470">
                      <w:pPr>
                        <w:pBdr>
                          <w:left w:val="single" w:sz="4" w:space="9" w:color="4F81BD" w:themeColor="accent1"/>
                        </w:pBdr>
                        <w:jc w:val="right"/>
                        <w:rPr>
                          <w:rFonts w:asciiTheme="majorHAnsi" w:eastAsiaTheme="majorEastAsia" w:hAnsiTheme="majorHAnsi" w:cstheme="majorBidi"/>
                          <w:sz w:val="32"/>
                          <w:szCs w:val="40"/>
                        </w:rPr>
                      </w:pPr>
                    </w:p>
                    <w:p w14:paraId="3C760425" w14:textId="77777777" w:rsidR="004D4753" w:rsidRPr="00C26828" w:rsidRDefault="004D4753" w:rsidP="00081470">
                      <w:pPr>
                        <w:pBdr>
                          <w:left w:val="single" w:sz="4" w:space="9" w:color="4F81BD" w:themeColor="accent1"/>
                        </w:pBdr>
                        <w:jc w:val="center"/>
                        <w:rPr>
                          <w:rFonts w:asciiTheme="majorHAnsi" w:eastAsiaTheme="majorEastAsia" w:hAnsiTheme="majorHAnsi" w:cstheme="majorBidi"/>
                          <w:sz w:val="32"/>
                          <w:szCs w:val="40"/>
                        </w:rPr>
                      </w:pPr>
                      <w:r w:rsidRPr="00C26828">
                        <w:rPr>
                          <w:rFonts w:asciiTheme="majorHAnsi" w:eastAsiaTheme="majorEastAsia" w:hAnsiTheme="majorHAnsi" w:cstheme="majorBidi"/>
                          <w:sz w:val="32"/>
                          <w:szCs w:val="40"/>
                        </w:rPr>
                        <w:t xml:space="preserve">Evolución de los sistemas de pensiones y situación de los entes supervisados </w:t>
                      </w:r>
                    </w:p>
                    <w:p w14:paraId="1689E054" w14:textId="787FA79A" w:rsidR="004D4753" w:rsidRPr="00C26828" w:rsidRDefault="004D4753" w:rsidP="00081470">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Cuarto</w:t>
                      </w:r>
                      <w:r w:rsidRPr="00C26828">
                        <w:rPr>
                          <w:rFonts w:asciiTheme="majorHAnsi" w:eastAsiaTheme="majorEastAsia" w:hAnsiTheme="majorHAnsi" w:cstheme="majorBidi"/>
                          <w:sz w:val="32"/>
                          <w:szCs w:val="40"/>
                        </w:rPr>
                        <w:t xml:space="preserve"> Trimestre</w:t>
                      </w:r>
                    </w:p>
                    <w:p w14:paraId="426FA4AC" w14:textId="5C3F8FF7" w:rsidR="004D4753" w:rsidRPr="00C26828" w:rsidRDefault="004D4753" w:rsidP="006D24E2">
                      <w:pPr>
                        <w:pBdr>
                          <w:left w:val="single" w:sz="4" w:space="9" w:color="4F81BD" w:themeColor="accent1"/>
                        </w:pBdr>
                        <w:jc w:val="center"/>
                      </w:pPr>
                      <w:r w:rsidRPr="00C26828">
                        <w:rPr>
                          <w:rFonts w:asciiTheme="majorHAnsi" w:eastAsiaTheme="majorEastAsia" w:hAnsiTheme="majorHAnsi" w:cstheme="majorBidi"/>
                          <w:sz w:val="32"/>
                          <w:szCs w:val="40"/>
                        </w:rPr>
                        <w:t>2017</w:t>
                      </w:r>
                    </w:p>
                    <w:p w14:paraId="500D3020" w14:textId="77777777" w:rsidR="004D4753" w:rsidRPr="00C26828" w:rsidRDefault="004D475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24FC2D12" w14:textId="77777777" w:rsidR="004D4753" w:rsidRPr="00C26828" w:rsidRDefault="004D475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7959BF29" w14:textId="77777777" w:rsidR="004D4753" w:rsidRPr="00C26828" w:rsidRDefault="004D475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03078DDF" w14:textId="77777777" w:rsidR="004D4753" w:rsidRPr="00C26828" w:rsidRDefault="004D475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53DA4ECB" w14:textId="77777777" w:rsidR="004D4753" w:rsidRPr="00C26828" w:rsidRDefault="004D4753"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C26828">
                        <w:rPr>
                          <w:rFonts w:asciiTheme="majorHAnsi" w:eastAsiaTheme="majorEastAsia" w:hAnsiTheme="majorHAnsi" w:cstheme="majorBidi"/>
                          <w:szCs w:val="40"/>
                        </w:rPr>
                        <w:t>Superintendencia de Pensiones</w:t>
                      </w:r>
                    </w:p>
                    <w:p w14:paraId="790DB715" w14:textId="77777777" w:rsidR="004D4753" w:rsidRPr="00C26828" w:rsidRDefault="004D4753"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C26828">
                        <w:rPr>
                          <w:rFonts w:asciiTheme="majorHAnsi" w:eastAsiaTheme="majorEastAsia" w:hAnsiTheme="majorHAnsi" w:cstheme="majorBidi"/>
                          <w:szCs w:val="40"/>
                        </w:rPr>
                        <w:t>San José, Costa Rica</w:t>
                      </w:r>
                    </w:p>
                    <w:p w14:paraId="1E35A2B5" w14:textId="77777777" w:rsidR="004D4753" w:rsidRPr="00C26828" w:rsidRDefault="00742B4D" w:rsidP="00081470">
                      <w:pPr>
                        <w:pBdr>
                          <w:left w:val="single" w:sz="4" w:space="9" w:color="4F81BD" w:themeColor="accent1"/>
                        </w:pBdr>
                        <w:spacing w:after="0" w:line="240" w:lineRule="auto"/>
                        <w:jc w:val="center"/>
                        <w:rPr>
                          <w:rFonts w:asciiTheme="majorHAnsi" w:eastAsiaTheme="majorEastAsia" w:hAnsiTheme="majorHAnsi" w:cstheme="majorBidi"/>
                          <w:szCs w:val="40"/>
                        </w:rPr>
                      </w:pPr>
                      <w:hyperlink r:id="rId13" w:history="1">
                        <w:r w:rsidR="004D4753" w:rsidRPr="00C26828">
                          <w:rPr>
                            <w:rStyle w:val="Hipervnculo"/>
                            <w:rFonts w:asciiTheme="majorHAnsi" w:eastAsiaTheme="majorEastAsia" w:hAnsiTheme="majorHAnsi" w:cstheme="majorBidi"/>
                            <w:color w:val="auto"/>
                            <w:szCs w:val="40"/>
                          </w:rPr>
                          <w:t>http://www.supen.fi.cr</w:t>
                        </w:r>
                      </w:hyperlink>
                      <w:r w:rsidR="004D4753" w:rsidRPr="00C26828">
                        <w:rPr>
                          <w:rFonts w:asciiTheme="majorHAnsi" w:eastAsiaTheme="majorEastAsia" w:hAnsiTheme="majorHAnsi" w:cstheme="majorBidi"/>
                          <w:szCs w:val="40"/>
                        </w:rPr>
                        <w:t xml:space="preserve"> </w:t>
                      </w:r>
                    </w:p>
                    <w:p w14:paraId="0AAFB9D2" w14:textId="77777777" w:rsidR="004D4753" w:rsidRPr="00C26828" w:rsidRDefault="004D4753" w:rsidP="00081470">
                      <w:pPr>
                        <w:pBdr>
                          <w:left w:val="single" w:sz="4" w:space="9" w:color="4F81BD" w:themeColor="accent1"/>
                        </w:pBdr>
                      </w:pPr>
                    </w:p>
                  </w:txbxContent>
                </v:textbox>
                <w10:wrap type="square" anchorx="margin"/>
              </v:rect>
            </w:pict>
          </mc:Fallback>
        </mc:AlternateContent>
      </w:r>
    </w:p>
    <w:p w14:paraId="016C90EA" w14:textId="38588747" w:rsidR="004C5B85" w:rsidRPr="002B039B" w:rsidRDefault="00081470" w:rsidP="0040090D">
      <w:pPr>
        <w:spacing w:after="0"/>
        <w:rPr>
          <w:rFonts w:ascii="Times New Roman" w:hAnsi="Times New Roman" w:cs="Times New Roman"/>
          <w:sz w:val="24"/>
          <w:szCs w:val="24"/>
        </w:rPr>
      </w:pPr>
      <w:r w:rsidRPr="002B039B">
        <w:rPr>
          <w:rFonts w:ascii="Times New Roman" w:hAnsi="Times New Roman" w:cs="Times New Roman"/>
          <w:sz w:val="24"/>
          <w:szCs w:val="24"/>
        </w:rPr>
        <w:br w:type="page"/>
      </w:r>
    </w:p>
    <w:p w14:paraId="3D000875" w14:textId="778A5CCD" w:rsidR="00081470" w:rsidRPr="002B039B" w:rsidRDefault="00081470" w:rsidP="0040090D">
      <w:pPr>
        <w:pStyle w:val="Textoindependienteprimerasangra2"/>
        <w:spacing w:after="0"/>
        <w:ind w:left="0" w:firstLine="0"/>
        <w:jc w:val="both"/>
        <w:rPr>
          <w:rStyle w:val="Hipervnculo"/>
          <w:rFonts w:ascii="Times New Roman" w:hAnsi="Times New Roman" w:cs="Times New Roman"/>
          <w:color w:val="auto"/>
        </w:rPr>
      </w:pPr>
      <w:r w:rsidRPr="002B039B">
        <w:rPr>
          <w:rFonts w:ascii="Times New Roman" w:hAnsi="Times New Roman" w:cs="Times New Roman"/>
        </w:rPr>
        <w:lastRenderedPageBreak/>
        <w:t xml:space="preserve">El Informe de Coyuntura y Supervisión del Sistema Nacional de Pensiones, se elabora para atender lo dispuesto en el artículo 38, inciso n) de la Ley N°7523, Régimen Privado de Pensiones Complementarias. La información contenida en este documento es propiedad intelectual de la </w:t>
      </w:r>
      <w:r w:rsidR="009622EA" w:rsidRPr="002B039B">
        <w:rPr>
          <w:rFonts w:ascii="Times New Roman" w:hAnsi="Times New Roman" w:cs="Times New Roman"/>
        </w:rPr>
        <w:t xml:space="preserve">Superintendencia de Pensiones </w:t>
      </w:r>
      <w:r w:rsidR="009622EA">
        <w:rPr>
          <w:rFonts w:ascii="Times New Roman" w:hAnsi="Times New Roman" w:cs="Times New Roman"/>
        </w:rPr>
        <w:t>(</w:t>
      </w:r>
      <w:r w:rsidRPr="002B039B">
        <w:rPr>
          <w:rFonts w:ascii="Times New Roman" w:hAnsi="Times New Roman" w:cs="Times New Roman"/>
        </w:rPr>
        <w:t>SUPEN</w:t>
      </w:r>
      <w:r w:rsidR="009622EA">
        <w:rPr>
          <w:rFonts w:ascii="Times New Roman" w:hAnsi="Times New Roman" w:cs="Times New Roman"/>
        </w:rPr>
        <w:t>)</w:t>
      </w:r>
      <w:r w:rsidRPr="002B039B">
        <w:rPr>
          <w:rFonts w:ascii="Times New Roman" w:hAnsi="Times New Roman" w:cs="Times New Roman"/>
        </w:rPr>
        <w:t xml:space="preserve"> y de uso reservado para el Consejo Nacional de Supervisión del Sistema Financiero (CONASSIF). Dicha información podría ser de carácter confidencial o tener derechos reservados y privilegios legales asociados. La SUPEN no se hace legalmente responsable de la transmisión incorrecta de la información aquí contenida. La confección del documento estuvo a cargo de la División de Planificación y Normativa de la</w:t>
      </w:r>
      <w:r w:rsidR="009622EA">
        <w:rPr>
          <w:rFonts w:ascii="Times New Roman" w:hAnsi="Times New Roman" w:cs="Times New Roman"/>
        </w:rPr>
        <w:t xml:space="preserve"> SUPEN</w:t>
      </w:r>
      <w:r w:rsidRPr="002B039B">
        <w:rPr>
          <w:rFonts w:ascii="Times New Roman" w:hAnsi="Times New Roman" w:cs="Times New Roman"/>
        </w:rPr>
        <w:t xml:space="preserve">. Cualquier duda a consulta sobre este documento favor canalizarla a la dirección de correo: </w:t>
      </w:r>
      <w:hyperlink r:id="rId14" w:history="1">
        <w:r w:rsidRPr="002B039B">
          <w:rPr>
            <w:rStyle w:val="Hipervnculo"/>
            <w:rFonts w:ascii="Times New Roman" w:hAnsi="Times New Roman" w:cs="Times New Roman"/>
            <w:color w:val="548DD4" w:themeColor="text2" w:themeTint="99"/>
          </w:rPr>
          <w:t>supen@supen.fi.cr</w:t>
        </w:r>
      </w:hyperlink>
    </w:p>
    <w:p w14:paraId="45514F7A" w14:textId="77777777" w:rsidR="00D1240C" w:rsidRPr="002B039B" w:rsidRDefault="00D1240C" w:rsidP="0040090D">
      <w:pPr>
        <w:tabs>
          <w:tab w:val="left" w:pos="1056"/>
        </w:tabs>
        <w:spacing w:after="0"/>
        <w:rPr>
          <w:rFonts w:ascii="Times New Roman" w:hAnsi="Times New Roman" w:cs="Times New Roman"/>
          <w:sz w:val="24"/>
          <w:szCs w:val="24"/>
        </w:rPr>
      </w:pPr>
    </w:p>
    <w:p w14:paraId="2A09A825" w14:textId="77777777" w:rsidR="00041D06" w:rsidRDefault="00041D06" w:rsidP="0040090D">
      <w:pPr>
        <w:spacing w:after="0"/>
        <w:rPr>
          <w:rFonts w:ascii="Times New Roman" w:hAnsi="Times New Roman" w:cs="Times New Roman"/>
          <w:b/>
          <w:sz w:val="24"/>
          <w:szCs w:val="24"/>
        </w:rPr>
      </w:pPr>
    </w:p>
    <w:p w14:paraId="632975D7" w14:textId="279213AD" w:rsidR="00417DAE" w:rsidRPr="00041D06" w:rsidRDefault="00D6259D" w:rsidP="0040090D">
      <w:pPr>
        <w:spacing w:after="0"/>
        <w:rPr>
          <w:rFonts w:ascii="Times New Roman" w:hAnsi="Times New Roman" w:cs="Times New Roman"/>
          <w:b/>
          <w:sz w:val="24"/>
          <w:szCs w:val="24"/>
        </w:rPr>
      </w:pPr>
      <w:r w:rsidRPr="002B039B">
        <w:rPr>
          <w:rFonts w:ascii="Times New Roman" w:hAnsi="Times New Roman" w:cs="Times New Roman"/>
          <w:sz w:val="24"/>
          <w:szCs w:val="24"/>
        </w:rPr>
        <w:br w:type="page"/>
      </w:r>
    </w:p>
    <w:bookmarkStart w:id="0" w:name="_Toc488389825" w:displacedByCustomXml="next"/>
    <w:bookmarkStart w:id="1" w:name="_Toc490730419" w:displacedByCustomXml="next"/>
    <w:bookmarkStart w:id="2" w:name="_Toc496876552" w:displacedByCustomXml="next"/>
    <w:bookmarkStart w:id="3" w:name="_Toc505348331" w:displacedByCustomXml="next"/>
    <w:sdt>
      <w:sdtPr>
        <w:rPr>
          <w:rFonts w:asciiTheme="minorHAnsi" w:eastAsiaTheme="minorHAnsi" w:hAnsiTheme="minorHAnsi" w:cstheme="minorBidi"/>
          <w:color w:val="auto"/>
          <w:sz w:val="22"/>
          <w:szCs w:val="22"/>
          <w:lang w:val="es-ES" w:eastAsia="en-US"/>
        </w:rPr>
        <w:id w:val="1400711935"/>
        <w:docPartObj>
          <w:docPartGallery w:val="Table of Contents"/>
          <w:docPartUnique/>
        </w:docPartObj>
      </w:sdtPr>
      <w:sdtEndPr>
        <w:rPr>
          <w:b/>
          <w:bCs/>
        </w:rPr>
      </w:sdtEndPr>
      <w:sdtContent>
        <w:p w14:paraId="17D2DB3E" w14:textId="14539A93" w:rsidR="000C466A" w:rsidRDefault="000C466A" w:rsidP="006547EA">
          <w:pPr>
            <w:pStyle w:val="TtuloTDC"/>
            <w:spacing w:before="0"/>
          </w:pPr>
          <w:r>
            <w:rPr>
              <w:lang w:val="es-ES"/>
            </w:rPr>
            <w:t>Contenido</w:t>
          </w:r>
        </w:p>
        <w:p w14:paraId="7A12090A" w14:textId="0902D0C3" w:rsidR="00803C20" w:rsidRDefault="000C466A">
          <w:pPr>
            <w:pStyle w:val="TDC1"/>
            <w:rPr>
              <w:rFonts w:asciiTheme="minorHAnsi" w:eastAsiaTheme="minorEastAsia" w:hAnsiTheme="minorHAnsi"/>
              <w:b w:val="0"/>
              <w:bCs w:val="0"/>
              <w:caps w:val="0"/>
              <w:noProof/>
              <w:sz w:val="22"/>
              <w:szCs w:val="22"/>
              <w:lang w:val="es-CR" w:eastAsia="es-CR"/>
            </w:rPr>
          </w:pPr>
          <w:r>
            <w:fldChar w:fldCharType="begin"/>
          </w:r>
          <w:r>
            <w:instrText xml:space="preserve"> TOC \o "1-3" \h \z \u </w:instrText>
          </w:r>
          <w:r>
            <w:fldChar w:fldCharType="separate"/>
          </w:r>
          <w:hyperlink w:anchor="_Toc509221821" w:history="1">
            <w:r w:rsidR="00803C20" w:rsidRPr="00C55DFB">
              <w:rPr>
                <w:rStyle w:val="Hipervnculo"/>
                <w:noProof/>
              </w:rPr>
              <w:t>Resumen ejecutivo</w:t>
            </w:r>
            <w:r w:rsidR="00803C20">
              <w:rPr>
                <w:noProof/>
                <w:webHidden/>
              </w:rPr>
              <w:tab/>
            </w:r>
            <w:r w:rsidR="00803C20">
              <w:rPr>
                <w:noProof/>
                <w:webHidden/>
              </w:rPr>
              <w:fldChar w:fldCharType="begin"/>
            </w:r>
            <w:r w:rsidR="00803C20">
              <w:rPr>
                <w:noProof/>
                <w:webHidden/>
              </w:rPr>
              <w:instrText xml:space="preserve"> PAGEREF _Toc509221821 \h </w:instrText>
            </w:r>
            <w:r w:rsidR="00803C20">
              <w:rPr>
                <w:noProof/>
                <w:webHidden/>
              </w:rPr>
            </w:r>
            <w:r w:rsidR="00803C20">
              <w:rPr>
                <w:noProof/>
                <w:webHidden/>
              </w:rPr>
              <w:fldChar w:fldCharType="separate"/>
            </w:r>
            <w:r w:rsidR="00803C20">
              <w:rPr>
                <w:noProof/>
                <w:webHidden/>
              </w:rPr>
              <w:t>4</w:t>
            </w:r>
            <w:r w:rsidR="00803C20">
              <w:rPr>
                <w:noProof/>
                <w:webHidden/>
              </w:rPr>
              <w:fldChar w:fldCharType="end"/>
            </w:r>
          </w:hyperlink>
        </w:p>
        <w:p w14:paraId="20F1C9EF" w14:textId="02143AC8" w:rsidR="00803C20" w:rsidRDefault="00803C20">
          <w:pPr>
            <w:pStyle w:val="TDC1"/>
            <w:rPr>
              <w:rFonts w:asciiTheme="minorHAnsi" w:eastAsiaTheme="minorEastAsia" w:hAnsiTheme="minorHAnsi"/>
              <w:b w:val="0"/>
              <w:bCs w:val="0"/>
              <w:caps w:val="0"/>
              <w:noProof/>
              <w:sz w:val="22"/>
              <w:szCs w:val="22"/>
              <w:lang w:val="es-CR" w:eastAsia="es-CR"/>
            </w:rPr>
          </w:pPr>
          <w:hyperlink w:anchor="_Toc509221822" w:history="1">
            <w:r w:rsidRPr="00C55DFB">
              <w:rPr>
                <w:rStyle w:val="Hipervnculo"/>
                <w:noProof/>
              </w:rPr>
              <w:t>Cifras del sistema</w:t>
            </w:r>
            <w:r>
              <w:rPr>
                <w:noProof/>
                <w:webHidden/>
              </w:rPr>
              <w:tab/>
            </w:r>
            <w:r>
              <w:rPr>
                <w:noProof/>
                <w:webHidden/>
              </w:rPr>
              <w:fldChar w:fldCharType="begin"/>
            </w:r>
            <w:r>
              <w:rPr>
                <w:noProof/>
                <w:webHidden/>
              </w:rPr>
              <w:instrText xml:space="preserve"> PAGEREF _Toc509221822 \h </w:instrText>
            </w:r>
            <w:r>
              <w:rPr>
                <w:noProof/>
                <w:webHidden/>
              </w:rPr>
            </w:r>
            <w:r>
              <w:rPr>
                <w:noProof/>
                <w:webHidden/>
              </w:rPr>
              <w:fldChar w:fldCharType="separate"/>
            </w:r>
            <w:r>
              <w:rPr>
                <w:noProof/>
                <w:webHidden/>
              </w:rPr>
              <w:t>5</w:t>
            </w:r>
            <w:r>
              <w:rPr>
                <w:noProof/>
                <w:webHidden/>
              </w:rPr>
              <w:fldChar w:fldCharType="end"/>
            </w:r>
          </w:hyperlink>
        </w:p>
        <w:p w14:paraId="76DC8EB1" w14:textId="253D8824" w:rsidR="00803C20" w:rsidRDefault="00803C20">
          <w:pPr>
            <w:pStyle w:val="TDC1"/>
            <w:rPr>
              <w:rFonts w:asciiTheme="minorHAnsi" w:eastAsiaTheme="minorEastAsia" w:hAnsiTheme="minorHAnsi"/>
              <w:b w:val="0"/>
              <w:bCs w:val="0"/>
              <w:caps w:val="0"/>
              <w:noProof/>
              <w:sz w:val="22"/>
              <w:szCs w:val="22"/>
              <w:lang w:val="es-CR" w:eastAsia="es-CR"/>
            </w:rPr>
          </w:pPr>
          <w:hyperlink w:anchor="_Toc509221823" w:history="1">
            <w:r w:rsidRPr="00C55DFB">
              <w:rPr>
                <w:rStyle w:val="Hipervnculo"/>
                <w:noProof/>
              </w:rPr>
              <w:t>Inversiones</w:t>
            </w:r>
            <w:r>
              <w:rPr>
                <w:noProof/>
                <w:webHidden/>
              </w:rPr>
              <w:tab/>
            </w:r>
            <w:r>
              <w:rPr>
                <w:noProof/>
                <w:webHidden/>
              </w:rPr>
              <w:fldChar w:fldCharType="begin"/>
            </w:r>
            <w:r>
              <w:rPr>
                <w:noProof/>
                <w:webHidden/>
              </w:rPr>
              <w:instrText xml:space="preserve"> PAGEREF _Toc509221823 \h </w:instrText>
            </w:r>
            <w:r>
              <w:rPr>
                <w:noProof/>
                <w:webHidden/>
              </w:rPr>
            </w:r>
            <w:r>
              <w:rPr>
                <w:noProof/>
                <w:webHidden/>
              </w:rPr>
              <w:fldChar w:fldCharType="separate"/>
            </w:r>
            <w:r>
              <w:rPr>
                <w:noProof/>
                <w:webHidden/>
              </w:rPr>
              <w:t>6</w:t>
            </w:r>
            <w:r>
              <w:rPr>
                <w:noProof/>
                <w:webHidden/>
              </w:rPr>
              <w:fldChar w:fldCharType="end"/>
            </w:r>
          </w:hyperlink>
        </w:p>
        <w:p w14:paraId="065B1756" w14:textId="5AA240D4" w:rsidR="00803C20" w:rsidRDefault="00803C20">
          <w:pPr>
            <w:pStyle w:val="TDC2"/>
            <w:tabs>
              <w:tab w:val="right" w:pos="10054"/>
            </w:tabs>
            <w:rPr>
              <w:rFonts w:eastAsiaTheme="minorEastAsia" w:cstheme="minorBidi"/>
              <w:b w:val="0"/>
              <w:bCs w:val="0"/>
              <w:noProof/>
              <w:sz w:val="22"/>
              <w:szCs w:val="22"/>
              <w:lang w:val="es-CR" w:eastAsia="es-CR"/>
            </w:rPr>
          </w:pPr>
          <w:hyperlink w:anchor="_Toc509221824" w:history="1">
            <w:r w:rsidRPr="00C55DFB">
              <w:rPr>
                <w:rStyle w:val="Hipervnculo"/>
                <w:noProof/>
              </w:rPr>
              <w:t>Composición de carteras</w:t>
            </w:r>
            <w:r>
              <w:rPr>
                <w:noProof/>
                <w:webHidden/>
              </w:rPr>
              <w:tab/>
            </w:r>
            <w:r>
              <w:rPr>
                <w:noProof/>
                <w:webHidden/>
              </w:rPr>
              <w:fldChar w:fldCharType="begin"/>
            </w:r>
            <w:r>
              <w:rPr>
                <w:noProof/>
                <w:webHidden/>
              </w:rPr>
              <w:instrText xml:space="preserve"> PAGEREF _Toc509221824 \h </w:instrText>
            </w:r>
            <w:r>
              <w:rPr>
                <w:noProof/>
                <w:webHidden/>
              </w:rPr>
            </w:r>
            <w:r>
              <w:rPr>
                <w:noProof/>
                <w:webHidden/>
              </w:rPr>
              <w:fldChar w:fldCharType="separate"/>
            </w:r>
            <w:r>
              <w:rPr>
                <w:noProof/>
                <w:webHidden/>
              </w:rPr>
              <w:t>6</w:t>
            </w:r>
            <w:r>
              <w:rPr>
                <w:noProof/>
                <w:webHidden/>
              </w:rPr>
              <w:fldChar w:fldCharType="end"/>
            </w:r>
          </w:hyperlink>
        </w:p>
        <w:p w14:paraId="6F9AFB9B" w14:textId="24C6E851" w:rsidR="00803C20" w:rsidRDefault="00803C20">
          <w:pPr>
            <w:pStyle w:val="TDC2"/>
            <w:tabs>
              <w:tab w:val="right" w:pos="10054"/>
            </w:tabs>
            <w:rPr>
              <w:rFonts w:eastAsiaTheme="minorEastAsia" w:cstheme="minorBidi"/>
              <w:b w:val="0"/>
              <w:bCs w:val="0"/>
              <w:noProof/>
              <w:sz w:val="22"/>
              <w:szCs w:val="22"/>
              <w:lang w:val="es-CR" w:eastAsia="es-CR"/>
            </w:rPr>
          </w:pPr>
          <w:hyperlink w:anchor="_Toc509221825" w:history="1">
            <w:r w:rsidRPr="00C55DFB">
              <w:rPr>
                <w:rStyle w:val="Hipervnculo"/>
                <w:noProof/>
              </w:rPr>
              <w:t>Duración y plazos al vencimiento</w:t>
            </w:r>
            <w:r>
              <w:rPr>
                <w:noProof/>
                <w:webHidden/>
              </w:rPr>
              <w:tab/>
            </w:r>
            <w:r>
              <w:rPr>
                <w:noProof/>
                <w:webHidden/>
              </w:rPr>
              <w:fldChar w:fldCharType="begin"/>
            </w:r>
            <w:r>
              <w:rPr>
                <w:noProof/>
                <w:webHidden/>
              </w:rPr>
              <w:instrText xml:space="preserve"> PAGEREF _Toc509221825 \h </w:instrText>
            </w:r>
            <w:r>
              <w:rPr>
                <w:noProof/>
                <w:webHidden/>
              </w:rPr>
            </w:r>
            <w:r>
              <w:rPr>
                <w:noProof/>
                <w:webHidden/>
              </w:rPr>
              <w:fldChar w:fldCharType="separate"/>
            </w:r>
            <w:r>
              <w:rPr>
                <w:noProof/>
                <w:webHidden/>
              </w:rPr>
              <w:t>9</w:t>
            </w:r>
            <w:r>
              <w:rPr>
                <w:noProof/>
                <w:webHidden/>
              </w:rPr>
              <w:fldChar w:fldCharType="end"/>
            </w:r>
          </w:hyperlink>
        </w:p>
        <w:p w14:paraId="27B36072" w14:textId="3FA55750" w:rsidR="00803C20" w:rsidRDefault="00803C20">
          <w:pPr>
            <w:pStyle w:val="TDC1"/>
            <w:rPr>
              <w:rFonts w:asciiTheme="minorHAnsi" w:eastAsiaTheme="minorEastAsia" w:hAnsiTheme="minorHAnsi"/>
              <w:b w:val="0"/>
              <w:bCs w:val="0"/>
              <w:caps w:val="0"/>
              <w:noProof/>
              <w:sz w:val="22"/>
              <w:szCs w:val="22"/>
              <w:lang w:val="es-CR" w:eastAsia="es-CR"/>
            </w:rPr>
          </w:pPr>
          <w:hyperlink w:anchor="_Toc509221826" w:history="1">
            <w:r w:rsidRPr="00C55DFB">
              <w:rPr>
                <w:rStyle w:val="Hipervnculo"/>
                <w:noProof/>
              </w:rPr>
              <w:t>Rentabilidad</w:t>
            </w:r>
            <w:r>
              <w:rPr>
                <w:noProof/>
                <w:webHidden/>
              </w:rPr>
              <w:tab/>
            </w:r>
            <w:r>
              <w:rPr>
                <w:noProof/>
                <w:webHidden/>
              </w:rPr>
              <w:fldChar w:fldCharType="begin"/>
            </w:r>
            <w:r>
              <w:rPr>
                <w:noProof/>
                <w:webHidden/>
              </w:rPr>
              <w:instrText xml:space="preserve"> PAGEREF _Toc509221826 \h </w:instrText>
            </w:r>
            <w:r>
              <w:rPr>
                <w:noProof/>
                <w:webHidden/>
              </w:rPr>
            </w:r>
            <w:r>
              <w:rPr>
                <w:noProof/>
                <w:webHidden/>
              </w:rPr>
              <w:fldChar w:fldCharType="separate"/>
            </w:r>
            <w:r>
              <w:rPr>
                <w:noProof/>
                <w:webHidden/>
              </w:rPr>
              <w:t>10</w:t>
            </w:r>
            <w:r>
              <w:rPr>
                <w:noProof/>
                <w:webHidden/>
              </w:rPr>
              <w:fldChar w:fldCharType="end"/>
            </w:r>
          </w:hyperlink>
        </w:p>
        <w:p w14:paraId="2787C810" w14:textId="0B70D6DA" w:rsidR="00803C20" w:rsidRDefault="00803C20">
          <w:pPr>
            <w:pStyle w:val="TDC2"/>
            <w:tabs>
              <w:tab w:val="right" w:pos="10054"/>
            </w:tabs>
            <w:rPr>
              <w:rFonts w:eastAsiaTheme="minorEastAsia" w:cstheme="minorBidi"/>
              <w:b w:val="0"/>
              <w:bCs w:val="0"/>
              <w:noProof/>
              <w:sz w:val="22"/>
              <w:szCs w:val="22"/>
              <w:lang w:val="es-CR" w:eastAsia="es-CR"/>
            </w:rPr>
          </w:pPr>
          <w:hyperlink w:anchor="_Toc509221827" w:history="1">
            <w:r w:rsidRPr="00C55DFB">
              <w:rPr>
                <w:rStyle w:val="Hipervnculo"/>
                <w:noProof/>
              </w:rPr>
              <w:t>Plusvalías y minusvalías</w:t>
            </w:r>
            <w:r>
              <w:rPr>
                <w:noProof/>
                <w:webHidden/>
              </w:rPr>
              <w:tab/>
            </w:r>
            <w:r>
              <w:rPr>
                <w:noProof/>
                <w:webHidden/>
              </w:rPr>
              <w:fldChar w:fldCharType="begin"/>
            </w:r>
            <w:r>
              <w:rPr>
                <w:noProof/>
                <w:webHidden/>
              </w:rPr>
              <w:instrText xml:space="preserve"> PAGEREF _Toc509221827 \h </w:instrText>
            </w:r>
            <w:r>
              <w:rPr>
                <w:noProof/>
                <w:webHidden/>
              </w:rPr>
            </w:r>
            <w:r>
              <w:rPr>
                <w:noProof/>
                <w:webHidden/>
              </w:rPr>
              <w:fldChar w:fldCharType="separate"/>
            </w:r>
            <w:r>
              <w:rPr>
                <w:noProof/>
                <w:webHidden/>
              </w:rPr>
              <w:t>11</w:t>
            </w:r>
            <w:r>
              <w:rPr>
                <w:noProof/>
                <w:webHidden/>
              </w:rPr>
              <w:fldChar w:fldCharType="end"/>
            </w:r>
          </w:hyperlink>
        </w:p>
        <w:p w14:paraId="1F12CEB4" w14:textId="2FB17321" w:rsidR="00803C20" w:rsidRDefault="00803C20">
          <w:pPr>
            <w:pStyle w:val="TDC2"/>
            <w:tabs>
              <w:tab w:val="right" w:pos="10054"/>
            </w:tabs>
            <w:rPr>
              <w:rFonts w:eastAsiaTheme="minorEastAsia" w:cstheme="minorBidi"/>
              <w:b w:val="0"/>
              <w:bCs w:val="0"/>
              <w:noProof/>
              <w:sz w:val="22"/>
              <w:szCs w:val="22"/>
              <w:lang w:val="es-CR" w:eastAsia="es-CR"/>
            </w:rPr>
          </w:pPr>
          <w:hyperlink w:anchor="_Toc509221828" w:history="1">
            <w:r w:rsidRPr="00C55DFB">
              <w:rPr>
                <w:rStyle w:val="Hipervnculo"/>
                <w:noProof/>
              </w:rPr>
              <w:t>Rentabilidades 3,5 y 10 años</w:t>
            </w:r>
            <w:r>
              <w:rPr>
                <w:noProof/>
                <w:webHidden/>
              </w:rPr>
              <w:tab/>
            </w:r>
            <w:r>
              <w:rPr>
                <w:noProof/>
                <w:webHidden/>
              </w:rPr>
              <w:fldChar w:fldCharType="begin"/>
            </w:r>
            <w:r>
              <w:rPr>
                <w:noProof/>
                <w:webHidden/>
              </w:rPr>
              <w:instrText xml:space="preserve"> PAGEREF _Toc509221828 \h </w:instrText>
            </w:r>
            <w:r>
              <w:rPr>
                <w:noProof/>
                <w:webHidden/>
              </w:rPr>
            </w:r>
            <w:r>
              <w:rPr>
                <w:noProof/>
                <w:webHidden/>
              </w:rPr>
              <w:fldChar w:fldCharType="separate"/>
            </w:r>
            <w:r>
              <w:rPr>
                <w:noProof/>
                <w:webHidden/>
              </w:rPr>
              <w:t>11</w:t>
            </w:r>
            <w:r>
              <w:rPr>
                <w:noProof/>
                <w:webHidden/>
              </w:rPr>
              <w:fldChar w:fldCharType="end"/>
            </w:r>
          </w:hyperlink>
        </w:p>
        <w:p w14:paraId="2F908E68" w14:textId="3FD3DE12" w:rsidR="00803C20" w:rsidRDefault="00803C20">
          <w:pPr>
            <w:pStyle w:val="TDC1"/>
            <w:rPr>
              <w:rFonts w:asciiTheme="minorHAnsi" w:eastAsiaTheme="minorEastAsia" w:hAnsiTheme="minorHAnsi"/>
              <w:b w:val="0"/>
              <w:bCs w:val="0"/>
              <w:caps w:val="0"/>
              <w:noProof/>
              <w:sz w:val="22"/>
              <w:szCs w:val="22"/>
              <w:lang w:val="es-CR" w:eastAsia="es-CR"/>
            </w:rPr>
          </w:pPr>
          <w:hyperlink w:anchor="_Toc509221829" w:history="1">
            <w:r w:rsidRPr="00C55DFB">
              <w:rPr>
                <w:rStyle w:val="Hipervnculo"/>
                <w:noProof/>
              </w:rPr>
              <w:t>Libre transferencia</w:t>
            </w:r>
            <w:r>
              <w:rPr>
                <w:noProof/>
                <w:webHidden/>
              </w:rPr>
              <w:tab/>
            </w:r>
            <w:r>
              <w:rPr>
                <w:noProof/>
                <w:webHidden/>
              </w:rPr>
              <w:fldChar w:fldCharType="begin"/>
            </w:r>
            <w:r>
              <w:rPr>
                <w:noProof/>
                <w:webHidden/>
              </w:rPr>
              <w:instrText xml:space="preserve"> PAGEREF _Toc509221829 \h </w:instrText>
            </w:r>
            <w:r>
              <w:rPr>
                <w:noProof/>
                <w:webHidden/>
              </w:rPr>
            </w:r>
            <w:r>
              <w:rPr>
                <w:noProof/>
                <w:webHidden/>
              </w:rPr>
              <w:fldChar w:fldCharType="separate"/>
            </w:r>
            <w:r>
              <w:rPr>
                <w:noProof/>
                <w:webHidden/>
              </w:rPr>
              <w:t>12</w:t>
            </w:r>
            <w:r>
              <w:rPr>
                <w:noProof/>
                <w:webHidden/>
              </w:rPr>
              <w:fldChar w:fldCharType="end"/>
            </w:r>
          </w:hyperlink>
        </w:p>
        <w:p w14:paraId="57B3FC67" w14:textId="79A2672D" w:rsidR="00803C20" w:rsidRDefault="00803C20">
          <w:pPr>
            <w:pStyle w:val="TDC1"/>
            <w:rPr>
              <w:rFonts w:asciiTheme="minorHAnsi" w:eastAsiaTheme="minorEastAsia" w:hAnsiTheme="minorHAnsi"/>
              <w:b w:val="0"/>
              <w:bCs w:val="0"/>
              <w:caps w:val="0"/>
              <w:noProof/>
              <w:sz w:val="22"/>
              <w:szCs w:val="22"/>
              <w:lang w:val="es-CR" w:eastAsia="es-CR"/>
            </w:rPr>
          </w:pPr>
          <w:hyperlink w:anchor="_Toc509221830" w:history="1">
            <w:r w:rsidRPr="00C55DFB">
              <w:rPr>
                <w:rStyle w:val="Hipervnculo"/>
                <w:noProof/>
              </w:rPr>
              <w:t>Pensionados</w:t>
            </w:r>
            <w:r>
              <w:rPr>
                <w:noProof/>
                <w:webHidden/>
              </w:rPr>
              <w:tab/>
            </w:r>
            <w:r>
              <w:rPr>
                <w:noProof/>
                <w:webHidden/>
              </w:rPr>
              <w:fldChar w:fldCharType="begin"/>
            </w:r>
            <w:r>
              <w:rPr>
                <w:noProof/>
                <w:webHidden/>
              </w:rPr>
              <w:instrText xml:space="preserve"> PAGEREF _Toc509221830 \h </w:instrText>
            </w:r>
            <w:r>
              <w:rPr>
                <w:noProof/>
                <w:webHidden/>
              </w:rPr>
            </w:r>
            <w:r>
              <w:rPr>
                <w:noProof/>
                <w:webHidden/>
              </w:rPr>
              <w:fldChar w:fldCharType="separate"/>
            </w:r>
            <w:r>
              <w:rPr>
                <w:noProof/>
                <w:webHidden/>
              </w:rPr>
              <w:t>12</w:t>
            </w:r>
            <w:r>
              <w:rPr>
                <w:noProof/>
                <w:webHidden/>
              </w:rPr>
              <w:fldChar w:fldCharType="end"/>
            </w:r>
          </w:hyperlink>
        </w:p>
        <w:p w14:paraId="2EE6E658" w14:textId="1F3EDC67" w:rsidR="00803C20" w:rsidRDefault="00803C20">
          <w:pPr>
            <w:pStyle w:val="TDC2"/>
            <w:tabs>
              <w:tab w:val="right" w:pos="10054"/>
            </w:tabs>
            <w:rPr>
              <w:rFonts w:eastAsiaTheme="minorEastAsia" w:cstheme="minorBidi"/>
              <w:b w:val="0"/>
              <w:bCs w:val="0"/>
              <w:noProof/>
              <w:sz w:val="22"/>
              <w:szCs w:val="22"/>
              <w:lang w:val="es-CR" w:eastAsia="es-CR"/>
            </w:rPr>
          </w:pPr>
          <w:hyperlink w:anchor="_Toc509221831" w:history="1">
            <w:r w:rsidRPr="00C55DFB">
              <w:rPr>
                <w:rStyle w:val="Hipervnculo"/>
                <w:noProof/>
              </w:rPr>
              <w:t>Pensionados ROP</w:t>
            </w:r>
            <w:r>
              <w:rPr>
                <w:noProof/>
                <w:webHidden/>
              </w:rPr>
              <w:tab/>
            </w:r>
            <w:r>
              <w:rPr>
                <w:noProof/>
                <w:webHidden/>
              </w:rPr>
              <w:fldChar w:fldCharType="begin"/>
            </w:r>
            <w:r>
              <w:rPr>
                <w:noProof/>
                <w:webHidden/>
              </w:rPr>
              <w:instrText xml:space="preserve"> PAGEREF _Toc509221831 \h </w:instrText>
            </w:r>
            <w:r>
              <w:rPr>
                <w:noProof/>
                <w:webHidden/>
              </w:rPr>
            </w:r>
            <w:r>
              <w:rPr>
                <w:noProof/>
                <w:webHidden/>
              </w:rPr>
              <w:fldChar w:fldCharType="separate"/>
            </w:r>
            <w:r>
              <w:rPr>
                <w:noProof/>
                <w:webHidden/>
              </w:rPr>
              <w:t>12</w:t>
            </w:r>
            <w:r>
              <w:rPr>
                <w:noProof/>
                <w:webHidden/>
              </w:rPr>
              <w:fldChar w:fldCharType="end"/>
            </w:r>
          </w:hyperlink>
        </w:p>
        <w:p w14:paraId="6B1F7929" w14:textId="4C438279" w:rsidR="00803C20" w:rsidRDefault="00803C20">
          <w:pPr>
            <w:pStyle w:val="TDC2"/>
            <w:tabs>
              <w:tab w:val="right" w:pos="10054"/>
            </w:tabs>
            <w:rPr>
              <w:rFonts w:eastAsiaTheme="minorEastAsia" w:cstheme="minorBidi"/>
              <w:b w:val="0"/>
              <w:bCs w:val="0"/>
              <w:noProof/>
              <w:sz w:val="22"/>
              <w:szCs w:val="22"/>
              <w:lang w:val="es-CR" w:eastAsia="es-CR"/>
            </w:rPr>
          </w:pPr>
          <w:hyperlink w:anchor="_Toc509221832" w:history="1">
            <w:r w:rsidRPr="00C55DFB">
              <w:rPr>
                <w:rStyle w:val="Hipervnculo"/>
                <w:noProof/>
              </w:rPr>
              <w:t>Pensiones regímenes básicos especiales mayores a 1,5 millones de colones</w:t>
            </w:r>
            <w:r>
              <w:rPr>
                <w:noProof/>
                <w:webHidden/>
              </w:rPr>
              <w:tab/>
            </w:r>
            <w:r>
              <w:rPr>
                <w:noProof/>
                <w:webHidden/>
              </w:rPr>
              <w:fldChar w:fldCharType="begin"/>
            </w:r>
            <w:r>
              <w:rPr>
                <w:noProof/>
                <w:webHidden/>
              </w:rPr>
              <w:instrText xml:space="preserve"> PAGEREF _Toc509221832 \h </w:instrText>
            </w:r>
            <w:r>
              <w:rPr>
                <w:noProof/>
                <w:webHidden/>
              </w:rPr>
            </w:r>
            <w:r>
              <w:rPr>
                <w:noProof/>
                <w:webHidden/>
              </w:rPr>
              <w:fldChar w:fldCharType="separate"/>
            </w:r>
            <w:r>
              <w:rPr>
                <w:noProof/>
                <w:webHidden/>
              </w:rPr>
              <w:t>13</w:t>
            </w:r>
            <w:r>
              <w:rPr>
                <w:noProof/>
                <w:webHidden/>
              </w:rPr>
              <w:fldChar w:fldCharType="end"/>
            </w:r>
          </w:hyperlink>
        </w:p>
        <w:p w14:paraId="317806C4" w14:textId="08904EBF" w:rsidR="00803C20" w:rsidRDefault="00803C20">
          <w:pPr>
            <w:pStyle w:val="TDC1"/>
            <w:rPr>
              <w:rFonts w:asciiTheme="minorHAnsi" w:eastAsiaTheme="minorEastAsia" w:hAnsiTheme="minorHAnsi"/>
              <w:b w:val="0"/>
              <w:bCs w:val="0"/>
              <w:caps w:val="0"/>
              <w:noProof/>
              <w:sz w:val="22"/>
              <w:szCs w:val="22"/>
              <w:lang w:val="es-CR" w:eastAsia="es-CR"/>
            </w:rPr>
          </w:pPr>
          <w:hyperlink w:anchor="_Toc509221833" w:history="1">
            <w:r w:rsidRPr="00C55DFB">
              <w:rPr>
                <w:rStyle w:val="Hipervnculo"/>
                <w:noProof/>
              </w:rPr>
              <w:t>Invalidez, Vejez y Muerte, CCSS-Mesa de Diálogo</w:t>
            </w:r>
            <w:r>
              <w:rPr>
                <w:noProof/>
                <w:webHidden/>
              </w:rPr>
              <w:tab/>
            </w:r>
            <w:r>
              <w:rPr>
                <w:noProof/>
                <w:webHidden/>
              </w:rPr>
              <w:fldChar w:fldCharType="begin"/>
            </w:r>
            <w:r>
              <w:rPr>
                <w:noProof/>
                <w:webHidden/>
              </w:rPr>
              <w:instrText xml:space="preserve"> PAGEREF _Toc509221833 \h </w:instrText>
            </w:r>
            <w:r>
              <w:rPr>
                <w:noProof/>
                <w:webHidden/>
              </w:rPr>
            </w:r>
            <w:r>
              <w:rPr>
                <w:noProof/>
                <w:webHidden/>
              </w:rPr>
              <w:fldChar w:fldCharType="separate"/>
            </w:r>
            <w:r>
              <w:rPr>
                <w:noProof/>
                <w:webHidden/>
              </w:rPr>
              <w:t>14</w:t>
            </w:r>
            <w:r>
              <w:rPr>
                <w:noProof/>
                <w:webHidden/>
              </w:rPr>
              <w:fldChar w:fldCharType="end"/>
            </w:r>
          </w:hyperlink>
        </w:p>
        <w:p w14:paraId="0F31A31B" w14:textId="6F3FB510" w:rsidR="000C466A" w:rsidRDefault="000C466A" w:rsidP="006547EA">
          <w:pPr>
            <w:spacing w:after="0"/>
          </w:pPr>
          <w:r>
            <w:rPr>
              <w:b/>
              <w:bCs/>
            </w:rPr>
            <w:fldChar w:fldCharType="end"/>
          </w:r>
        </w:p>
      </w:sdtContent>
    </w:sdt>
    <w:p w14:paraId="1C69986A" w14:textId="4D58ED89" w:rsidR="00041D06" w:rsidRDefault="00041D06" w:rsidP="003B7B9E">
      <w:pPr>
        <w:pStyle w:val="Ttulo1"/>
      </w:pPr>
    </w:p>
    <w:p w14:paraId="679D895E" w14:textId="7C327813" w:rsidR="00B57745" w:rsidRDefault="00B57745" w:rsidP="00B57745"/>
    <w:p w14:paraId="3735748D" w14:textId="75996AC0" w:rsidR="00B57745" w:rsidRDefault="00B57745" w:rsidP="00B57745"/>
    <w:p w14:paraId="19A14FD3" w14:textId="7818008B" w:rsidR="006547EA" w:rsidRDefault="006547EA" w:rsidP="00B57745"/>
    <w:p w14:paraId="59E6D331" w14:textId="69F814DC" w:rsidR="00B57745" w:rsidRDefault="00B57745" w:rsidP="00B57745"/>
    <w:p w14:paraId="6D452771" w14:textId="19F05A1D" w:rsidR="004D4753" w:rsidRDefault="004D4753" w:rsidP="00B57745"/>
    <w:p w14:paraId="34BDD829" w14:textId="61E3768A" w:rsidR="00FF5D52" w:rsidRDefault="00FF5D52" w:rsidP="00B57745"/>
    <w:p w14:paraId="6E477135" w14:textId="2EBF7815" w:rsidR="00FF5D52" w:rsidRDefault="00FF5D52" w:rsidP="00B57745"/>
    <w:p w14:paraId="026E8A6F" w14:textId="0ADE72F7" w:rsidR="00FF5D52" w:rsidRDefault="00FF5D52" w:rsidP="00B57745"/>
    <w:p w14:paraId="12ED1DD6" w14:textId="5D9A6234" w:rsidR="00FF5D52" w:rsidRDefault="00FF5D52" w:rsidP="00B57745"/>
    <w:p w14:paraId="06B63FDB" w14:textId="77777777" w:rsidR="00FF5D52" w:rsidRPr="00B57745" w:rsidRDefault="00FF5D52" w:rsidP="00B57745"/>
    <w:p w14:paraId="79C375A0" w14:textId="1E9D87A5" w:rsidR="00081470" w:rsidRPr="003B7B9E" w:rsidRDefault="00467734" w:rsidP="000C466A">
      <w:pPr>
        <w:pStyle w:val="Ttulo1"/>
      </w:pPr>
      <w:bookmarkStart w:id="4" w:name="_Toc506207741"/>
      <w:bookmarkStart w:id="5" w:name="_Toc506212322"/>
      <w:bookmarkStart w:id="6" w:name="_Toc509221821"/>
      <w:r w:rsidRPr="003B7B9E">
        <w:lastRenderedPageBreak/>
        <w:t xml:space="preserve">Resumen </w:t>
      </w:r>
      <w:r w:rsidRPr="000C466A">
        <w:t>ejecutivo</w:t>
      </w:r>
      <w:bookmarkEnd w:id="4"/>
      <w:bookmarkEnd w:id="5"/>
      <w:bookmarkEnd w:id="3"/>
      <w:bookmarkEnd w:id="2"/>
      <w:bookmarkEnd w:id="1"/>
      <w:bookmarkEnd w:id="0"/>
      <w:bookmarkEnd w:id="6"/>
    </w:p>
    <w:p w14:paraId="38E57CEC" w14:textId="610AEAA3" w:rsidR="005C4683" w:rsidRPr="00CE21B2" w:rsidRDefault="005C4683" w:rsidP="0040090D">
      <w:pPr>
        <w:pStyle w:val="Prrafodelista"/>
        <w:numPr>
          <w:ilvl w:val="0"/>
          <w:numId w:val="4"/>
        </w:numPr>
        <w:spacing w:after="0"/>
        <w:ind w:left="0"/>
        <w:jc w:val="both"/>
        <w:rPr>
          <w:rFonts w:ascii="Times New Roman" w:hAnsi="Times New Roman" w:cs="Times New Roman"/>
          <w:szCs w:val="24"/>
        </w:rPr>
      </w:pPr>
      <w:r w:rsidRPr="00CE21B2">
        <w:rPr>
          <w:rFonts w:ascii="Times New Roman" w:hAnsi="Times New Roman" w:cs="Times New Roman"/>
          <w:szCs w:val="24"/>
        </w:rPr>
        <w:t xml:space="preserve">El presente informe tiene </w:t>
      </w:r>
      <w:r w:rsidR="009622EA">
        <w:rPr>
          <w:rFonts w:ascii="Times New Roman" w:hAnsi="Times New Roman" w:cs="Times New Roman"/>
          <w:szCs w:val="24"/>
        </w:rPr>
        <w:t>describe</w:t>
      </w:r>
      <w:r w:rsidRPr="00CE21B2">
        <w:rPr>
          <w:rFonts w:ascii="Times New Roman" w:hAnsi="Times New Roman" w:cs="Times New Roman"/>
          <w:szCs w:val="24"/>
        </w:rPr>
        <w:t xml:space="preserve"> los principales hechos </w:t>
      </w:r>
      <w:r w:rsidR="00060F6E" w:rsidRPr="00CE21B2">
        <w:rPr>
          <w:rFonts w:ascii="Times New Roman" w:hAnsi="Times New Roman" w:cs="Times New Roman"/>
          <w:szCs w:val="24"/>
        </w:rPr>
        <w:t>durante el cuarto trimestre de 2017,</w:t>
      </w:r>
      <w:r w:rsidR="00326BFA" w:rsidRPr="00CE21B2">
        <w:rPr>
          <w:rFonts w:ascii="Times New Roman" w:hAnsi="Times New Roman" w:cs="Times New Roman"/>
          <w:szCs w:val="24"/>
        </w:rPr>
        <w:t xml:space="preserve"> sin perjuicio de</w:t>
      </w:r>
      <w:r w:rsidRPr="00CE21B2">
        <w:rPr>
          <w:rFonts w:ascii="Times New Roman" w:hAnsi="Times New Roman" w:cs="Times New Roman"/>
          <w:szCs w:val="24"/>
        </w:rPr>
        <w:t xml:space="preserve"> informes</w:t>
      </w:r>
      <w:r w:rsidR="00326BFA" w:rsidRPr="00CE21B2">
        <w:rPr>
          <w:rFonts w:ascii="Times New Roman" w:hAnsi="Times New Roman" w:cs="Times New Roman"/>
          <w:szCs w:val="24"/>
        </w:rPr>
        <w:t xml:space="preserve"> específicos </w:t>
      </w:r>
      <w:r w:rsidRPr="00CE21B2">
        <w:rPr>
          <w:rFonts w:ascii="Times New Roman" w:hAnsi="Times New Roman" w:cs="Times New Roman"/>
          <w:szCs w:val="24"/>
        </w:rPr>
        <w:t xml:space="preserve">o </w:t>
      </w:r>
      <w:r w:rsidR="00326BFA" w:rsidRPr="00CE21B2">
        <w:rPr>
          <w:rFonts w:ascii="Times New Roman" w:hAnsi="Times New Roman" w:cs="Times New Roman"/>
          <w:szCs w:val="24"/>
        </w:rPr>
        <w:t xml:space="preserve">profundizaciones que por su trascendencia </w:t>
      </w:r>
      <w:r w:rsidR="00060F6E" w:rsidRPr="00CE21B2">
        <w:rPr>
          <w:rFonts w:ascii="Times New Roman" w:hAnsi="Times New Roman" w:cs="Times New Roman"/>
          <w:szCs w:val="24"/>
        </w:rPr>
        <w:t>se hubiesen presentado adicionalmente</w:t>
      </w:r>
      <w:r w:rsidR="00326BFA" w:rsidRPr="00CE21B2">
        <w:rPr>
          <w:rFonts w:ascii="Times New Roman" w:hAnsi="Times New Roman" w:cs="Times New Roman"/>
          <w:szCs w:val="24"/>
        </w:rPr>
        <w:t>.</w:t>
      </w:r>
      <w:r w:rsidR="008876F9" w:rsidRPr="00CE21B2">
        <w:rPr>
          <w:rFonts w:ascii="Times New Roman" w:hAnsi="Times New Roman" w:cs="Times New Roman"/>
          <w:szCs w:val="24"/>
        </w:rPr>
        <w:t xml:space="preserve"> </w:t>
      </w:r>
      <w:r w:rsidR="00060F6E" w:rsidRPr="00CE21B2">
        <w:rPr>
          <w:rFonts w:ascii="Times New Roman" w:hAnsi="Times New Roman" w:cs="Times New Roman"/>
          <w:szCs w:val="24"/>
        </w:rPr>
        <w:t xml:space="preserve">Asimismo, se incorporan </w:t>
      </w:r>
      <w:r w:rsidR="009622EA">
        <w:rPr>
          <w:rFonts w:ascii="Times New Roman" w:hAnsi="Times New Roman" w:cs="Times New Roman"/>
          <w:szCs w:val="24"/>
        </w:rPr>
        <w:t xml:space="preserve">algunos </w:t>
      </w:r>
      <w:r w:rsidR="008876F9" w:rsidRPr="00CE21B2">
        <w:rPr>
          <w:rFonts w:ascii="Times New Roman" w:hAnsi="Times New Roman" w:cs="Times New Roman"/>
          <w:szCs w:val="24"/>
        </w:rPr>
        <w:t xml:space="preserve">datos </w:t>
      </w:r>
      <w:r w:rsidR="009622EA">
        <w:rPr>
          <w:rFonts w:ascii="Times New Roman" w:hAnsi="Times New Roman" w:cs="Times New Roman"/>
          <w:szCs w:val="24"/>
        </w:rPr>
        <w:t>d</w:t>
      </w:r>
      <w:r w:rsidR="008876F9" w:rsidRPr="00CE21B2">
        <w:rPr>
          <w:rFonts w:ascii="Times New Roman" w:hAnsi="Times New Roman" w:cs="Times New Roman"/>
          <w:szCs w:val="24"/>
        </w:rPr>
        <w:t>el 2017</w:t>
      </w:r>
      <w:r w:rsidR="00060F6E" w:rsidRPr="00CE21B2">
        <w:rPr>
          <w:rFonts w:ascii="Times New Roman" w:hAnsi="Times New Roman" w:cs="Times New Roman"/>
          <w:szCs w:val="24"/>
        </w:rPr>
        <w:t>, con la finalidad de proporcionar una mejor comprensión sobre la evolución y situación del</w:t>
      </w:r>
      <w:r w:rsidR="008876F9" w:rsidRPr="00CE21B2">
        <w:rPr>
          <w:rFonts w:ascii="Times New Roman" w:hAnsi="Times New Roman" w:cs="Times New Roman"/>
          <w:szCs w:val="24"/>
        </w:rPr>
        <w:t xml:space="preserve"> </w:t>
      </w:r>
      <w:r w:rsidR="00060F6E" w:rsidRPr="00CE21B2">
        <w:rPr>
          <w:rFonts w:ascii="Times New Roman" w:hAnsi="Times New Roman" w:cs="Times New Roman"/>
          <w:szCs w:val="24"/>
        </w:rPr>
        <w:t>S</w:t>
      </w:r>
      <w:r w:rsidR="008876F9" w:rsidRPr="00CE21B2">
        <w:rPr>
          <w:rFonts w:ascii="Times New Roman" w:hAnsi="Times New Roman" w:cs="Times New Roman"/>
          <w:szCs w:val="24"/>
        </w:rPr>
        <w:t xml:space="preserve">istema </w:t>
      </w:r>
      <w:r w:rsidR="00060F6E" w:rsidRPr="00CE21B2">
        <w:rPr>
          <w:rFonts w:ascii="Times New Roman" w:hAnsi="Times New Roman" w:cs="Times New Roman"/>
          <w:szCs w:val="24"/>
        </w:rPr>
        <w:t>N</w:t>
      </w:r>
      <w:r w:rsidR="008876F9" w:rsidRPr="00CE21B2">
        <w:rPr>
          <w:rFonts w:ascii="Times New Roman" w:hAnsi="Times New Roman" w:cs="Times New Roman"/>
          <w:szCs w:val="24"/>
        </w:rPr>
        <w:t xml:space="preserve">acional de </w:t>
      </w:r>
      <w:r w:rsidR="00060F6E" w:rsidRPr="00CE21B2">
        <w:rPr>
          <w:rFonts w:ascii="Times New Roman" w:hAnsi="Times New Roman" w:cs="Times New Roman"/>
          <w:szCs w:val="24"/>
        </w:rPr>
        <w:t>P</w:t>
      </w:r>
      <w:r w:rsidR="008876F9" w:rsidRPr="00CE21B2">
        <w:rPr>
          <w:rFonts w:ascii="Times New Roman" w:hAnsi="Times New Roman" w:cs="Times New Roman"/>
          <w:szCs w:val="24"/>
        </w:rPr>
        <w:t xml:space="preserve">ensiones </w:t>
      </w:r>
      <w:r w:rsidR="00060F6E" w:rsidRPr="00CE21B2">
        <w:rPr>
          <w:rFonts w:ascii="Times New Roman" w:hAnsi="Times New Roman" w:cs="Times New Roman"/>
          <w:szCs w:val="24"/>
        </w:rPr>
        <w:t xml:space="preserve">y </w:t>
      </w:r>
      <w:r w:rsidR="009622EA">
        <w:rPr>
          <w:rFonts w:ascii="Times New Roman" w:hAnsi="Times New Roman" w:cs="Times New Roman"/>
          <w:szCs w:val="24"/>
        </w:rPr>
        <w:t xml:space="preserve">de los </w:t>
      </w:r>
      <w:r w:rsidR="00060F6E" w:rsidRPr="00CE21B2">
        <w:rPr>
          <w:rFonts w:ascii="Times New Roman" w:hAnsi="Times New Roman" w:cs="Times New Roman"/>
          <w:szCs w:val="24"/>
        </w:rPr>
        <w:t>entes regulados.</w:t>
      </w:r>
    </w:p>
    <w:p w14:paraId="4363B250" w14:textId="3D8C8A1D" w:rsidR="005C4683" w:rsidRPr="00CE21B2" w:rsidRDefault="005C4683" w:rsidP="00DE7BF7">
      <w:pPr>
        <w:pStyle w:val="Prrafodelista"/>
        <w:spacing w:after="0"/>
        <w:ind w:left="0"/>
        <w:jc w:val="both"/>
        <w:rPr>
          <w:rFonts w:ascii="Times New Roman" w:hAnsi="Times New Roman" w:cs="Times New Roman"/>
          <w:szCs w:val="24"/>
        </w:rPr>
      </w:pPr>
    </w:p>
    <w:p w14:paraId="57D28BB4" w14:textId="77777777" w:rsidR="00DE7BF7" w:rsidRDefault="006461D2" w:rsidP="00DE7BF7">
      <w:pPr>
        <w:pStyle w:val="Prrafodelista"/>
        <w:numPr>
          <w:ilvl w:val="0"/>
          <w:numId w:val="4"/>
        </w:numPr>
        <w:spacing w:after="0"/>
        <w:ind w:left="0"/>
        <w:jc w:val="both"/>
        <w:rPr>
          <w:rFonts w:ascii="Times New Roman" w:hAnsi="Times New Roman" w:cs="Times New Roman"/>
          <w:szCs w:val="24"/>
        </w:rPr>
      </w:pPr>
      <w:r>
        <w:rPr>
          <w:rFonts w:ascii="Times New Roman" w:hAnsi="Times New Roman" w:cs="Times New Roman"/>
          <w:szCs w:val="24"/>
        </w:rPr>
        <w:t>Lo</w:t>
      </w:r>
      <w:r w:rsidR="005C4683" w:rsidRPr="00CE21B2">
        <w:rPr>
          <w:rFonts w:ascii="Times New Roman" w:hAnsi="Times New Roman" w:cs="Times New Roman"/>
          <w:szCs w:val="24"/>
        </w:rPr>
        <w:t xml:space="preserve"> fondos voluntarios </w:t>
      </w:r>
      <w:r w:rsidR="00326BFA" w:rsidRPr="00CE21B2">
        <w:rPr>
          <w:rFonts w:ascii="Times New Roman" w:hAnsi="Times New Roman" w:cs="Times New Roman"/>
          <w:szCs w:val="24"/>
        </w:rPr>
        <w:t>continúan</w:t>
      </w:r>
      <w:r w:rsidR="005C4683" w:rsidRPr="00CE21B2">
        <w:rPr>
          <w:rFonts w:ascii="Times New Roman" w:hAnsi="Times New Roman" w:cs="Times New Roman"/>
          <w:szCs w:val="24"/>
        </w:rPr>
        <w:t xml:space="preserve"> siendo un producto poco atractivo</w:t>
      </w:r>
      <w:r w:rsidR="007E5C2F" w:rsidRPr="00CE21B2">
        <w:rPr>
          <w:rFonts w:ascii="Times New Roman" w:hAnsi="Times New Roman" w:cs="Times New Roman"/>
          <w:szCs w:val="24"/>
        </w:rPr>
        <w:t>, según se aprecia en el informe</w:t>
      </w:r>
      <w:r w:rsidR="00060F6E" w:rsidRPr="00CE21B2">
        <w:rPr>
          <w:rFonts w:ascii="Times New Roman" w:hAnsi="Times New Roman" w:cs="Times New Roman"/>
          <w:szCs w:val="24"/>
        </w:rPr>
        <w:t>,</w:t>
      </w:r>
      <w:r w:rsidR="005C4683" w:rsidRPr="00CE21B2">
        <w:rPr>
          <w:rFonts w:ascii="Times New Roman" w:hAnsi="Times New Roman" w:cs="Times New Roman"/>
          <w:szCs w:val="24"/>
        </w:rPr>
        <w:t xml:space="preserve"> el producto no e</w:t>
      </w:r>
      <w:r w:rsidR="0067184E" w:rsidRPr="00CE21B2">
        <w:rPr>
          <w:rFonts w:ascii="Times New Roman" w:hAnsi="Times New Roman" w:cs="Times New Roman"/>
          <w:szCs w:val="24"/>
        </w:rPr>
        <w:t>stá creciendo.</w:t>
      </w:r>
    </w:p>
    <w:p w14:paraId="7FAA73C1" w14:textId="77777777" w:rsidR="00DE7BF7" w:rsidRPr="00DE7BF7" w:rsidRDefault="00DE7BF7" w:rsidP="00DE7BF7">
      <w:pPr>
        <w:pStyle w:val="Prrafodelista"/>
        <w:rPr>
          <w:rFonts w:ascii="Times New Roman" w:hAnsi="Times New Roman" w:cs="Times New Roman"/>
          <w:szCs w:val="24"/>
        </w:rPr>
      </w:pPr>
    </w:p>
    <w:p w14:paraId="200DC699" w14:textId="4803E0C4" w:rsidR="00E12855" w:rsidRPr="00DE7BF7" w:rsidRDefault="00060F6E" w:rsidP="00DE7BF7">
      <w:pPr>
        <w:pStyle w:val="Prrafodelista"/>
        <w:numPr>
          <w:ilvl w:val="0"/>
          <w:numId w:val="4"/>
        </w:numPr>
        <w:spacing w:after="0"/>
        <w:ind w:left="0"/>
        <w:jc w:val="both"/>
        <w:rPr>
          <w:rFonts w:ascii="Times New Roman" w:hAnsi="Times New Roman" w:cs="Times New Roman"/>
          <w:szCs w:val="24"/>
        </w:rPr>
      </w:pPr>
      <w:r w:rsidRPr="00DE7BF7">
        <w:rPr>
          <w:rFonts w:ascii="Times New Roman" w:hAnsi="Times New Roman" w:cs="Times New Roman"/>
          <w:szCs w:val="24"/>
        </w:rPr>
        <w:t xml:space="preserve">La cantidad de pensionados que deben optar por algún producto de beneficios en el ROP </w:t>
      </w:r>
      <w:r w:rsidR="00841F05" w:rsidRPr="00DE7BF7">
        <w:rPr>
          <w:rFonts w:ascii="Times New Roman" w:hAnsi="Times New Roman" w:cs="Times New Roman"/>
          <w:szCs w:val="24"/>
        </w:rPr>
        <w:t>continúa</w:t>
      </w:r>
      <w:r w:rsidR="00F229A7" w:rsidRPr="00DE7BF7">
        <w:rPr>
          <w:rFonts w:ascii="Times New Roman" w:hAnsi="Times New Roman" w:cs="Times New Roman"/>
          <w:szCs w:val="24"/>
        </w:rPr>
        <w:t xml:space="preserve"> aumenta</w:t>
      </w:r>
      <w:r w:rsidRPr="00DE7BF7">
        <w:rPr>
          <w:rFonts w:ascii="Times New Roman" w:hAnsi="Times New Roman" w:cs="Times New Roman"/>
          <w:szCs w:val="24"/>
        </w:rPr>
        <w:t>n</w:t>
      </w:r>
      <w:r w:rsidR="00F229A7" w:rsidRPr="00DE7BF7">
        <w:rPr>
          <w:rFonts w:ascii="Times New Roman" w:hAnsi="Times New Roman" w:cs="Times New Roman"/>
          <w:szCs w:val="24"/>
        </w:rPr>
        <w:t>do</w:t>
      </w:r>
      <w:r w:rsidRPr="00DE7BF7">
        <w:rPr>
          <w:rFonts w:ascii="Times New Roman" w:hAnsi="Times New Roman" w:cs="Times New Roman"/>
          <w:szCs w:val="24"/>
        </w:rPr>
        <w:t xml:space="preserve">, según se tenía previsto. </w:t>
      </w:r>
      <w:r w:rsidR="00E12855" w:rsidRPr="00DE7BF7">
        <w:rPr>
          <w:rFonts w:ascii="Times New Roman" w:hAnsi="Times New Roman" w:cs="Times New Roman"/>
        </w:rPr>
        <w:br w:type="page"/>
      </w:r>
    </w:p>
    <w:p w14:paraId="2D6F8B10" w14:textId="729A3E8C" w:rsidR="00467734" w:rsidRPr="00DE7BF7" w:rsidRDefault="00467734" w:rsidP="00DE7BF7">
      <w:pPr>
        <w:pStyle w:val="Ttulo1"/>
      </w:pPr>
      <w:bookmarkStart w:id="7" w:name="_Toc496876553"/>
      <w:bookmarkStart w:id="8" w:name="_Toc505348332"/>
      <w:bookmarkStart w:id="9" w:name="_Toc506207742"/>
      <w:bookmarkStart w:id="10" w:name="_Toc506212323"/>
      <w:bookmarkStart w:id="11" w:name="_Toc509221822"/>
      <w:r w:rsidRPr="003B7B9E">
        <w:lastRenderedPageBreak/>
        <w:t>Cifras del sistema</w:t>
      </w:r>
      <w:bookmarkEnd w:id="7"/>
      <w:bookmarkEnd w:id="8"/>
      <w:bookmarkEnd w:id="9"/>
      <w:bookmarkEnd w:id="10"/>
      <w:bookmarkEnd w:id="11"/>
    </w:p>
    <w:p w14:paraId="3CDFFA11" w14:textId="1BA5AF79" w:rsidR="003578EF" w:rsidRPr="00467734" w:rsidRDefault="003926AC" w:rsidP="0040090D">
      <w:pPr>
        <w:pStyle w:val="Prrafodelista"/>
        <w:numPr>
          <w:ilvl w:val="0"/>
          <w:numId w:val="4"/>
        </w:numPr>
        <w:spacing w:after="0"/>
        <w:ind w:left="0"/>
        <w:jc w:val="both"/>
        <w:rPr>
          <w:rFonts w:ascii="Times New Roman" w:hAnsi="Times New Roman" w:cs="Times New Roman"/>
          <w:szCs w:val="24"/>
        </w:rPr>
      </w:pPr>
      <w:r w:rsidRPr="002B039B">
        <w:rPr>
          <w:rFonts w:ascii="Times New Roman" w:hAnsi="Times New Roman" w:cs="Times New Roman"/>
        </w:rPr>
        <w:t xml:space="preserve">El </w:t>
      </w:r>
      <w:r w:rsidR="00084993">
        <w:rPr>
          <w:rFonts w:ascii="Times New Roman" w:hAnsi="Times New Roman" w:cs="Times New Roman"/>
        </w:rPr>
        <w:t>SNP</w:t>
      </w:r>
      <w:r w:rsidRPr="002B039B">
        <w:rPr>
          <w:rFonts w:ascii="Times New Roman" w:hAnsi="Times New Roman" w:cs="Times New Roman"/>
        </w:rPr>
        <w:t xml:space="preserve"> más el Fondo de Capitalización Laboral cuentan a </w:t>
      </w:r>
      <w:r w:rsidR="00050D86" w:rsidRPr="002B039B">
        <w:rPr>
          <w:rFonts w:ascii="Times New Roman" w:hAnsi="Times New Roman" w:cs="Times New Roman"/>
          <w:szCs w:val="24"/>
        </w:rPr>
        <w:t>diciembre</w:t>
      </w:r>
      <w:r w:rsidRPr="002B039B">
        <w:rPr>
          <w:rFonts w:ascii="Times New Roman" w:hAnsi="Times New Roman" w:cs="Times New Roman"/>
        </w:rPr>
        <w:t xml:space="preserve"> </w:t>
      </w:r>
      <w:r w:rsidR="009622EA">
        <w:rPr>
          <w:rFonts w:ascii="Times New Roman" w:hAnsi="Times New Roman" w:cs="Times New Roman"/>
        </w:rPr>
        <w:t xml:space="preserve">de </w:t>
      </w:r>
      <w:r w:rsidRPr="002B039B">
        <w:rPr>
          <w:rFonts w:ascii="Times New Roman" w:hAnsi="Times New Roman" w:cs="Times New Roman"/>
        </w:rPr>
        <w:t>2017 con recursos administrados por un total d</w:t>
      </w:r>
      <w:r w:rsidR="00A3265E">
        <w:rPr>
          <w:rFonts w:ascii="Times New Roman" w:hAnsi="Times New Roman" w:cs="Times New Roman"/>
        </w:rPr>
        <w:t>e 11,9</w:t>
      </w:r>
      <w:r w:rsidR="00050D86" w:rsidRPr="002B039B">
        <w:rPr>
          <w:rFonts w:ascii="Times New Roman" w:hAnsi="Times New Roman" w:cs="Times New Roman"/>
        </w:rPr>
        <w:t xml:space="preserve"> billones de colones. Esto representa </w:t>
      </w:r>
      <w:r w:rsidR="00922D6B" w:rsidRPr="002B039B">
        <w:rPr>
          <w:rFonts w:ascii="Times New Roman" w:hAnsi="Times New Roman" w:cs="Times New Roman"/>
        </w:rPr>
        <w:t>un 9.33</w:t>
      </w:r>
      <w:r w:rsidR="00050D86" w:rsidRPr="002B039B">
        <w:rPr>
          <w:rFonts w:ascii="Times New Roman" w:hAnsi="Times New Roman" w:cs="Times New Roman"/>
        </w:rPr>
        <w:t xml:space="preserve">% más que el monto a diciembre </w:t>
      </w:r>
      <w:r w:rsidR="009622EA">
        <w:rPr>
          <w:rFonts w:ascii="Times New Roman" w:hAnsi="Times New Roman" w:cs="Times New Roman"/>
        </w:rPr>
        <w:t xml:space="preserve">de </w:t>
      </w:r>
      <w:r w:rsidR="00050D86" w:rsidRPr="002B039B">
        <w:rPr>
          <w:rFonts w:ascii="Times New Roman" w:hAnsi="Times New Roman" w:cs="Times New Roman"/>
        </w:rPr>
        <w:t xml:space="preserve">2016. </w:t>
      </w:r>
    </w:p>
    <w:p w14:paraId="735E5714" w14:textId="362DDD4C" w:rsidR="00467734" w:rsidRPr="002B039B" w:rsidRDefault="00467734" w:rsidP="00467734">
      <w:pPr>
        <w:pStyle w:val="Prrafodelista"/>
        <w:spacing w:after="0"/>
        <w:ind w:left="0"/>
        <w:jc w:val="both"/>
        <w:rPr>
          <w:rFonts w:ascii="Times New Roman" w:hAnsi="Times New Roman" w:cs="Times New Roman"/>
          <w:szCs w:val="24"/>
        </w:rPr>
      </w:pPr>
    </w:p>
    <w:p w14:paraId="6B0F7B56" w14:textId="120094A2" w:rsidR="00050D86" w:rsidRPr="00467734" w:rsidRDefault="00050D86" w:rsidP="0040090D">
      <w:pPr>
        <w:pStyle w:val="Prrafodelista"/>
        <w:numPr>
          <w:ilvl w:val="0"/>
          <w:numId w:val="4"/>
        </w:numPr>
        <w:spacing w:after="0"/>
        <w:ind w:left="0"/>
        <w:jc w:val="both"/>
        <w:rPr>
          <w:rFonts w:ascii="Times New Roman" w:hAnsi="Times New Roman" w:cs="Times New Roman"/>
          <w:szCs w:val="24"/>
        </w:rPr>
      </w:pPr>
      <w:r w:rsidRPr="002B039B">
        <w:rPr>
          <w:rFonts w:ascii="Times New Roman" w:hAnsi="Times New Roman" w:cs="Times New Roman"/>
        </w:rPr>
        <w:t>El monto total administrado corresponde al 36% de</w:t>
      </w:r>
      <w:r w:rsidR="00084993">
        <w:rPr>
          <w:rFonts w:ascii="Times New Roman" w:hAnsi="Times New Roman" w:cs="Times New Roman"/>
        </w:rPr>
        <w:t>l Producto Interno B</w:t>
      </w:r>
      <w:r w:rsidRPr="002B039B">
        <w:rPr>
          <w:rFonts w:ascii="Times New Roman" w:hAnsi="Times New Roman" w:cs="Times New Roman"/>
        </w:rPr>
        <w:t>r</w:t>
      </w:r>
      <w:r w:rsidR="00084993">
        <w:rPr>
          <w:rFonts w:ascii="Times New Roman" w:hAnsi="Times New Roman" w:cs="Times New Roman"/>
        </w:rPr>
        <w:t>uto a diciembre de</w:t>
      </w:r>
      <w:r w:rsidRPr="002B039B">
        <w:rPr>
          <w:rFonts w:ascii="Times New Roman" w:hAnsi="Times New Roman" w:cs="Times New Roman"/>
        </w:rPr>
        <w:t xml:space="preserve"> 2017. </w:t>
      </w:r>
      <w:r w:rsidRPr="002B039B">
        <w:rPr>
          <w:rFonts w:ascii="Times New Roman" w:hAnsi="Times New Roman" w:cs="Times New Roman"/>
          <w:szCs w:val="24"/>
        </w:rPr>
        <w:t>Se</w:t>
      </w:r>
      <w:r w:rsidRPr="002B039B">
        <w:rPr>
          <w:rFonts w:ascii="Times New Roman" w:hAnsi="Times New Roman" w:cs="Times New Roman"/>
        </w:rPr>
        <w:t xml:space="preserve"> debe tomar en consideración que el llamado Segundo Pilar</w:t>
      </w:r>
      <w:r w:rsidR="00084993">
        <w:rPr>
          <w:rFonts w:ascii="Times New Roman" w:hAnsi="Times New Roman" w:cs="Times New Roman"/>
        </w:rPr>
        <w:t>, compuesto por el ROP y fondos ocupacionales complementarios especiales,</w:t>
      </w:r>
      <w:r w:rsidRPr="002B039B">
        <w:rPr>
          <w:rFonts w:ascii="Times New Roman" w:hAnsi="Times New Roman" w:cs="Times New Roman"/>
        </w:rPr>
        <w:t xml:space="preserve"> representa el 18%</w:t>
      </w:r>
      <w:r w:rsidR="00084993">
        <w:rPr>
          <w:rFonts w:ascii="Times New Roman" w:hAnsi="Times New Roman" w:cs="Times New Roman"/>
        </w:rPr>
        <w:t xml:space="preserve"> del PIB, mientras los regímenes de</w:t>
      </w:r>
      <w:r w:rsidR="009622EA">
        <w:rPr>
          <w:rFonts w:ascii="Times New Roman" w:hAnsi="Times New Roman" w:cs="Times New Roman"/>
        </w:rPr>
        <w:t>l</w:t>
      </w:r>
      <w:r w:rsidR="00084993">
        <w:rPr>
          <w:rFonts w:ascii="Times New Roman" w:hAnsi="Times New Roman" w:cs="Times New Roman"/>
        </w:rPr>
        <w:t xml:space="preserve"> Primer Pilar administran</w:t>
      </w:r>
      <w:r w:rsidRPr="002B039B">
        <w:rPr>
          <w:rFonts w:ascii="Times New Roman" w:hAnsi="Times New Roman" w:cs="Times New Roman"/>
        </w:rPr>
        <w:t xml:space="preserve"> el 15,3%</w:t>
      </w:r>
      <w:r w:rsidR="00084993">
        <w:rPr>
          <w:rFonts w:ascii="Times New Roman" w:hAnsi="Times New Roman" w:cs="Times New Roman"/>
        </w:rPr>
        <w:t>.</w:t>
      </w:r>
      <w:r w:rsidR="00FA3143" w:rsidRPr="002B039B">
        <w:rPr>
          <w:rFonts w:ascii="Times New Roman" w:hAnsi="Times New Roman" w:cs="Times New Roman"/>
        </w:rPr>
        <w:t xml:space="preserve"> </w:t>
      </w:r>
    </w:p>
    <w:p w14:paraId="0CA0AAE6" w14:textId="17A42805" w:rsidR="00467734" w:rsidRPr="002B039B" w:rsidRDefault="00467734" w:rsidP="00467734">
      <w:pPr>
        <w:pStyle w:val="Prrafodelista"/>
        <w:spacing w:after="0"/>
        <w:ind w:left="0"/>
        <w:jc w:val="both"/>
        <w:rPr>
          <w:rFonts w:ascii="Times New Roman" w:hAnsi="Times New Roman" w:cs="Times New Roman"/>
          <w:szCs w:val="24"/>
        </w:rPr>
      </w:pPr>
    </w:p>
    <w:p w14:paraId="16DF03D7" w14:textId="6D6B510F" w:rsidR="00932BBF" w:rsidRPr="002B039B" w:rsidRDefault="00084993" w:rsidP="0040090D">
      <w:pPr>
        <w:pStyle w:val="Prrafodelista"/>
        <w:numPr>
          <w:ilvl w:val="0"/>
          <w:numId w:val="4"/>
        </w:numPr>
        <w:spacing w:after="0"/>
        <w:ind w:left="0"/>
        <w:jc w:val="both"/>
        <w:rPr>
          <w:rFonts w:ascii="Times New Roman" w:hAnsi="Times New Roman" w:cs="Times New Roman"/>
          <w:szCs w:val="24"/>
        </w:rPr>
      </w:pPr>
      <w:r>
        <w:rPr>
          <w:rFonts w:ascii="Times New Roman" w:hAnsi="Times New Roman" w:cs="Times New Roman"/>
        </w:rPr>
        <w:t xml:space="preserve">Al finalizar el 2017 </w:t>
      </w:r>
      <w:r w:rsidR="00932BBF" w:rsidRPr="002B039B">
        <w:rPr>
          <w:rFonts w:ascii="Times New Roman" w:hAnsi="Times New Roman" w:cs="Times New Roman"/>
        </w:rPr>
        <w:t xml:space="preserve">los cuatro regímenes básicos (Invalidez, Vejez y Muerte, Poder Judicial, Magisterio </w:t>
      </w:r>
      <w:r w:rsidR="009622EA">
        <w:rPr>
          <w:rFonts w:ascii="Times New Roman" w:hAnsi="Times New Roman" w:cs="Times New Roman"/>
        </w:rPr>
        <w:t xml:space="preserve">Nacional </w:t>
      </w:r>
      <w:r w:rsidR="00932BBF" w:rsidRPr="002B039B">
        <w:rPr>
          <w:rFonts w:ascii="Times New Roman" w:hAnsi="Times New Roman" w:cs="Times New Roman"/>
        </w:rPr>
        <w:t xml:space="preserve">y Bomberos) </w:t>
      </w:r>
      <w:r w:rsidR="00334512" w:rsidRPr="002B039B">
        <w:rPr>
          <w:rFonts w:ascii="Times New Roman" w:hAnsi="Times New Roman" w:cs="Times New Roman"/>
        </w:rPr>
        <w:t>administran</w:t>
      </w:r>
      <w:r w:rsidR="00FA3143" w:rsidRPr="002B039B">
        <w:rPr>
          <w:rFonts w:ascii="Times New Roman" w:hAnsi="Times New Roman" w:cs="Times New Roman"/>
        </w:rPr>
        <w:t xml:space="preserve"> 5,</w:t>
      </w:r>
      <w:r w:rsidR="005737DC" w:rsidRPr="002B039B">
        <w:rPr>
          <w:rFonts w:ascii="Times New Roman" w:hAnsi="Times New Roman" w:cs="Times New Roman"/>
        </w:rPr>
        <w:t>1</w:t>
      </w:r>
      <w:r w:rsidR="00932BBF" w:rsidRPr="002B039B">
        <w:rPr>
          <w:rFonts w:ascii="Times New Roman" w:hAnsi="Times New Roman" w:cs="Times New Roman"/>
        </w:rPr>
        <w:t xml:space="preserve"> billones de colones.</w:t>
      </w:r>
      <w:r w:rsidR="00647689" w:rsidRPr="002B039B">
        <w:rPr>
          <w:rFonts w:ascii="Times New Roman" w:hAnsi="Times New Roman" w:cs="Times New Roman"/>
        </w:rPr>
        <w:t xml:space="preserve"> </w:t>
      </w:r>
      <w:r>
        <w:rPr>
          <w:rFonts w:ascii="Times New Roman" w:hAnsi="Times New Roman" w:cs="Times New Roman"/>
        </w:rPr>
        <w:t xml:space="preserve">Por su parte, el régimen complementario más importante </w:t>
      </w:r>
      <w:r w:rsidR="007415F2" w:rsidRPr="002B039B">
        <w:rPr>
          <w:rFonts w:ascii="Times New Roman" w:hAnsi="Times New Roman" w:cs="Times New Roman"/>
        </w:rPr>
        <w:t xml:space="preserve">administra </w:t>
      </w:r>
      <w:r w:rsidR="00FA3143" w:rsidRPr="002B039B">
        <w:rPr>
          <w:rFonts w:ascii="Times New Roman" w:hAnsi="Times New Roman" w:cs="Times New Roman"/>
        </w:rPr>
        <w:t>5,</w:t>
      </w:r>
      <w:r w:rsidR="00922D6B" w:rsidRPr="002B039B">
        <w:rPr>
          <w:rFonts w:ascii="Times New Roman" w:hAnsi="Times New Roman" w:cs="Times New Roman"/>
        </w:rPr>
        <w:t>8</w:t>
      </w:r>
      <w:r w:rsidR="009622EA">
        <w:rPr>
          <w:rFonts w:ascii="Times New Roman" w:hAnsi="Times New Roman" w:cs="Times New Roman"/>
        </w:rPr>
        <w:t xml:space="preserve"> </w:t>
      </w:r>
      <w:r w:rsidR="00FA3143" w:rsidRPr="002B039B">
        <w:rPr>
          <w:rFonts w:ascii="Times New Roman" w:hAnsi="Times New Roman" w:cs="Times New Roman"/>
        </w:rPr>
        <w:t>billones</w:t>
      </w:r>
      <w:r w:rsidR="00EA5616" w:rsidRPr="002B039B">
        <w:rPr>
          <w:rFonts w:ascii="Times New Roman" w:hAnsi="Times New Roman" w:cs="Times New Roman"/>
        </w:rPr>
        <w:t>.</w:t>
      </w:r>
    </w:p>
    <w:p w14:paraId="510376C5" w14:textId="77777777" w:rsidR="00932BBF" w:rsidRPr="002B039B" w:rsidRDefault="00932BBF" w:rsidP="0040090D">
      <w:pPr>
        <w:pStyle w:val="Prrafodelista"/>
        <w:tabs>
          <w:tab w:val="left" w:pos="1056"/>
        </w:tabs>
        <w:spacing w:after="0"/>
        <w:ind w:left="0"/>
        <w:jc w:val="both"/>
        <w:rPr>
          <w:rFonts w:ascii="Times New Roman" w:hAnsi="Times New Roman" w:cs="Times New Roman"/>
          <w:szCs w:val="24"/>
        </w:rPr>
      </w:pPr>
    </w:p>
    <w:p w14:paraId="582E1BB6" w14:textId="39796C5A" w:rsidR="00341A75" w:rsidRPr="001813D4" w:rsidRDefault="00341A75" w:rsidP="0040090D">
      <w:pPr>
        <w:pStyle w:val="Prrafodelista"/>
        <w:tabs>
          <w:tab w:val="left" w:pos="1056"/>
        </w:tabs>
        <w:spacing w:after="0"/>
        <w:ind w:left="0"/>
        <w:jc w:val="center"/>
        <w:rPr>
          <w:rFonts w:ascii="Times New Roman" w:hAnsi="Times New Roman" w:cs="Times New Roman"/>
          <w:b/>
        </w:rPr>
      </w:pPr>
      <w:r w:rsidRPr="001813D4">
        <w:rPr>
          <w:rFonts w:ascii="Times New Roman" w:hAnsi="Times New Roman" w:cs="Times New Roman"/>
          <w:b/>
        </w:rPr>
        <w:t>Cuadro 1</w:t>
      </w:r>
    </w:p>
    <w:p w14:paraId="06BF3676" w14:textId="6D6B1531" w:rsidR="002E63DD" w:rsidRPr="001813D4" w:rsidRDefault="00341A75" w:rsidP="0040090D">
      <w:pPr>
        <w:pStyle w:val="Prrafodelista"/>
        <w:tabs>
          <w:tab w:val="left" w:pos="1056"/>
        </w:tabs>
        <w:spacing w:after="0"/>
        <w:ind w:left="0"/>
        <w:jc w:val="center"/>
        <w:rPr>
          <w:rFonts w:ascii="Times New Roman" w:hAnsi="Times New Roman" w:cs="Times New Roman"/>
          <w:b/>
        </w:rPr>
      </w:pPr>
      <w:r w:rsidRPr="001813D4">
        <w:rPr>
          <w:rFonts w:ascii="Times New Roman" w:hAnsi="Times New Roman" w:cs="Times New Roman"/>
          <w:b/>
        </w:rPr>
        <w:t xml:space="preserve">Sistema </w:t>
      </w:r>
      <w:r w:rsidR="003926AC" w:rsidRPr="001813D4">
        <w:rPr>
          <w:rFonts w:ascii="Times New Roman" w:hAnsi="Times New Roman" w:cs="Times New Roman"/>
          <w:b/>
        </w:rPr>
        <w:t>Nacional</w:t>
      </w:r>
      <w:r w:rsidRPr="001813D4">
        <w:rPr>
          <w:rFonts w:ascii="Times New Roman" w:hAnsi="Times New Roman" w:cs="Times New Roman"/>
          <w:b/>
        </w:rPr>
        <w:t xml:space="preserve"> de Pensiones y </w:t>
      </w:r>
      <w:r w:rsidR="00460610" w:rsidRPr="001813D4">
        <w:rPr>
          <w:rFonts w:ascii="Times New Roman" w:hAnsi="Times New Roman" w:cs="Times New Roman"/>
          <w:b/>
        </w:rPr>
        <w:t xml:space="preserve">Fondo de </w:t>
      </w:r>
      <w:r w:rsidRPr="001813D4">
        <w:rPr>
          <w:rFonts w:ascii="Times New Roman" w:hAnsi="Times New Roman" w:cs="Times New Roman"/>
          <w:b/>
        </w:rPr>
        <w:t>Capitalización Laboral</w:t>
      </w:r>
    </w:p>
    <w:p w14:paraId="5F71442C" w14:textId="31C2E34A" w:rsidR="00341A75" w:rsidRPr="001813D4" w:rsidRDefault="00341A75" w:rsidP="0040090D">
      <w:pPr>
        <w:pStyle w:val="Prrafodelista"/>
        <w:tabs>
          <w:tab w:val="left" w:pos="1056"/>
        </w:tabs>
        <w:spacing w:after="0"/>
        <w:ind w:left="0"/>
        <w:jc w:val="center"/>
        <w:rPr>
          <w:rFonts w:ascii="Times New Roman" w:hAnsi="Times New Roman" w:cs="Times New Roman"/>
          <w:b/>
        </w:rPr>
      </w:pPr>
      <w:r w:rsidRPr="001813D4">
        <w:rPr>
          <w:rFonts w:ascii="Times New Roman" w:hAnsi="Times New Roman" w:cs="Times New Roman"/>
          <w:b/>
        </w:rPr>
        <w:t xml:space="preserve">Activos por </w:t>
      </w:r>
      <w:r w:rsidR="008528F3" w:rsidRPr="001813D4">
        <w:rPr>
          <w:rFonts w:ascii="Times New Roman" w:hAnsi="Times New Roman" w:cs="Times New Roman"/>
          <w:b/>
        </w:rPr>
        <w:t>Pilar</w:t>
      </w:r>
    </w:p>
    <w:tbl>
      <w:tblPr>
        <w:tblW w:w="7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701"/>
        <w:gridCol w:w="1701"/>
        <w:gridCol w:w="1276"/>
      </w:tblGrid>
      <w:tr w:rsidR="008528F3" w:rsidRPr="002B039B" w14:paraId="1F77117A" w14:textId="10093679" w:rsidTr="008528F3">
        <w:trPr>
          <w:trHeight w:val="300"/>
          <w:jc w:val="center"/>
        </w:trPr>
        <w:tc>
          <w:tcPr>
            <w:tcW w:w="3256" w:type="dxa"/>
            <w:shd w:val="clear" w:color="auto" w:fill="auto"/>
            <w:noWrap/>
            <w:vAlign w:val="center"/>
            <w:hideMark/>
          </w:tcPr>
          <w:p w14:paraId="2CA5A24D" w14:textId="74F7FE50" w:rsidR="008528F3" w:rsidRPr="00467734" w:rsidRDefault="008528F3" w:rsidP="0040090D">
            <w:pPr>
              <w:spacing w:after="0" w:line="240" w:lineRule="auto"/>
              <w:jc w:val="center"/>
              <w:rPr>
                <w:rFonts w:ascii="Times New Roman" w:eastAsia="Times New Roman" w:hAnsi="Times New Roman" w:cs="Times New Roman"/>
                <w:b/>
                <w:sz w:val="24"/>
                <w:szCs w:val="24"/>
                <w:lang w:val="es-CR" w:eastAsia="es-CR"/>
              </w:rPr>
            </w:pPr>
            <w:r w:rsidRPr="00467734">
              <w:rPr>
                <w:rFonts w:ascii="Times New Roman" w:eastAsia="Times New Roman" w:hAnsi="Times New Roman" w:cs="Times New Roman"/>
                <w:b/>
                <w:sz w:val="24"/>
                <w:szCs w:val="24"/>
                <w:lang w:val="es-CR" w:eastAsia="es-CR"/>
              </w:rPr>
              <w:t>Pilares</w:t>
            </w:r>
          </w:p>
        </w:tc>
        <w:tc>
          <w:tcPr>
            <w:tcW w:w="1701" w:type="dxa"/>
            <w:shd w:val="clear" w:color="auto" w:fill="auto"/>
            <w:noWrap/>
            <w:vAlign w:val="center"/>
            <w:hideMark/>
          </w:tcPr>
          <w:p w14:paraId="7DB2946E" w14:textId="519B076D" w:rsidR="008528F3" w:rsidRPr="00467734" w:rsidRDefault="00EA5616" w:rsidP="0040090D">
            <w:pPr>
              <w:spacing w:after="0" w:line="240" w:lineRule="auto"/>
              <w:jc w:val="center"/>
              <w:rPr>
                <w:rFonts w:ascii="Times New Roman" w:eastAsia="Times New Roman" w:hAnsi="Times New Roman" w:cs="Times New Roman"/>
                <w:b/>
                <w:lang w:val="es-CR" w:eastAsia="es-CR"/>
              </w:rPr>
            </w:pPr>
            <w:r w:rsidRPr="00467734">
              <w:rPr>
                <w:rFonts w:ascii="Times New Roman" w:eastAsia="Times New Roman" w:hAnsi="Times New Roman" w:cs="Times New Roman"/>
                <w:b/>
                <w:lang w:val="es-CR" w:eastAsia="es-CR"/>
              </w:rPr>
              <w:t>Dic</w:t>
            </w:r>
            <w:r w:rsidR="009622EA">
              <w:rPr>
                <w:rFonts w:ascii="Times New Roman" w:eastAsia="Times New Roman" w:hAnsi="Times New Roman" w:cs="Times New Roman"/>
                <w:b/>
                <w:lang w:val="es-CR" w:eastAsia="es-CR"/>
              </w:rPr>
              <w:t>iembre</w:t>
            </w:r>
            <w:r w:rsidR="008528F3" w:rsidRPr="00467734">
              <w:rPr>
                <w:rFonts w:ascii="Times New Roman" w:eastAsia="Times New Roman" w:hAnsi="Times New Roman" w:cs="Times New Roman"/>
                <w:b/>
                <w:lang w:val="es-CR" w:eastAsia="es-CR"/>
              </w:rPr>
              <w:t xml:space="preserve"> 2016</w:t>
            </w:r>
          </w:p>
          <w:p w14:paraId="21F4AB3D" w14:textId="77777777" w:rsidR="009622EA" w:rsidRDefault="008528F3" w:rsidP="0040090D">
            <w:pPr>
              <w:spacing w:after="0" w:line="240" w:lineRule="auto"/>
              <w:jc w:val="center"/>
              <w:rPr>
                <w:rFonts w:ascii="Times New Roman" w:eastAsia="Times New Roman" w:hAnsi="Times New Roman" w:cs="Times New Roman"/>
                <w:b/>
                <w:lang w:val="es-CR" w:eastAsia="es-CR"/>
              </w:rPr>
            </w:pPr>
            <w:r w:rsidRPr="00467734">
              <w:rPr>
                <w:rFonts w:ascii="Times New Roman" w:eastAsia="Times New Roman" w:hAnsi="Times New Roman" w:cs="Times New Roman"/>
                <w:b/>
                <w:lang w:val="es-CR" w:eastAsia="es-CR"/>
              </w:rPr>
              <w:t xml:space="preserve">(billones de </w:t>
            </w:r>
          </w:p>
          <w:p w14:paraId="6950290E" w14:textId="5F9994F7" w:rsidR="008528F3" w:rsidRPr="00467734" w:rsidRDefault="008528F3" w:rsidP="0040090D">
            <w:pPr>
              <w:spacing w:after="0" w:line="240" w:lineRule="auto"/>
              <w:jc w:val="center"/>
              <w:rPr>
                <w:rFonts w:ascii="Times New Roman" w:eastAsia="Times New Roman" w:hAnsi="Times New Roman" w:cs="Times New Roman"/>
                <w:b/>
                <w:lang w:val="es-CR" w:eastAsia="es-CR"/>
              </w:rPr>
            </w:pPr>
            <w:r w:rsidRPr="00467734">
              <w:rPr>
                <w:rFonts w:ascii="Times New Roman" w:eastAsia="Times New Roman" w:hAnsi="Times New Roman" w:cs="Times New Roman"/>
                <w:b/>
                <w:lang w:val="es-CR" w:eastAsia="es-CR"/>
              </w:rPr>
              <w:t>col</w:t>
            </w:r>
            <w:r w:rsidR="009622EA">
              <w:rPr>
                <w:rFonts w:ascii="Times New Roman" w:eastAsia="Times New Roman" w:hAnsi="Times New Roman" w:cs="Times New Roman"/>
                <w:b/>
                <w:lang w:val="es-CR" w:eastAsia="es-CR"/>
              </w:rPr>
              <w:t>ones</w:t>
            </w:r>
            <w:r w:rsidRPr="00467734">
              <w:rPr>
                <w:rFonts w:ascii="Times New Roman" w:eastAsia="Times New Roman" w:hAnsi="Times New Roman" w:cs="Times New Roman"/>
                <w:b/>
                <w:lang w:val="es-CR" w:eastAsia="es-CR"/>
              </w:rPr>
              <w:t>)</w:t>
            </w:r>
          </w:p>
        </w:tc>
        <w:tc>
          <w:tcPr>
            <w:tcW w:w="1701" w:type="dxa"/>
            <w:shd w:val="clear" w:color="auto" w:fill="auto"/>
            <w:noWrap/>
            <w:vAlign w:val="center"/>
            <w:hideMark/>
          </w:tcPr>
          <w:p w14:paraId="2DC30DEF" w14:textId="1D754F88" w:rsidR="008528F3" w:rsidRPr="00467734" w:rsidRDefault="00EA5616" w:rsidP="0040090D">
            <w:pPr>
              <w:spacing w:after="0" w:line="240" w:lineRule="auto"/>
              <w:jc w:val="center"/>
              <w:rPr>
                <w:rFonts w:ascii="Times New Roman" w:eastAsia="Times New Roman" w:hAnsi="Times New Roman" w:cs="Times New Roman"/>
                <w:b/>
                <w:lang w:val="es-CR" w:eastAsia="es-CR"/>
              </w:rPr>
            </w:pPr>
            <w:r w:rsidRPr="00467734">
              <w:rPr>
                <w:rFonts w:ascii="Times New Roman" w:eastAsia="Times New Roman" w:hAnsi="Times New Roman" w:cs="Times New Roman"/>
                <w:b/>
                <w:lang w:val="es-CR" w:eastAsia="es-CR"/>
              </w:rPr>
              <w:t>Dic</w:t>
            </w:r>
            <w:r w:rsidR="009622EA">
              <w:rPr>
                <w:rFonts w:ascii="Times New Roman" w:eastAsia="Times New Roman" w:hAnsi="Times New Roman" w:cs="Times New Roman"/>
                <w:b/>
                <w:lang w:val="es-CR" w:eastAsia="es-CR"/>
              </w:rPr>
              <w:t>iembre</w:t>
            </w:r>
            <w:r w:rsidR="008528F3" w:rsidRPr="00467734">
              <w:rPr>
                <w:rFonts w:ascii="Times New Roman" w:eastAsia="Times New Roman" w:hAnsi="Times New Roman" w:cs="Times New Roman"/>
                <w:b/>
                <w:lang w:val="es-CR" w:eastAsia="es-CR"/>
              </w:rPr>
              <w:t xml:space="preserve"> 2017</w:t>
            </w:r>
          </w:p>
          <w:p w14:paraId="637D0D9E" w14:textId="77777777" w:rsidR="009622EA" w:rsidRDefault="008528F3" w:rsidP="0040090D">
            <w:pPr>
              <w:spacing w:after="0" w:line="240" w:lineRule="auto"/>
              <w:jc w:val="center"/>
              <w:rPr>
                <w:rFonts w:ascii="Times New Roman" w:eastAsia="Times New Roman" w:hAnsi="Times New Roman" w:cs="Times New Roman"/>
                <w:b/>
                <w:lang w:val="es-CR" w:eastAsia="es-CR"/>
              </w:rPr>
            </w:pPr>
            <w:r w:rsidRPr="00467734">
              <w:rPr>
                <w:rFonts w:ascii="Times New Roman" w:eastAsia="Times New Roman" w:hAnsi="Times New Roman" w:cs="Times New Roman"/>
                <w:b/>
                <w:lang w:val="es-CR" w:eastAsia="es-CR"/>
              </w:rPr>
              <w:t xml:space="preserve">(billones de </w:t>
            </w:r>
          </w:p>
          <w:p w14:paraId="4343EA0F" w14:textId="679BEA6C" w:rsidR="008528F3" w:rsidRPr="00467734" w:rsidRDefault="008528F3" w:rsidP="0040090D">
            <w:pPr>
              <w:spacing w:after="0" w:line="240" w:lineRule="auto"/>
              <w:jc w:val="center"/>
              <w:rPr>
                <w:rFonts w:ascii="Times New Roman" w:eastAsia="Times New Roman" w:hAnsi="Times New Roman" w:cs="Times New Roman"/>
                <w:b/>
                <w:lang w:val="es-CR" w:eastAsia="es-CR"/>
              </w:rPr>
            </w:pPr>
            <w:r w:rsidRPr="00467734">
              <w:rPr>
                <w:rFonts w:ascii="Times New Roman" w:eastAsia="Times New Roman" w:hAnsi="Times New Roman" w:cs="Times New Roman"/>
                <w:b/>
                <w:lang w:val="es-CR" w:eastAsia="es-CR"/>
              </w:rPr>
              <w:t>col</w:t>
            </w:r>
            <w:r w:rsidR="009622EA">
              <w:rPr>
                <w:rFonts w:ascii="Times New Roman" w:eastAsia="Times New Roman" w:hAnsi="Times New Roman" w:cs="Times New Roman"/>
                <w:b/>
                <w:lang w:val="es-CR" w:eastAsia="es-CR"/>
              </w:rPr>
              <w:t>ones</w:t>
            </w:r>
            <w:r w:rsidRPr="00467734">
              <w:rPr>
                <w:rFonts w:ascii="Times New Roman" w:eastAsia="Times New Roman" w:hAnsi="Times New Roman" w:cs="Times New Roman"/>
                <w:b/>
                <w:lang w:val="es-CR" w:eastAsia="es-CR"/>
              </w:rPr>
              <w:t>)</w:t>
            </w:r>
          </w:p>
        </w:tc>
        <w:tc>
          <w:tcPr>
            <w:tcW w:w="1276" w:type="dxa"/>
            <w:vAlign w:val="center"/>
          </w:tcPr>
          <w:p w14:paraId="4C7B71DC" w14:textId="46B7AD2D" w:rsidR="008528F3" w:rsidRPr="00467734" w:rsidRDefault="008528F3" w:rsidP="0040090D">
            <w:pPr>
              <w:spacing w:after="0" w:line="240" w:lineRule="auto"/>
              <w:jc w:val="center"/>
              <w:rPr>
                <w:rFonts w:ascii="Times New Roman" w:eastAsia="Times New Roman" w:hAnsi="Times New Roman" w:cs="Times New Roman"/>
                <w:b/>
                <w:lang w:val="es-CR" w:eastAsia="es-CR"/>
              </w:rPr>
            </w:pPr>
            <w:r w:rsidRPr="00467734">
              <w:rPr>
                <w:rFonts w:ascii="Times New Roman" w:eastAsia="Times New Roman" w:hAnsi="Times New Roman" w:cs="Times New Roman"/>
                <w:b/>
                <w:lang w:val="es-CR" w:eastAsia="es-CR"/>
              </w:rPr>
              <w:t>Variación (%)</w:t>
            </w:r>
          </w:p>
        </w:tc>
      </w:tr>
      <w:tr w:rsidR="008528F3" w:rsidRPr="002B039B" w14:paraId="567E26C6" w14:textId="59FFA082" w:rsidTr="008528F3">
        <w:trPr>
          <w:trHeight w:val="300"/>
          <w:jc w:val="center"/>
        </w:trPr>
        <w:tc>
          <w:tcPr>
            <w:tcW w:w="3256" w:type="dxa"/>
            <w:shd w:val="clear" w:color="auto" w:fill="auto"/>
            <w:noWrap/>
            <w:vAlign w:val="bottom"/>
          </w:tcPr>
          <w:p w14:paraId="35E6287F" w14:textId="79FFDB87" w:rsidR="008528F3" w:rsidRPr="002B039B" w:rsidRDefault="008528F3" w:rsidP="00473A10">
            <w:pPr>
              <w:spacing w:after="0" w:line="240" w:lineRule="auto"/>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Primer Pilar</w:t>
            </w:r>
          </w:p>
        </w:tc>
        <w:tc>
          <w:tcPr>
            <w:tcW w:w="1701" w:type="dxa"/>
            <w:shd w:val="clear" w:color="auto" w:fill="auto"/>
            <w:noWrap/>
            <w:vAlign w:val="bottom"/>
          </w:tcPr>
          <w:p w14:paraId="59AC6C4C" w14:textId="4F047A7A" w:rsidR="008528F3" w:rsidRPr="002B039B" w:rsidRDefault="005737DC" w:rsidP="0040090D">
            <w:pPr>
              <w:spacing w:after="0" w:line="240" w:lineRule="auto"/>
              <w:jc w:val="center"/>
              <w:rPr>
                <w:rFonts w:ascii="Times New Roman" w:eastAsia="Times New Roman" w:hAnsi="Times New Roman" w:cs="Times New Roman"/>
                <w:sz w:val="24"/>
                <w:szCs w:val="24"/>
                <w:lang w:val="es-CR" w:eastAsia="es-CR"/>
              </w:rPr>
            </w:pPr>
            <w:r w:rsidRPr="002B039B">
              <w:rPr>
                <w:rFonts w:ascii="Times New Roman" w:eastAsia="Times New Roman" w:hAnsi="Times New Roman" w:cs="Times New Roman"/>
                <w:sz w:val="24"/>
                <w:szCs w:val="24"/>
                <w:lang w:val="es-CR" w:eastAsia="es-CR"/>
              </w:rPr>
              <w:t>4,8</w:t>
            </w:r>
          </w:p>
        </w:tc>
        <w:tc>
          <w:tcPr>
            <w:tcW w:w="1701" w:type="dxa"/>
            <w:shd w:val="clear" w:color="auto" w:fill="auto"/>
            <w:noWrap/>
            <w:vAlign w:val="bottom"/>
          </w:tcPr>
          <w:p w14:paraId="46C3897C" w14:textId="782D3795" w:rsidR="008528F3" w:rsidRPr="002B039B" w:rsidRDefault="00EA5616" w:rsidP="0040090D">
            <w:pPr>
              <w:spacing w:after="0" w:line="240" w:lineRule="auto"/>
              <w:jc w:val="center"/>
              <w:rPr>
                <w:rFonts w:ascii="Times New Roman" w:eastAsia="Times New Roman" w:hAnsi="Times New Roman" w:cs="Times New Roman"/>
                <w:sz w:val="24"/>
                <w:szCs w:val="24"/>
                <w:lang w:val="es-CR" w:eastAsia="es-CR"/>
              </w:rPr>
            </w:pPr>
            <w:r w:rsidRPr="002B039B">
              <w:rPr>
                <w:rFonts w:ascii="Times New Roman" w:eastAsia="Times New Roman" w:hAnsi="Times New Roman" w:cs="Times New Roman"/>
                <w:sz w:val="24"/>
                <w:szCs w:val="24"/>
                <w:lang w:val="es-CR" w:eastAsia="es-CR"/>
              </w:rPr>
              <w:t>5</w:t>
            </w:r>
            <w:r w:rsidR="005737DC" w:rsidRPr="002B039B">
              <w:rPr>
                <w:rFonts w:ascii="Times New Roman" w:eastAsia="Times New Roman" w:hAnsi="Times New Roman" w:cs="Times New Roman"/>
                <w:sz w:val="24"/>
                <w:szCs w:val="24"/>
                <w:lang w:val="es-CR" w:eastAsia="es-CR"/>
              </w:rPr>
              <w:t>,1</w:t>
            </w:r>
          </w:p>
        </w:tc>
        <w:tc>
          <w:tcPr>
            <w:tcW w:w="1276" w:type="dxa"/>
          </w:tcPr>
          <w:p w14:paraId="3EBD8A92" w14:textId="31F8305B" w:rsidR="008528F3" w:rsidRPr="002B039B" w:rsidRDefault="000102FC" w:rsidP="0040090D">
            <w:pPr>
              <w:spacing w:after="0" w:line="240" w:lineRule="auto"/>
              <w:jc w:val="center"/>
              <w:rPr>
                <w:rFonts w:ascii="Times New Roman" w:eastAsia="Times New Roman" w:hAnsi="Times New Roman" w:cs="Times New Roman"/>
                <w:sz w:val="24"/>
                <w:szCs w:val="24"/>
                <w:lang w:val="es-CR" w:eastAsia="es-CR"/>
              </w:rPr>
            </w:pPr>
            <w:r w:rsidRPr="002B039B">
              <w:rPr>
                <w:rFonts w:ascii="Times New Roman" w:eastAsia="Times New Roman" w:hAnsi="Times New Roman" w:cs="Times New Roman"/>
                <w:sz w:val="24"/>
                <w:szCs w:val="24"/>
                <w:lang w:val="es-CR" w:eastAsia="es-CR"/>
              </w:rPr>
              <w:t>6,2</w:t>
            </w:r>
            <w:r w:rsidR="005737DC" w:rsidRPr="002B039B">
              <w:rPr>
                <w:rFonts w:ascii="Times New Roman" w:eastAsia="Times New Roman" w:hAnsi="Times New Roman" w:cs="Times New Roman"/>
                <w:sz w:val="24"/>
                <w:szCs w:val="24"/>
                <w:lang w:val="es-CR" w:eastAsia="es-CR"/>
              </w:rPr>
              <w:t>%</w:t>
            </w:r>
          </w:p>
        </w:tc>
      </w:tr>
      <w:tr w:rsidR="008528F3" w:rsidRPr="002B039B" w14:paraId="397DD7EB" w14:textId="0EE6B721" w:rsidTr="008528F3">
        <w:trPr>
          <w:trHeight w:val="300"/>
          <w:jc w:val="center"/>
        </w:trPr>
        <w:tc>
          <w:tcPr>
            <w:tcW w:w="3256" w:type="dxa"/>
            <w:shd w:val="clear" w:color="auto" w:fill="auto"/>
            <w:noWrap/>
            <w:vAlign w:val="bottom"/>
          </w:tcPr>
          <w:p w14:paraId="3223A48E" w14:textId="728B720F" w:rsidR="008528F3" w:rsidRPr="002B039B" w:rsidRDefault="008528F3" w:rsidP="00473A10">
            <w:pPr>
              <w:spacing w:after="0" w:line="240" w:lineRule="auto"/>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Segundo Pilar</w:t>
            </w:r>
          </w:p>
        </w:tc>
        <w:tc>
          <w:tcPr>
            <w:tcW w:w="1701" w:type="dxa"/>
            <w:shd w:val="clear" w:color="auto" w:fill="auto"/>
            <w:noWrap/>
            <w:vAlign w:val="bottom"/>
          </w:tcPr>
          <w:p w14:paraId="1C6CA817" w14:textId="4831FB1A" w:rsidR="008528F3" w:rsidRPr="002B039B" w:rsidRDefault="005737DC" w:rsidP="0040090D">
            <w:pPr>
              <w:spacing w:after="0" w:line="240" w:lineRule="auto"/>
              <w:jc w:val="center"/>
              <w:rPr>
                <w:rFonts w:ascii="Times New Roman" w:eastAsia="Times New Roman" w:hAnsi="Times New Roman" w:cs="Times New Roman"/>
                <w:sz w:val="24"/>
                <w:szCs w:val="24"/>
                <w:lang w:val="es-CR" w:eastAsia="es-CR"/>
              </w:rPr>
            </w:pPr>
            <w:r w:rsidRPr="002B039B">
              <w:rPr>
                <w:rFonts w:ascii="Times New Roman" w:eastAsia="Times New Roman" w:hAnsi="Times New Roman" w:cs="Times New Roman"/>
                <w:sz w:val="24"/>
                <w:szCs w:val="24"/>
                <w:lang w:val="es-CR" w:eastAsia="es-CR"/>
              </w:rPr>
              <w:t>5,2</w:t>
            </w:r>
          </w:p>
        </w:tc>
        <w:tc>
          <w:tcPr>
            <w:tcW w:w="1701" w:type="dxa"/>
            <w:shd w:val="clear" w:color="auto" w:fill="auto"/>
            <w:noWrap/>
            <w:vAlign w:val="bottom"/>
          </w:tcPr>
          <w:p w14:paraId="0F793F4B" w14:textId="60FFA910" w:rsidR="008528F3" w:rsidRPr="002B039B" w:rsidRDefault="00EA5616" w:rsidP="0040090D">
            <w:pPr>
              <w:spacing w:after="0" w:line="240" w:lineRule="auto"/>
              <w:jc w:val="center"/>
              <w:rPr>
                <w:rFonts w:ascii="Times New Roman" w:eastAsia="Times New Roman" w:hAnsi="Times New Roman" w:cs="Times New Roman"/>
                <w:sz w:val="24"/>
                <w:szCs w:val="24"/>
                <w:lang w:val="es-CR" w:eastAsia="es-CR"/>
              </w:rPr>
            </w:pPr>
            <w:r w:rsidRPr="002B039B">
              <w:rPr>
                <w:rFonts w:ascii="Times New Roman" w:eastAsia="Times New Roman" w:hAnsi="Times New Roman" w:cs="Times New Roman"/>
                <w:sz w:val="24"/>
                <w:szCs w:val="24"/>
                <w:lang w:val="es-CR" w:eastAsia="es-CR"/>
              </w:rPr>
              <w:t>5</w:t>
            </w:r>
            <w:r w:rsidR="005737DC" w:rsidRPr="002B039B">
              <w:rPr>
                <w:rFonts w:ascii="Times New Roman" w:eastAsia="Times New Roman" w:hAnsi="Times New Roman" w:cs="Times New Roman"/>
                <w:sz w:val="24"/>
                <w:szCs w:val="24"/>
                <w:lang w:val="es-CR" w:eastAsia="es-CR"/>
              </w:rPr>
              <w:t>,</w:t>
            </w:r>
            <w:r w:rsidRPr="002B039B">
              <w:rPr>
                <w:rFonts w:ascii="Times New Roman" w:eastAsia="Times New Roman" w:hAnsi="Times New Roman" w:cs="Times New Roman"/>
                <w:sz w:val="24"/>
                <w:szCs w:val="24"/>
                <w:lang w:val="es-CR" w:eastAsia="es-CR"/>
              </w:rPr>
              <w:t>9</w:t>
            </w:r>
          </w:p>
        </w:tc>
        <w:tc>
          <w:tcPr>
            <w:tcW w:w="1276" w:type="dxa"/>
          </w:tcPr>
          <w:p w14:paraId="440C2B7B" w14:textId="432C34E4" w:rsidR="008528F3" w:rsidRPr="002B039B" w:rsidRDefault="000102FC" w:rsidP="0040090D">
            <w:pPr>
              <w:spacing w:after="0" w:line="240" w:lineRule="auto"/>
              <w:jc w:val="center"/>
              <w:rPr>
                <w:rFonts w:ascii="Times New Roman" w:eastAsia="Times New Roman" w:hAnsi="Times New Roman" w:cs="Times New Roman"/>
                <w:sz w:val="24"/>
                <w:szCs w:val="24"/>
                <w:lang w:val="es-CR" w:eastAsia="es-CR"/>
              </w:rPr>
            </w:pPr>
            <w:r w:rsidRPr="002B039B">
              <w:rPr>
                <w:rFonts w:ascii="Times New Roman" w:eastAsia="Times New Roman" w:hAnsi="Times New Roman" w:cs="Times New Roman"/>
                <w:sz w:val="24"/>
                <w:szCs w:val="24"/>
                <w:lang w:val="es-CR" w:eastAsia="es-CR"/>
              </w:rPr>
              <w:t>13,5</w:t>
            </w:r>
          </w:p>
        </w:tc>
      </w:tr>
      <w:tr w:rsidR="008528F3" w:rsidRPr="002B039B" w14:paraId="3229C673" w14:textId="5EADE3BB" w:rsidTr="008528F3">
        <w:trPr>
          <w:trHeight w:val="300"/>
          <w:jc w:val="center"/>
        </w:trPr>
        <w:tc>
          <w:tcPr>
            <w:tcW w:w="3256" w:type="dxa"/>
            <w:shd w:val="clear" w:color="auto" w:fill="auto"/>
            <w:noWrap/>
            <w:vAlign w:val="bottom"/>
          </w:tcPr>
          <w:p w14:paraId="40A253C5" w14:textId="365DB526" w:rsidR="008528F3" w:rsidRPr="002B039B" w:rsidRDefault="008528F3" w:rsidP="00473A10">
            <w:pPr>
              <w:spacing w:after="0" w:line="240" w:lineRule="auto"/>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Tercer Pilar</w:t>
            </w:r>
          </w:p>
        </w:tc>
        <w:tc>
          <w:tcPr>
            <w:tcW w:w="1701" w:type="dxa"/>
            <w:shd w:val="clear" w:color="auto" w:fill="auto"/>
            <w:noWrap/>
            <w:vAlign w:val="bottom"/>
          </w:tcPr>
          <w:p w14:paraId="2E747E3D" w14:textId="17A1080D" w:rsidR="008528F3" w:rsidRPr="002B039B" w:rsidRDefault="005737DC" w:rsidP="0040090D">
            <w:pPr>
              <w:spacing w:after="0" w:line="240" w:lineRule="auto"/>
              <w:jc w:val="center"/>
              <w:rPr>
                <w:rFonts w:ascii="Times New Roman" w:eastAsia="Times New Roman" w:hAnsi="Times New Roman" w:cs="Times New Roman"/>
                <w:sz w:val="24"/>
                <w:szCs w:val="24"/>
                <w:lang w:val="es-CR" w:eastAsia="es-CR"/>
              </w:rPr>
            </w:pPr>
            <w:r w:rsidRPr="002B039B">
              <w:rPr>
                <w:rFonts w:ascii="Times New Roman" w:eastAsia="Times New Roman" w:hAnsi="Times New Roman" w:cs="Times New Roman"/>
                <w:sz w:val="24"/>
                <w:szCs w:val="24"/>
                <w:lang w:val="es-CR" w:eastAsia="es-CR"/>
              </w:rPr>
              <w:t>0,3</w:t>
            </w:r>
          </w:p>
        </w:tc>
        <w:tc>
          <w:tcPr>
            <w:tcW w:w="1701" w:type="dxa"/>
            <w:shd w:val="clear" w:color="auto" w:fill="auto"/>
            <w:noWrap/>
            <w:vAlign w:val="bottom"/>
          </w:tcPr>
          <w:p w14:paraId="461BC38D" w14:textId="2DB4D0AD" w:rsidR="005737DC" w:rsidRPr="002B039B" w:rsidRDefault="005737DC" w:rsidP="0040090D">
            <w:pPr>
              <w:spacing w:after="0" w:line="240" w:lineRule="auto"/>
              <w:jc w:val="center"/>
              <w:rPr>
                <w:rFonts w:ascii="Times New Roman" w:eastAsia="Times New Roman" w:hAnsi="Times New Roman" w:cs="Times New Roman"/>
                <w:sz w:val="24"/>
                <w:szCs w:val="24"/>
                <w:lang w:val="es-CR" w:eastAsia="es-CR"/>
              </w:rPr>
            </w:pPr>
            <w:r w:rsidRPr="002B039B">
              <w:rPr>
                <w:rFonts w:ascii="Times New Roman" w:eastAsia="Times New Roman" w:hAnsi="Times New Roman" w:cs="Times New Roman"/>
                <w:sz w:val="24"/>
                <w:szCs w:val="24"/>
                <w:lang w:val="es-CR" w:eastAsia="es-CR"/>
              </w:rPr>
              <w:t>0,3</w:t>
            </w:r>
          </w:p>
        </w:tc>
        <w:tc>
          <w:tcPr>
            <w:tcW w:w="1276" w:type="dxa"/>
          </w:tcPr>
          <w:p w14:paraId="50065C18" w14:textId="62525392" w:rsidR="008528F3" w:rsidRPr="002B039B" w:rsidRDefault="005737DC" w:rsidP="0040090D">
            <w:pPr>
              <w:spacing w:after="0" w:line="240" w:lineRule="auto"/>
              <w:jc w:val="center"/>
              <w:rPr>
                <w:rFonts w:ascii="Times New Roman" w:eastAsia="Times New Roman" w:hAnsi="Times New Roman" w:cs="Times New Roman"/>
                <w:sz w:val="24"/>
                <w:szCs w:val="24"/>
                <w:lang w:val="es-CR" w:eastAsia="es-CR"/>
              </w:rPr>
            </w:pPr>
            <w:r w:rsidRPr="002B039B">
              <w:rPr>
                <w:rFonts w:ascii="Times New Roman" w:eastAsia="Times New Roman" w:hAnsi="Times New Roman" w:cs="Times New Roman"/>
                <w:sz w:val="24"/>
                <w:szCs w:val="24"/>
                <w:lang w:val="es-CR" w:eastAsia="es-CR"/>
              </w:rPr>
              <w:t>0</w:t>
            </w:r>
            <w:r w:rsidR="00C937FF">
              <w:rPr>
                <w:rFonts w:ascii="Times New Roman" w:eastAsia="Times New Roman" w:hAnsi="Times New Roman" w:cs="Times New Roman"/>
                <w:sz w:val="24"/>
                <w:szCs w:val="24"/>
                <w:lang w:val="es-CR" w:eastAsia="es-CR"/>
              </w:rPr>
              <w:t>,</w:t>
            </w:r>
            <w:r w:rsidRPr="002B039B">
              <w:rPr>
                <w:rFonts w:ascii="Times New Roman" w:eastAsia="Times New Roman" w:hAnsi="Times New Roman" w:cs="Times New Roman"/>
                <w:sz w:val="24"/>
                <w:szCs w:val="24"/>
                <w:lang w:val="es-CR" w:eastAsia="es-CR"/>
              </w:rPr>
              <w:t>0%</w:t>
            </w:r>
          </w:p>
        </w:tc>
      </w:tr>
      <w:tr w:rsidR="008528F3" w:rsidRPr="002B039B" w14:paraId="2E9AD791" w14:textId="1173DBDE" w:rsidTr="008528F3">
        <w:trPr>
          <w:trHeight w:val="300"/>
          <w:jc w:val="center"/>
        </w:trPr>
        <w:tc>
          <w:tcPr>
            <w:tcW w:w="3256" w:type="dxa"/>
            <w:shd w:val="clear" w:color="auto" w:fill="auto"/>
            <w:noWrap/>
            <w:vAlign w:val="bottom"/>
          </w:tcPr>
          <w:p w14:paraId="07AEF589" w14:textId="4784E42F" w:rsidR="008528F3" w:rsidRPr="002B039B" w:rsidRDefault="008528F3" w:rsidP="00473A10">
            <w:pPr>
              <w:spacing w:after="0" w:line="240" w:lineRule="auto"/>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Capitalización Laboral</w:t>
            </w:r>
          </w:p>
        </w:tc>
        <w:tc>
          <w:tcPr>
            <w:tcW w:w="1701" w:type="dxa"/>
            <w:shd w:val="clear" w:color="auto" w:fill="auto"/>
            <w:noWrap/>
            <w:vAlign w:val="bottom"/>
          </w:tcPr>
          <w:p w14:paraId="5E0E2E62" w14:textId="688858F8" w:rsidR="008528F3" w:rsidRPr="002B039B" w:rsidRDefault="005737DC" w:rsidP="0040090D">
            <w:pPr>
              <w:spacing w:after="0" w:line="240" w:lineRule="auto"/>
              <w:jc w:val="center"/>
              <w:rPr>
                <w:rFonts w:ascii="Times New Roman" w:eastAsia="Times New Roman" w:hAnsi="Times New Roman" w:cs="Times New Roman"/>
                <w:sz w:val="24"/>
                <w:szCs w:val="24"/>
                <w:lang w:val="es-CR" w:eastAsia="es-CR"/>
              </w:rPr>
            </w:pPr>
            <w:r w:rsidRPr="002B039B">
              <w:rPr>
                <w:rFonts w:ascii="Times New Roman" w:eastAsia="Times New Roman" w:hAnsi="Times New Roman" w:cs="Times New Roman"/>
                <w:sz w:val="24"/>
                <w:szCs w:val="24"/>
                <w:lang w:val="es-CR" w:eastAsia="es-CR"/>
              </w:rPr>
              <w:t>0,5</w:t>
            </w:r>
          </w:p>
        </w:tc>
        <w:tc>
          <w:tcPr>
            <w:tcW w:w="1701" w:type="dxa"/>
            <w:shd w:val="clear" w:color="auto" w:fill="auto"/>
            <w:noWrap/>
            <w:vAlign w:val="bottom"/>
          </w:tcPr>
          <w:p w14:paraId="6116467B" w14:textId="6EAFF55C" w:rsidR="008528F3" w:rsidRPr="002B039B" w:rsidRDefault="005737DC" w:rsidP="0040090D">
            <w:pPr>
              <w:spacing w:after="0" w:line="240" w:lineRule="auto"/>
              <w:jc w:val="center"/>
              <w:rPr>
                <w:rFonts w:ascii="Times New Roman" w:eastAsia="Times New Roman" w:hAnsi="Times New Roman" w:cs="Times New Roman"/>
                <w:sz w:val="24"/>
                <w:szCs w:val="24"/>
                <w:lang w:val="es-CR" w:eastAsia="es-CR"/>
              </w:rPr>
            </w:pPr>
            <w:r w:rsidRPr="002B039B">
              <w:rPr>
                <w:rFonts w:ascii="Times New Roman" w:eastAsia="Times New Roman" w:hAnsi="Times New Roman" w:cs="Times New Roman"/>
                <w:sz w:val="24"/>
                <w:szCs w:val="24"/>
                <w:lang w:val="es-CR" w:eastAsia="es-CR"/>
              </w:rPr>
              <w:t>0,6</w:t>
            </w:r>
          </w:p>
        </w:tc>
        <w:tc>
          <w:tcPr>
            <w:tcW w:w="1276" w:type="dxa"/>
          </w:tcPr>
          <w:p w14:paraId="24C68B8C" w14:textId="1611C882" w:rsidR="008528F3" w:rsidRPr="002B039B" w:rsidRDefault="005737DC" w:rsidP="0040090D">
            <w:pPr>
              <w:spacing w:after="0" w:line="240" w:lineRule="auto"/>
              <w:jc w:val="center"/>
              <w:rPr>
                <w:rFonts w:ascii="Times New Roman" w:eastAsia="Times New Roman" w:hAnsi="Times New Roman" w:cs="Times New Roman"/>
                <w:sz w:val="24"/>
                <w:szCs w:val="24"/>
                <w:lang w:val="es-CR" w:eastAsia="es-CR"/>
              </w:rPr>
            </w:pPr>
            <w:r w:rsidRPr="002B039B">
              <w:rPr>
                <w:rFonts w:ascii="Times New Roman" w:eastAsia="Times New Roman" w:hAnsi="Times New Roman" w:cs="Times New Roman"/>
                <w:sz w:val="24"/>
                <w:szCs w:val="24"/>
                <w:lang w:val="es-CR" w:eastAsia="es-CR"/>
              </w:rPr>
              <w:t>20%</w:t>
            </w:r>
          </w:p>
        </w:tc>
      </w:tr>
      <w:tr w:rsidR="003A26FF" w:rsidRPr="002B039B" w14:paraId="7B78A99B" w14:textId="49955B30" w:rsidTr="008528F3">
        <w:trPr>
          <w:trHeight w:val="300"/>
          <w:jc w:val="center"/>
        </w:trPr>
        <w:tc>
          <w:tcPr>
            <w:tcW w:w="3256" w:type="dxa"/>
            <w:shd w:val="clear" w:color="auto" w:fill="auto"/>
            <w:noWrap/>
            <w:vAlign w:val="bottom"/>
          </w:tcPr>
          <w:p w14:paraId="68142B01" w14:textId="0681A7EE" w:rsidR="008528F3" w:rsidRPr="009622EA" w:rsidRDefault="00634479" w:rsidP="00634479">
            <w:pPr>
              <w:spacing w:after="0" w:line="240" w:lineRule="auto"/>
              <w:rPr>
                <w:rFonts w:ascii="Times New Roman" w:eastAsia="Times New Roman" w:hAnsi="Times New Roman" w:cs="Times New Roman"/>
                <w:b/>
                <w:lang w:val="es-CR" w:eastAsia="es-CR"/>
              </w:rPr>
            </w:pPr>
            <w:r>
              <w:rPr>
                <w:rFonts w:ascii="Times New Roman" w:eastAsia="Times New Roman" w:hAnsi="Times New Roman" w:cs="Times New Roman"/>
                <w:b/>
                <w:lang w:val="es-CR" w:eastAsia="es-CR"/>
              </w:rPr>
              <w:t>Total</w:t>
            </w:r>
          </w:p>
        </w:tc>
        <w:tc>
          <w:tcPr>
            <w:tcW w:w="1701" w:type="dxa"/>
            <w:shd w:val="clear" w:color="auto" w:fill="auto"/>
            <w:noWrap/>
            <w:vAlign w:val="bottom"/>
          </w:tcPr>
          <w:p w14:paraId="68C2C0D8" w14:textId="20BD9D6F" w:rsidR="008528F3" w:rsidRPr="009622EA" w:rsidRDefault="005737DC" w:rsidP="0040090D">
            <w:pPr>
              <w:spacing w:after="0" w:line="240" w:lineRule="auto"/>
              <w:jc w:val="center"/>
              <w:rPr>
                <w:rFonts w:ascii="Times New Roman" w:eastAsia="Times New Roman" w:hAnsi="Times New Roman" w:cs="Times New Roman"/>
                <w:b/>
                <w:sz w:val="24"/>
                <w:szCs w:val="24"/>
                <w:lang w:val="es-CR" w:eastAsia="es-CR"/>
              </w:rPr>
            </w:pPr>
            <w:r w:rsidRPr="009622EA">
              <w:rPr>
                <w:rFonts w:ascii="Times New Roman" w:eastAsia="Times New Roman" w:hAnsi="Times New Roman" w:cs="Times New Roman"/>
                <w:b/>
                <w:sz w:val="24"/>
                <w:szCs w:val="24"/>
                <w:lang w:val="es-CR" w:eastAsia="es-CR"/>
              </w:rPr>
              <w:t>10,8</w:t>
            </w:r>
          </w:p>
        </w:tc>
        <w:tc>
          <w:tcPr>
            <w:tcW w:w="1701" w:type="dxa"/>
            <w:shd w:val="clear" w:color="auto" w:fill="auto"/>
            <w:noWrap/>
            <w:vAlign w:val="bottom"/>
          </w:tcPr>
          <w:p w14:paraId="126D0580" w14:textId="15A355BE" w:rsidR="008528F3" w:rsidRPr="009622EA" w:rsidRDefault="005737DC" w:rsidP="0040090D">
            <w:pPr>
              <w:spacing w:after="0" w:line="240" w:lineRule="auto"/>
              <w:jc w:val="center"/>
              <w:rPr>
                <w:rFonts w:ascii="Times New Roman" w:eastAsia="Times New Roman" w:hAnsi="Times New Roman" w:cs="Times New Roman"/>
                <w:b/>
                <w:sz w:val="24"/>
                <w:szCs w:val="24"/>
                <w:lang w:val="es-CR" w:eastAsia="es-CR"/>
              </w:rPr>
            </w:pPr>
            <w:r w:rsidRPr="009622EA">
              <w:rPr>
                <w:rFonts w:ascii="Times New Roman" w:eastAsia="Times New Roman" w:hAnsi="Times New Roman" w:cs="Times New Roman"/>
                <w:b/>
                <w:sz w:val="24"/>
                <w:szCs w:val="24"/>
                <w:lang w:val="es-CR" w:eastAsia="es-CR"/>
              </w:rPr>
              <w:t>11,9</w:t>
            </w:r>
          </w:p>
        </w:tc>
        <w:tc>
          <w:tcPr>
            <w:tcW w:w="1276" w:type="dxa"/>
          </w:tcPr>
          <w:p w14:paraId="01D82299" w14:textId="7979530A" w:rsidR="008528F3" w:rsidRPr="009622EA" w:rsidRDefault="000102FC" w:rsidP="0040090D">
            <w:pPr>
              <w:spacing w:after="0" w:line="240" w:lineRule="auto"/>
              <w:jc w:val="center"/>
              <w:rPr>
                <w:rFonts w:ascii="Times New Roman" w:eastAsia="Times New Roman" w:hAnsi="Times New Roman" w:cs="Times New Roman"/>
                <w:b/>
                <w:sz w:val="24"/>
                <w:szCs w:val="24"/>
                <w:lang w:val="es-CR" w:eastAsia="es-CR"/>
              </w:rPr>
            </w:pPr>
            <w:r w:rsidRPr="009622EA">
              <w:rPr>
                <w:rFonts w:ascii="Times New Roman" w:eastAsia="Times New Roman" w:hAnsi="Times New Roman" w:cs="Times New Roman"/>
                <w:b/>
                <w:sz w:val="24"/>
                <w:szCs w:val="24"/>
                <w:lang w:val="es-CR" w:eastAsia="es-CR"/>
              </w:rPr>
              <w:t>10,2</w:t>
            </w:r>
            <w:r w:rsidR="005737DC" w:rsidRPr="009622EA">
              <w:rPr>
                <w:rFonts w:ascii="Times New Roman" w:eastAsia="Times New Roman" w:hAnsi="Times New Roman" w:cs="Times New Roman"/>
                <w:b/>
                <w:sz w:val="24"/>
                <w:szCs w:val="24"/>
                <w:lang w:val="es-CR" w:eastAsia="es-CR"/>
              </w:rPr>
              <w:t>%</w:t>
            </w:r>
          </w:p>
        </w:tc>
      </w:tr>
    </w:tbl>
    <w:p w14:paraId="07583AA4" w14:textId="251FD0AE" w:rsidR="00A12DEB" w:rsidRPr="002B039B" w:rsidRDefault="00A12DEB" w:rsidP="0040090D">
      <w:pPr>
        <w:tabs>
          <w:tab w:val="left" w:pos="1056"/>
        </w:tabs>
        <w:spacing w:after="0"/>
        <w:jc w:val="both"/>
        <w:rPr>
          <w:rFonts w:ascii="Times New Roman" w:hAnsi="Times New Roman" w:cs="Times New Roman"/>
          <w:sz w:val="24"/>
          <w:szCs w:val="24"/>
        </w:rPr>
      </w:pPr>
    </w:p>
    <w:p w14:paraId="615841D7" w14:textId="1DD6D355" w:rsidR="00467734" w:rsidRDefault="005737DC" w:rsidP="00D1543B">
      <w:pPr>
        <w:pStyle w:val="Prrafodelista"/>
        <w:numPr>
          <w:ilvl w:val="0"/>
          <w:numId w:val="4"/>
        </w:numPr>
        <w:spacing w:after="0"/>
        <w:ind w:left="0"/>
        <w:jc w:val="both"/>
        <w:rPr>
          <w:rFonts w:ascii="Times New Roman" w:hAnsi="Times New Roman" w:cs="Times New Roman"/>
          <w:szCs w:val="24"/>
        </w:rPr>
      </w:pPr>
      <w:r w:rsidRPr="00467734">
        <w:rPr>
          <w:rFonts w:ascii="Times New Roman" w:hAnsi="Times New Roman" w:cs="Times New Roman"/>
          <w:szCs w:val="24"/>
        </w:rPr>
        <w:t>Popular Pensiones</w:t>
      </w:r>
      <w:r w:rsidR="000803A6">
        <w:rPr>
          <w:rFonts w:ascii="Times New Roman" w:hAnsi="Times New Roman" w:cs="Times New Roman"/>
          <w:szCs w:val="24"/>
        </w:rPr>
        <w:t xml:space="preserve"> OPC</w:t>
      </w:r>
      <w:r w:rsidRPr="00467734">
        <w:rPr>
          <w:rFonts w:ascii="Times New Roman" w:hAnsi="Times New Roman" w:cs="Times New Roman"/>
          <w:szCs w:val="24"/>
        </w:rPr>
        <w:t xml:space="preserve"> administra </w:t>
      </w:r>
      <w:r w:rsidR="00085E49" w:rsidRPr="00467734">
        <w:rPr>
          <w:rFonts w:ascii="Times New Roman" w:hAnsi="Times New Roman" w:cs="Times New Roman"/>
          <w:szCs w:val="24"/>
        </w:rPr>
        <w:t xml:space="preserve">1,87 billones de colones, lo que representa el 36.15% de los recursos totales administrados por el ROP (2,17 billones si se incluyen FCL y voluntarios). </w:t>
      </w:r>
      <w:r w:rsidR="00460610">
        <w:rPr>
          <w:rFonts w:ascii="Times New Roman" w:hAnsi="Times New Roman" w:cs="Times New Roman"/>
          <w:szCs w:val="24"/>
        </w:rPr>
        <w:t>Dicho m</w:t>
      </w:r>
      <w:r w:rsidR="00085E49" w:rsidRPr="00467734">
        <w:rPr>
          <w:rFonts w:ascii="Times New Roman" w:hAnsi="Times New Roman" w:cs="Times New Roman"/>
          <w:szCs w:val="24"/>
        </w:rPr>
        <w:t xml:space="preserve">onto </w:t>
      </w:r>
      <w:r w:rsidR="00460610">
        <w:rPr>
          <w:rFonts w:ascii="Times New Roman" w:hAnsi="Times New Roman" w:cs="Times New Roman"/>
          <w:szCs w:val="24"/>
        </w:rPr>
        <w:t xml:space="preserve">es </w:t>
      </w:r>
      <w:r w:rsidR="00085E49" w:rsidRPr="00467734">
        <w:rPr>
          <w:rFonts w:ascii="Times New Roman" w:hAnsi="Times New Roman" w:cs="Times New Roman"/>
          <w:szCs w:val="24"/>
        </w:rPr>
        <w:t>superior a los 2,11billones del Fondo de Capitalización Colectiva del Magisterio</w:t>
      </w:r>
      <w:r w:rsidR="000803A6">
        <w:rPr>
          <w:rFonts w:ascii="Times New Roman" w:hAnsi="Times New Roman" w:cs="Times New Roman"/>
          <w:szCs w:val="24"/>
        </w:rPr>
        <w:t xml:space="preserve"> Nacional</w:t>
      </w:r>
      <w:r w:rsidR="00085E49" w:rsidRPr="00467734">
        <w:rPr>
          <w:rFonts w:ascii="Times New Roman" w:hAnsi="Times New Roman" w:cs="Times New Roman"/>
          <w:szCs w:val="24"/>
        </w:rPr>
        <w:t>, pero aún menor al 2.4 billones de Régimen d</w:t>
      </w:r>
      <w:r w:rsidR="00467734" w:rsidRPr="00467734">
        <w:rPr>
          <w:rFonts w:ascii="Times New Roman" w:hAnsi="Times New Roman" w:cs="Times New Roman"/>
          <w:szCs w:val="24"/>
        </w:rPr>
        <w:t xml:space="preserve">e </w:t>
      </w:r>
      <w:r w:rsidR="00460610">
        <w:rPr>
          <w:rFonts w:ascii="Times New Roman" w:hAnsi="Times New Roman" w:cs="Times New Roman"/>
          <w:szCs w:val="24"/>
        </w:rPr>
        <w:t>Invalidez, Vejez y M</w:t>
      </w:r>
      <w:r w:rsidR="00467734" w:rsidRPr="00467734">
        <w:rPr>
          <w:rFonts w:ascii="Times New Roman" w:hAnsi="Times New Roman" w:cs="Times New Roman"/>
          <w:szCs w:val="24"/>
        </w:rPr>
        <w:t xml:space="preserve">uerte </w:t>
      </w:r>
      <w:r w:rsidR="00460610">
        <w:rPr>
          <w:rFonts w:ascii="Times New Roman" w:hAnsi="Times New Roman" w:cs="Times New Roman"/>
          <w:szCs w:val="24"/>
        </w:rPr>
        <w:t>administrado por la Caja Costarricense de Seguro Social (</w:t>
      </w:r>
      <w:r w:rsidR="00467734" w:rsidRPr="00467734">
        <w:rPr>
          <w:rFonts w:ascii="Times New Roman" w:hAnsi="Times New Roman" w:cs="Times New Roman"/>
          <w:szCs w:val="24"/>
        </w:rPr>
        <w:t>CCSS</w:t>
      </w:r>
      <w:r w:rsidR="00460610">
        <w:rPr>
          <w:rFonts w:ascii="Times New Roman" w:hAnsi="Times New Roman" w:cs="Times New Roman"/>
          <w:szCs w:val="24"/>
        </w:rPr>
        <w:t>)</w:t>
      </w:r>
      <w:r w:rsidR="00467734" w:rsidRPr="00467734">
        <w:rPr>
          <w:rFonts w:ascii="Times New Roman" w:hAnsi="Times New Roman" w:cs="Times New Roman"/>
          <w:szCs w:val="24"/>
        </w:rPr>
        <w:t>.</w:t>
      </w:r>
    </w:p>
    <w:p w14:paraId="241085FF" w14:textId="03090CA2" w:rsidR="00841F05" w:rsidRPr="001813D4" w:rsidRDefault="004141F6" w:rsidP="0040090D">
      <w:pPr>
        <w:spacing w:after="0"/>
        <w:ind w:left="-360"/>
        <w:jc w:val="center"/>
        <w:rPr>
          <w:rFonts w:ascii="Times New Roman" w:hAnsi="Times New Roman" w:cs="Times New Roman"/>
          <w:b/>
          <w:sz w:val="24"/>
          <w:szCs w:val="24"/>
        </w:rPr>
      </w:pPr>
      <w:r w:rsidRPr="001813D4">
        <w:rPr>
          <w:rFonts w:ascii="Times New Roman" w:hAnsi="Times New Roman" w:cs="Times New Roman"/>
          <w:b/>
          <w:sz w:val="24"/>
          <w:szCs w:val="24"/>
        </w:rPr>
        <w:t>Gráfico</w:t>
      </w:r>
      <w:r w:rsidR="00841F05" w:rsidRPr="001813D4">
        <w:rPr>
          <w:rFonts w:ascii="Times New Roman" w:hAnsi="Times New Roman" w:cs="Times New Roman"/>
          <w:b/>
          <w:sz w:val="24"/>
          <w:szCs w:val="24"/>
        </w:rPr>
        <w:t xml:space="preserve"> 1</w:t>
      </w:r>
    </w:p>
    <w:p w14:paraId="28F14BD3" w14:textId="47D33E83" w:rsidR="00841F05" w:rsidRPr="001813D4" w:rsidRDefault="00166173" w:rsidP="0040090D">
      <w:pPr>
        <w:tabs>
          <w:tab w:val="left" w:pos="1056"/>
        </w:tabs>
        <w:spacing w:after="0"/>
        <w:jc w:val="center"/>
        <w:rPr>
          <w:rFonts w:ascii="Times New Roman" w:hAnsi="Times New Roman" w:cs="Times New Roman"/>
          <w:b/>
          <w:sz w:val="24"/>
          <w:szCs w:val="24"/>
        </w:rPr>
      </w:pPr>
      <w:r w:rsidRPr="001813D4">
        <w:rPr>
          <w:rFonts w:ascii="Times New Roman" w:hAnsi="Times New Roman" w:cs="Times New Roman"/>
          <w:b/>
          <w:sz w:val="24"/>
          <w:szCs w:val="24"/>
        </w:rPr>
        <w:t>Activos de por entidad el Segundo Pilar</w:t>
      </w:r>
    </w:p>
    <w:p w14:paraId="5E3FDF89" w14:textId="156113F3" w:rsidR="00085E49" w:rsidRPr="001813D4" w:rsidRDefault="00166173" w:rsidP="0040090D">
      <w:pPr>
        <w:tabs>
          <w:tab w:val="left" w:pos="1056"/>
        </w:tabs>
        <w:spacing w:after="0"/>
        <w:jc w:val="center"/>
        <w:rPr>
          <w:rFonts w:ascii="Times New Roman" w:hAnsi="Times New Roman" w:cs="Times New Roman"/>
          <w:b/>
          <w:sz w:val="24"/>
          <w:szCs w:val="24"/>
        </w:rPr>
      </w:pPr>
      <w:r w:rsidRPr="001813D4">
        <w:rPr>
          <w:rFonts w:ascii="Times New Roman" w:hAnsi="Times New Roman" w:cs="Times New Roman"/>
          <w:b/>
          <w:sz w:val="24"/>
          <w:szCs w:val="24"/>
        </w:rPr>
        <w:t>(millones de colones)</w:t>
      </w:r>
    </w:p>
    <w:p w14:paraId="025277EA" w14:textId="5C137447" w:rsidR="00550EEE" w:rsidRPr="002B039B" w:rsidRDefault="00473A10" w:rsidP="0040090D">
      <w:pPr>
        <w:pStyle w:val="Prrafodelista"/>
        <w:tabs>
          <w:tab w:val="left" w:pos="1056"/>
        </w:tabs>
        <w:spacing w:after="0"/>
        <w:ind w:left="0"/>
        <w:jc w:val="center"/>
        <w:rPr>
          <w:rFonts w:ascii="Times New Roman" w:hAnsi="Times New Roman" w:cs="Times New Roman"/>
          <w:color w:val="FF0000"/>
          <w:szCs w:val="24"/>
        </w:rPr>
      </w:pPr>
      <w:r>
        <w:rPr>
          <w:noProof/>
        </w:rPr>
        <w:drawing>
          <wp:inline distT="0" distB="0" distL="0" distR="0" wp14:anchorId="7160B629" wp14:editId="07899B22">
            <wp:extent cx="5275681" cy="1675181"/>
            <wp:effectExtent l="0" t="0" r="1270" b="1270"/>
            <wp:docPr id="1" name="Gráfico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354FDE" w14:textId="3F99B296" w:rsidR="00BA06A6" w:rsidRDefault="00BA06A6" w:rsidP="00634479">
      <w:pPr>
        <w:pStyle w:val="Prrafodelista"/>
        <w:tabs>
          <w:tab w:val="left" w:pos="1056"/>
        </w:tabs>
        <w:spacing w:after="0"/>
        <w:ind w:left="0"/>
        <w:rPr>
          <w:rFonts w:ascii="Times New Roman" w:hAnsi="Times New Roman" w:cs="Times New Roman"/>
          <w:szCs w:val="24"/>
        </w:rPr>
      </w:pPr>
    </w:p>
    <w:p w14:paraId="0664F0C6" w14:textId="77777777" w:rsidR="00DE7BF7" w:rsidRPr="002B039B" w:rsidRDefault="00DE7BF7" w:rsidP="00634479">
      <w:pPr>
        <w:pStyle w:val="Prrafodelista"/>
        <w:tabs>
          <w:tab w:val="left" w:pos="1056"/>
        </w:tabs>
        <w:spacing w:after="0"/>
        <w:ind w:left="0"/>
        <w:rPr>
          <w:rFonts w:ascii="Times New Roman" w:hAnsi="Times New Roman" w:cs="Times New Roman"/>
          <w:szCs w:val="24"/>
        </w:rPr>
      </w:pPr>
    </w:p>
    <w:p w14:paraId="698ABFAC" w14:textId="0B38E736" w:rsidR="003A26FF" w:rsidRPr="002B039B" w:rsidRDefault="001A7F94" w:rsidP="0040090D">
      <w:pPr>
        <w:pStyle w:val="Prrafodelista"/>
        <w:numPr>
          <w:ilvl w:val="0"/>
          <w:numId w:val="4"/>
        </w:numPr>
        <w:spacing w:after="0"/>
        <w:ind w:left="0"/>
        <w:jc w:val="both"/>
        <w:rPr>
          <w:rFonts w:ascii="Times New Roman" w:hAnsi="Times New Roman" w:cs="Times New Roman"/>
          <w:szCs w:val="24"/>
        </w:rPr>
      </w:pPr>
      <w:r w:rsidRPr="002B039B">
        <w:rPr>
          <w:rFonts w:ascii="Times New Roman" w:hAnsi="Times New Roman" w:cs="Times New Roman"/>
          <w:szCs w:val="24"/>
        </w:rPr>
        <w:lastRenderedPageBreak/>
        <w:t>Los aportes a</w:t>
      </w:r>
      <w:r w:rsidR="00460610">
        <w:rPr>
          <w:rFonts w:ascii="Times New Roman" w:hAnsi="Times New Roman" w:cs="Times New Roman"/>
          <w:szCs w:val="24"/>
        </w:rPr>
        <w:t>l</w:t>
      </w:r>
      <w:r w:rsidRPr="002B039B">
        <w:rPr>
          <w:rFonts w:ascii="Times New Roman" w:hAnsi="Times New Roman" w:cs="Times New Roman"/>
          <w:szCs w:val="24"/>
        </w:rPr>
        <w:t xml:space="preserve"> ROP durante el 2017 alcanzaron </w:t>
      </w:r>
      <w:r w:rsidR="00B92909" w:rsidRPr="002B039B">
        <w:rPr>
          <w:rFonts w:ascii="Times New Roman" w:hAnsi="Times New Roman" w:cs="Times New Roman"/>
          <w:szCs w:val="24"/>
        </w:rPr>
        <w:t>¢</w:t>
      </w:r>
      <w:r w:rsidR="00945C1E">
        <w:rPr>
          <w:rFonts w:ascii="Times New Roman" w:hAnsi="Times New Roman" w:cs="Times New Roman"/>
          <w:szCs w:val="24"/>
        </w:rPr>
        <w:t xml:space="preserve">391 </w:t>
      </w:r>
      <w:r w:rsidRPr="002B039B">
        <w:rPr>
          <w:rFonts w:ascii="Times New Roman" w:hAnsi="Times New Roman" w:cs="Times New Roman"/>
          <w:szCs w:val="24"/>
        </w:rPr>
        <w:t xml:space="preserve">168 millones, </w:t>
      </w:r>
      <w:r w:rsidR="00460610">
        <w:rPr>
          <w:rFonts w:ascii="Times New Roman" w:hAnsi="Times New Roman" w:cs="Times New Roman"/>
          <w:szCs w:val="24"/>
        </w:rPr>
        <w:t xml:space="preserve">es decir </w:t>
      </w:r>
      <w:r w:rsidRPr="002B039B">
        <w:rPr>
          <w:rFonts w:ascii="Times New Roman" w:hAnsi="Times New Roman" w:cs="Times New Roman"/>
          <w:szCs w:val="24"/>
        </w:rPr>
        <w:t>un incremento de 4%</w:t>
      </w:r>
      <w:r w:rsidR="00945C1E">
        <w:rPr>
          <w:rFonts w:ascii="Times New Roman" w:hAnsi="Times New Roman" w:cs="Times New Roman"/>
          <w:szCs w:val="24"/>
        </w:rPr>
        <w:t>,</w:t>
      </w:r>
      <w:r w:rsidRPr="002B039B">
        <w:rPr>
          <w:rFonts w:ascii="Times New Roman" w:hAnsi="Times New Roman" w:cs="Times New Roman"/>
          <w:szCs w:val="24"/>
        </w:rPr>
        <w:t xml:space="preserve"> </w:t>
      </w:r>
      <w:r w:rsidR="00D76279" w:rsidRPr="002B039B">
        <w:rPr>
          <w:rFonts w:ascii="Times New Roman" w:hAnsi="Times New Roman" w:cs="Times New Roman"/>
          <w:szCs w:val="24"/>
        </w:rPr>
        <w:t xml:space="preserve">lo que representa </w:t>
      </w:r>
      <w:r w:rsidR="004045D4">
        <w:rPr>
          <w:rFonts w:ascii="Times New Roman" w:hAnsi="Times New Roman" w:cs="Times New Roman"/>
          <w:szCs w:val="24"/>
        </w:rPr>
        <w:t>menos de la mitad del incremento</w:t>
      </w:r>
      <w:r w:rsidR="00D76279" w:rsidRPr="002B039B">
        <w:rPr>
          <w:rFonts w:ascii="Times New Roman" w:hAnsi="Times New Roman" w:cs="Times New Roman"/>
          <w:szCs w:val="24"/>
        </w:rPr>
        <w:t xml:space="preserve"> del 2016 (9.2%). </w:t>
      </w:r>
    </w:p>
    <w:p w14:paraId="447D85B3" w14:textId="77777777" w:rsidR="00735D7C" w:rsidRPr="004045D4" w:rsidRDefault="00735D7C" w:rsidP="0040090D">
      <w:pPr>
        <w:spacing w:after="0"/>
        <w:jc w:val="both"/>
        <w:rPr>
          <w:rFonts w:ascii="Times New Roman" w:hAnsi="Times New Roman" w:cs="Times New Roman"/>
          <w:sz w:val="24"/>
          <w:szCs w:val="24"/>
        </w:rPr>
      </w:pPr>
    </w:p>
    <w:p w14:paraId="1E7EF0D5" w14:textId="027138DF" w:rsidR="00735D7C" w:rsidRPr="004045D4" w:rsidRDefault="00735D7C" w:rsidP="0040090D">
      <w:pPr>
        <w:spacing w:after="0"/>
        <w:jc w:val="center"/>
        <w:rPr>
          <w:rFonts w:ascii="Times New Roman" w:hAnsi="Times New Roman" w:cs="Times New Roman"/>
          <w:b/>
          <w:sz w:val="24"/>
          <w:szCs w:val="24"/>
        </w:rPr>
      </w:pPr>
      <w:r w:rsidRPr="004045D4">
        <w:rPr>
          <w:rFonts w:ascii="Times New Roman" w:hAnsi="Times New Roman" w:cs="Times New Roman"/>
          <w:b/>
          <w:sz w:val="24"/>
          <w:szCs w:val="24"/>
        </w:rPr>
        <w:t>Gráfico</w:t>
      </w:r>
      <w:r w:rsidR="00A45E15" w:rsidRPr="004045D4">
        <w:rPr>
          <w:rFonts w:ascii="Times New Roman" w:hAnsi="Times New Roman" w:cs="Times New Roman"/>
          <w:b/>
          <w:sz w:val="24"/>
          <w:szCs w:val="24"/>
        </w:rPr>
        <w:t xml:space="preserve"> 2</w:t>
      </w:r>
    </w:p>
    <w:p w14:paraId="06E9D5D4" w14:textId="77777777" w:rsidR="00735D7C" w:rsidRPr="004045D4" w:rsidRDefault="00735D7C" w:rsidP="0040090D">
      <w:pPr>
        <w:tabs>
          <w:tab w:val="left" w:pos="1056"/>
        </w:tabs>
        <w:spacing w:after="0"/>
        <w:jc w:val="center"/>
        <w:rPr>
          <w:rFonts w:ascii="Times New Roman" w:hAnsi="Times New Roman" w:cs="Times New Roman"/>
          <w:b/>
          <w:sz w:val="24"/>
          <w:szCs w:val="24"/>
        </w:rPr>
      </w:pPr>
      <w:r w:rsidRPr="004045D4">
        <w:rPr>
          <w:rFonts w:ascii="Times New Roman" w:hAnsi="Times New Roman" w:cs="Times New Roman"/>
          <w:b/>
          <w:sz w:val="24"/>
          <w:szCs w:val="24"/>
        </w:rPr>
        <w:t>Activos de por entidad el Segundo Pilar</w:t>
      </w:r>
    </w:p>
    <w:p w14:paraId="53BCCD34" w14:textId="77777777" w:rsidR="00735D7C" w:rsidRPr="004045D4" w:rsidRDefault="00735D7C" w:rsidP="0040090D">
      <w:pPr>
        <w:tabs>
          <w:tab w:val="left" w:pos="1056"/>
        </w:tabs>
        <w:spacing w:after="0"/>
        <w:jc w:val="center"/>
        <w:rPr>
          <w:rFonts w:ascii="Times New Roman" w:hAnsi="Times New Roman" w:cs="Times New Roman"/>
          <w:b/>
          <w:sz w:val="24"/>
          <w:szCs w:val="24"/>
        </w:rPr>
      </w:pPr>
      <w:r w:rsidRPr="004045D4">
        <w:rPr>
          <w:rFonts w:ascii="Times New Roman" w:hAnsi="Times New Roman" w:cs="Times New Roman"/>
          <w:b/>
          <w:sz w:val="24"/>
          <w:szCs w:val="24"/>
        </w:rPr>
        <w:t>(millones de colones)</w:t>
      </w:r>
    </w:p>
    <w:p w14:paraId="1477C82A" w14:textId="4360455B" w:rsidR="00771511" w:rsidRPr="002B039B" w:rsidRDefault="00771511" w:rsidP="0040090D">
      <w:pPr>
        <w:pStyle w:val="Prrafodelista"/>
        <w:spacing w:after="0"/>
        <w:ind w:left="0"/>
        <w:jc w:val="both"/>
        <w:rPr>
          <w:rFonts w:ascii="Times New Roman" w:hAnsi="Times New Roman" w:cs="Times New Roman"/>
          <w:szCs w:val="24"/>
        </w:rPr>
      </w:pPr>
    </w:p>
    <w:p w14:paraId="28876C33" w14:textId="586CCC04" w:rsidR="003A26FF" w:rsidRPr="002B039B" w:rsidRDefault="00E614C1" w:rsidP="0040090D">
      <w:pPr>
        <w:pStyle w:val="Prrafodelista"/>
        <w:spacing w:after="0"/>
        <w:ind w:left="0"/>
        <w:jc w:val="both"/>
        <w:rPr>
          <w:rFonts w:ascii="Times New Roman" w:hAnsi="Times New Roman" w:cs="Times New Roman"/>
          <w:szCs w:val="24"/>
        </w:rPr>
      </w:pPr>
      <w:r w:rsidRPr="002B039B">
        <w:rPr>
          <w:rFonts w:ascii="Times New Roman" w:hAnsi="Times New Roman" w:cs="Times New Roman"/>
          <w:noProof/>
        </w:rPr>
        <w:drawing>
          <wp:inline distT="0" distB="0" distL="0" distR="0" wp14:anchorId="482AD94B" wp14:editId="7AA4A785">
            <wp:extent cx="5925312" cy="2121408"/>
            <wp:effectExtent l="0" t="0" r="18415" b="12700"/>
            <wp:docPr id="2" name="Gráfico 2">
              <a:extLst xmlns:a="http://schemas.openxmlformats.org/drawingml/2006/main">
                <a:ext uri="{FF2B5EF4-FFF2-40B4-BE49-F238E27FC236}">
                  <a16:creationId xmlns:a16="http://schemas.microsoft.com/office/drawing/2014/main" id="{9B58F8B6-FB4A-46C8-99E8-64E0FFC541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3C2921" w14:textId="5E7736CA" w:rsidR="00467734" w:rsidRPr="002B039B" w:rsidRDefault="00467734" w:rsidP="0040090D">
      <w:pPr>
        <w:pStyle w:val="Prrafodelista"/>
        <w:spacing w:after="0"/>
        <w:ind w:left="0"/>
        <w:rPr>
          <w:rFonts w:ascii="Times New Roman" w:hAnsi="Times New Roman" w:cs="Times New Roman"/>
          <w:szCs w:val="24"/>
        </w:rPr>
      </w:pPr>
    </w:p>
    <w:p w14:paraId="002A173A" w14:textId="0BD19685" w:rsidR="00401E1A" w:rsidRPr="003B7B9E" w:rsidRDefault="00B9643C" w:rsidP="003B7B9E">
      <w:pPr>
        <w:pStyle w:val="Ttulo1"/>
      </w:pPr>
      <w:bookmarkStart w:id="12" w:name="_Toc505348333"/>
      <w:bookmarkStart w:id="13" w:name="_Toc506207743"/>
      <w:bookmarkStart w:id="14" w:name="_Toc506212324"/>
      <w:bookmarkStart w:id="15" w:name="_Toc509221823"/>
      <w:r w:rsidRPr="003B7B9E">
        <w:t>Inversiones</w:t>
      </w:r>
      <w:bookmarkEnd w:id="12"/>
      <w:bookmarkEnd w:id="13"/>
      <w:bookmarkEnd w:id="14"/>
      <w:bookmarkEnd w:id="15"/>
    </w:p>
    <w:p w14:paraId="540E6238" w14:textId="4C8DC351" w:rsidR="004045D4" w:rsidRDefault="00BA06A6" w:rsidP="00634479">
      <w:pPr>
        <w:pStyle w:val="Ttulo2"/>
        <w:spacing w:before="0"/>
      </w:pPr>
      <w:bookmarkStart w:id="16" w:name="_Toc505348334"/>
      <w:bookmarkStart w:id="17" w:name="_Toc506207744"/>
      <w:bookmarkStart w:id="18" w:name="_Toc506212325"/>
      <w:bookmarkStart w:id="19" w:name="_Toc509221824"/>
      <w:r w:rsidRPr="003B7B9E">
        <w:t>Composición de cartera</w:t>
      </w:r>
      <w:bookmarkEnd w:id="16"/>
      <w:r w:rsidR="009654DF">
        <w:t>s</w:t>
      </w:r>
      <w:bookmarkEnd w:id="17"/>
      <w:bookmarkEnd w:id="18"/>
      <w:bookmarkEnd w:id="19"/>
    </w:p>
    <w:p w14:paraId="758AD1F0" w14:textId="77777777" w:rsidR="00634479" w:rsidRPr="00634479" w:rsidRDefault="00634479" w:rsidP="00634479">
      <w:pPr>
        <w:spacing w:after="0"/>
      </w:pPr>
    </w:p>
    <w:p w14:paraId="05EA44C3" w14:textId="5D896C2F" w:rsidR="00D61EF1" w:rsidRPr="002B039B" w:rsidRDefault="00D61EF1" w:rsidP="00634479">
      <w:pPr>
        <w:pStyle w:val="Prrafodelista"/>
        <w:numPr>
          <w:ilvl w:val="0"/>
          <w:numId w:val="4"/>
        </w:numPr>
        <w:spacing w:after="0"/>
        <w:ind w:left="0"/>
        <w:jc w:val="both"/>
        <w:rPr>
          <w:rFonts w:ascii="Times New Roman" w:hAnsi="Times New Roman" w:cs="Times New Roman"/>
        </w:rPr>
      </w:pPr>
      <w:r w:rsidRPr="002B039B">
        <w:rPr>
          <w:rFonts w:ascii="Times New Roman" w:hAnsi="Times New Roman" w:cs="Times New Roman"/>
        </w:rPr>
        <w:t xml:space="preserve">La cartera total (sin incluir carteras de créditos) del </w:t>
      </w:r>
      <w:r w:rsidR="009654DF">
        <w:rPr>
          <w:rFonts w:ascii="Times New Roman" w:hAnsi="Times New Roman" w:cs="Times New Roman"/>
        </w:rPr>
        <w:t>SNP</w:t>
      </w:r>
      <w:r w:rsidRPr="002B039B">
        <w:rPr>
          <w:rFonts w:ascii="Times New Roman" w:hAnsi="Times New Roman" w:cs="Times New Roman"/>
        </w:rPr>
        <w:t xml:space="preserve"> equivale a 10,9 billones de colones con una concentración de 7.02 billones invertidos en instrumentos de BCCR y Ministerio de Hacienda.</w:t>
      </w:r>
    </w:p>
    <w:p w14:paraId="0B4E8CB7" w14:textId="77777777" w:rsidR="004045D4" w:rsidRDefault="004045D4" w:rsidP="0040090D">
      <w:pPr>
        <w:tabs>
          <w:tab w:val="left" w:pos="1056"/>
        </w:tabs>
        <w:spacing w:after="0"/>
        <w:jc w:val="center"/>
        <w:rPr>
          <w:rFonts w:ascii="Times New Roman" w:hAnsi="Times New Roman" w:cs="Times New Roman"/>
          <w:b/>
        </w:rPr>
      </w:pPr>
    </w:p>
    <w:p w14:paraId="3C836061" w14:textId="577A5653" w:rsidR="009F7898" w:rsidRPr="001813D4" w:rsidRDefault="00A45E15" w:rsidP="0040090D">
      <w:pPr>
        <w:tabs>
          <w:tab w:val="left" w:pos="1056"/>
        </w:tabs>
        <w:spacing w:after="0"/>
        <w:jc w:val="center"/>
        <w:rPr>
          <w:rFonts w:ascii="Times New Roman" w:hAnsi="Times New Roman" w:cs="Times New Roman"/>
          <w:b/>
        </w:rPr>
      </w:pPr>
      <w:r w:rsidRPr="001813D4">
        <w:rPr>
          <w:rFonts w:ascii="Times New Roman" w:hAnsi="Times New Roman" w:cs="Times New Roman"/>
          <w:b/>
        </w:rPr>
        <w:t>Cuadro 2</w:t>
      </w:r>
    </w:p>
    <w:p w14:paraId="171536F1" w14:textId="439F49BA" w:rsidR="009F7898" w:rsidRPr="001813D4" w:rsidRDefault="00A45E15" w:rsidP="0040090D">
      <w:pPr>
        <w:tabs>
          <w:tab w:val="left" w:pos="1056"/>
        </w:tabs>
        <w:spacing w:after="0"/>
        <w:jc w:val="center"/>
        <w:rPr>
          <w:rFonts w:ascii="Times New Roman" w:hAnsi="Times New Roman" w:cs="Times New Roman"/>
          <w:b/>
        </w:rPr>
      </w:pPr>
      <w:r w:rsidRPr="001813D4">
        <w:rPr>
          <w:rFonts w:ascii="Times New Roman" w:hAnsi="Times New Roman" w:cs="Times New Roman"/>
          <w:b/>
        </w:rPr>
        <w:t xml:space="preserve">Inversiones por Régimen de Pensiones </w:t>
      </w:r>
    </w:p>
    <w:p w14:paraId="4F44208A" w14:textId="0B2E773A" w:rsidR="00D61EF1" w:rsidRDefault="00A45E15" w:rsidP="0040090D">
      <w:pPr>
        <w:tabs>
          <w:tab w:val="left" w:pos="1056"/>
        </w:tabs>
        <w:spacing w:after="0"/>
        <w:jc w:val="center"/>
        <w:rPr>
          <w:noProof/>
        </w:rPr>
      </w:pPr>
      <w:r w:rsidRPr="001813D4">
        <w:rPr>
          <w:rFonts w:ascii="Times New Roman" w:hAnsi="Times New Roman" w:cs="Times New Roman"/>
          <w:b/>
        </w:rPr>
        <w:t>(millones de colones)</w:t>
      </w:r>
      <w:r w:rsidR="00634479" w:rsidRPr="00634479">
        <w:rPr>
          <w:noProof/>
        </w:rPr>
        <w:t xml:space="preserve"> </w:t>
      </w:r>
    </w:p>
    <w:p w14:paraId="10A093EF" w14:textId="0A120FE2" w:rsidR="00FD35B4" w:rsidRPr="001813D4" w:rsidRDefault="00FD35B4" w:rsidP="0040090D">
      <w:pPr>
        <w:tabs>
          <w:tab w:val="left" w:pos="1056"/>
        </w:tabs>
        <w:spacing w:after="0"/>
        <w:jc w:val="center"/>
        <w:rPr>
          <w:rFonts w:ascii="Times New Roman" w:hAnsi="Times New Roman" w:cs="Times New Roman"/>
          <w:b/>
        </w:rPr>
      </w:pPr>
      <w:r w:rsidRPr="00FD35B4">
        <w:rPr>
          <w:noProof/>
        </w:rPr>
        <w:drawing>
          <wp:inline distT="0" distB="0" distL="0" distR="0" wp14:anchorId="5A77529E" wp14:editId="54FB27E9">
            <wp:extent cx="6390640" cy="1692055"/>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0640" cy="1692055"/>
                    </a:xfrm>
                    <a:prstGeom prst="rect">
                      <a:avLst/>
                    </a:prstGeom>
                    <a:noFill/>
                    <a:ln>
                      <a:noFill/>
                    </a:ln>
                  </pic:spPr>
                </pic:pic>
              </a:graphicData>
            </a:graphic>
          </wp:inline>
        </w:drawing>
      </w:r>
    </w:p>
    <w:p w14:paraId="1051EB33" w14:textId="216EBB27" w:rsidR="007C0A10" w:rsidRDefault="007C0A10" w:rsidP="0040090D">
      <w:pPr>
        <w:pStyle w:val="Prrafodelista"/>
        <w:spacing w:after="0"/>
        <w:ind w:left="0"/>
        <w:jc w:val="both"/>
        <w:rPr>
          <w:rFonts w:ascii="Times New Roman" w:hAnsi="Times New Roman" w:cs="Times New Roman"/>
          <w:sz w:val="22"/>
        </w:rPr>
      </w:pPr>
    </w:p>
    <w:p w14:paraId="300E96F8" w14:textId="41F34C66" w:rsidR="000F413C" w:rsidRDefault="000F413C" w:rsidP="0040090D">
      <w:pPr>
        <w:pStyle w:val="Prrafodelista"/>
        <w:spacing w:after="0"/>
        <w:ind w:left="0"/>
        <w:jc w:val="both"/>
        <w:rPr>
          <w:rFonts w:ascii="Times New Roman" w:hAnsi="Times New Roman" w:cs="Times New Roman"/>
          <w:sz w:val="22"/>
        </w:rPr>
      </w:pPr>
    </w:p>
    <w:p w14:paraId="2DC6BEAC" w14:textId="77777777" w:rsidR="000F413C" w:rsidRDefault="000F413C" w:rsidP="0040090D">
      <w:pPr>
        <w:pStyle w:val="Prrafodelista"/>
        <w:spacing w:after="0"/>
        <w:ind w:left="0"/>
        <w:jc w:val="both"/>
        <w:rPr>
          <w:rFonts w:ascii="Times New Roman" w:hAnsi="Times New Roman" w:cs="Times New Roman"/>
          <w:sz w:val="22"/>
        </w:rPr>
      </w:pPr>
    </w:p>
    <w:p w14:paraId="72A59CEF" w14:textId="0ADF765A" w:rsidR="000F413C" w:rsidRDefault="000F413C" w:rsidP="0040090D">
      <w:pPr>
        <w:pStyle w:val="Prrafodelista"/>
        <w:spacing w:after="0"/>
        <w:ind w:left="0"/>
        <w:jc w:val="both"/>
        <w:rPr>
          <w:rFonts w:ascii="Times New Roman" w:hAnsi="Times New Roman" w:cs="Times New Roman"/>
          <w:sz w:val="22"/>
        </w:rPr>
      </w:pPr>
    </w:p>
    <w:p w14:paraId="39CC1EBB" w14:textId="77777777" w:rsidR="000F413C" w:rsidRDefault="000F413C" w:rsidP="0040090D">
      <w:pPr>
        <w:pStyle w:val="Prrafodelista"/>
        <w:spacing w:after="0"/>
        <w:ind w:left="0"/>
        <w:jc w:val="both"/>
        <w:rPr>
          <w:rFonts w:ascii="Times New Roman" w:hAnsi="Times New Roman" w:cs="Times New Roman"/>
        </w:rPr>
      </w:pPr>
    </w:p>
    <w:p w14:paraId="14015CDE" w14:textId="166ABC12" w:rsidR="00634479" w:rsidRDefault="00634479" w:rsidP="0040090D">
      <w:pPr>
        <w:pStyle w:val="Prrafodelista"/>
        <w:spacing w:after="0"/>
        <w:ind w:left="0"/>
        <w:jc w:val="both"/>
        <w:rPr>
          <w:rFonts w:ascii="Times New Roman" w:hAnsi="Times New Roman" w:cs="Times New Roman"/>
        </w:rPr>
      </w:pPr>
    </w:p>
    <w:p w14:paraId="17BDBC95" w14:textId="6F93E608" w:rsidR="00634479" w:rsidRDefault="00634479" w:rsidP="0040090D">
      <w:pPr>
        <w:pStyle w:val="Prrafodelista"/>
        <w:spacing w:after="0"/>
        <w:ind w:left="0"/>
        <w:jc w:val="both"/>
        <w:rPr>
          <w:rFonts w:ascii="Times New Roman" w:hAnsi="Times New Roman" w:cs="Times New Roman"/>
        </w:rPr>
      </w:pPr>
    </w:p>
    <w:p w14:paraId="17ECAE3B" w14:textId="77777777" w:rsidR="00634479" w:rsidRPr="002B039B" w:rsidRDefault="00634479" w:rsidP="0040090D">
      <w:pPr>
        <w:pStyle w:val="Prrafodelista"/>
        <w:spacing w:after="0"/>
        <w:ind w:left="0"/>
        <w:jc w:val="both"/>
        <w:rPr>
          <w:rFonts w:ascii="Times New Roman" w:hAnsi="Times New Roman" w:cs="Times New Roman"/>
        </w:rPr>
      </w:pPr>
    </w:p>
    <w:p w14:paraId="0774F63D" w14:textId="7F546057" w:rsidR="00473A10" w:rsidRPr="001813D4" w:rsidRDefault="00A45E15" w:rsidP="00634479">
      <w:pPr>
        <w:tabs>
          <w:tab w:val="left" w:pos="1056"/>
        </w:tabs>
        <w:spacing w:after="0"/>
        <w:jc w:val="center"/>
        <w:rPr>
          <w:rFonts w:ascii="Times New Roman" w:hAnsi="Times New Roman" w:cs="Times New Roman"/>
          <w:b/>
        </w:rPr>
      </w:pPr>
      <w:r w:rsidRPr="001813D4">
        <w:rPr>
          <w:rFonts w:ascii="Times New Roman" w:hAnsi="Times New Roman" w:cs="Times New Roman"/>
          <w:b/>
        </w:rPr>
        <w:lastRenderedPageBreak/>
        <w:t>Gráfico 3</w:t>
      </w:r>
    </w:p>
    <w:p w14:paraId="716DEF53" w14:textId="3A4654D9" w:rsidR="00BA06A6" w:rsidRPr="001813D4" w:rsidRDefault="00110DF9" w:rsidP="0040090D">
      <w:pPr>
        <w:spacing w:after="0"/>
        <w:rPr>
          <w:rFonts w:ascii="Times New Roman" w:hAnsi="Times New Roman" w:cs="Times New Roman"/>
        </w:rPr>
      </w:pPr>
      <w:r>
        <w:rPr>
          <w:noProof/>
        </w:rPr>
        <w:drawing>
          <wp:inline distT="0" distB="0" distL="0" distR="0" wp14:anchorId="6C786036" wp14:editId="7902D39F">
            <wp:extent cx="6390640" cy="47720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90640" cy="4772025"/>
                    </a:xfrm>
                    <a:prstGeom prst="rect">
                      <a:avLst/>
                    </a:prstGeom>
                  </pic:spPr>
                </pic:pic>
              </a:graphicData>
            </a:graphic>
          </wp:inline>
        </w:drawing>
      </w:r>
    </w:p>
    <w:p w14:paraId="44D8A6B1" w14:textId="0E0AE469" w:rsidR="004045D4" w:rsidRPr="000F413C" w:rsidRDefault="003563A2" w:rsidP="000F413C">
      <w:pPr>
        <w:pStyle w:val="Prrafodelista"/>
        <w:numPr>
          <w:ilvl w:val="0"/>
          <w:numId w:val="4"/>
        </w:numPr>
        <w:tabs>
          <w:tab w:val="left" w:pos="1056"/>
        </w:tabs>
        <w:spacing w:after="0"/>
        <w:jc w:val="both"/>
        <w:rPr>
          <w:rFonts w:ascii="Times New Roman" w:hAnsi="Times New Roman" w:cs="Times New Roman"/>
          <w:lang w:val="es-CR"/>
        </w:rPr>
      </w:pPr>
      <w:r w:rsidRPr="000F413C">
        <w:rPr>
          <w:rFonts w:ascii="Times New Roman" w:hAnsi="Times New Roman" w:cs="Times New Roman"/>
          <w:lang w:val="es-CR"/>
        </w:rPr>
        <w:t>El</w:t>
      </w:r>
      <w:r w:rsidR="00BA06A6" w:rsidRPr="000F413C">
        <w:rPr>
          <w:rFonts w:ascii="Times New Roman" w:hAnsi="Times New Roman" w:cs="Times New Roman"/>
          <w:lang w:val="es-CR"/>
        </w:rPr>
        <w:t xml:space="preserve"> Ministerio</w:t>
      </w:r>
      <w:r w:rsidRPr="000F413C">
        <w:rPr>
          <w:rFonts w:ascii="Times New Roman" w:hAnsi="Times New Roman" w:cs="Times New Roman"/>
          <w:lang w:val="es-CR"/>
        </w:rPr>
        <w:t xml:space="preserve"> de Hacienda representa</w:t>
      </w:r>
      <w:r w:rsidR="00141888" w:rsidRPr="000F413C">
        <w:rPr>
          <w:rFonts w:ascii="Times New Roman" w:hAnsi="Times New Roman" w:cs="Times New Roman"/>
          <w:lang w:val="es-CR"/>
        </w:rPr>
        <w:t xml:space="preserve"> el emisor más importante de las carteras de inversión</w:t>
      </w:r>
      <w:r w:rsidR="00BA06A6" w:rsidRPr="000F413C">
        <w:rPr>
          <w:rFonts w:ascii="Times New Roman" w:hAnsi="Times New Roman" w:cs="Times New Roman"/>
          <w:lang w:val="es-CR"/>
        </w:rPr>
        <w:t xml:space="preserve">, </w:t>
      </w:r>
      <w:r w:rsidR="00B544A7" w:rsidRPr="000F413C">
        <w:rPr>
          <w:rFonts w:ascii="Times New Roman" w:hAnsi="Times New Roman" w:cs="Times New Roman"/>
          <w:lang w:val="es-CR"/>
        </w:rPr>
        <w:t>junto con el Banco Central de Costa Rica, el promedio ponderado por activo administrado representó</w:t>
      </w:r>
      <w:r w:rsidR="000F413C">
        <w:rPr>
          <w:rFonts w:ascii="Times New Roman" w:hAnsi="Times New Roman" w:cs="Times New Roman"/>
          <w:lang w:val="es-CR"/>
        </w:rPr>
        <w:t xml:space="preserve"> </w:t>
      </w:r>
      <w:r w:rsidR="00271E22" w:rsidRPr="000F413C">
        <w:rPr>
          <w:rFonts w:ascii="Times New Roman" w:hAnsi="Times New Roman" w:cs="Times New Roman"/>
          <w:lang w:val="es-CR"/>
        </w:rPr>
        <w:t>55.62</w:t>
      </w:r>
      <w:r w:rsidR="00BA06A6" w:rsidRPr="000F413C">
        <w:rPr>
          <w:rFonts w:ascii="Times New Roman" w:hAnsi="Times New Roman" w:cs="Times New Roman"/>
          <w:lang w:val="es-CR"/>
        </w:rPr>
        <w:t xml:space="preserve">% de la cartera. </w:t>
      </w:r>
    </w:p>
    <w:p w14:paraId="690D14D7" w14:textId="24918E3F" w:rsidR="000F413C" w:rsidRPr="00FB52F5" w:rsidRDefault="000F413C" w:rsidP="00FB52F5">
      <w:pPr>
        <w:tabs>
          <w:tab w:val="left" w:pos="1056"/>
        </w:tabs>
        <w:spacing w:after="0"/>
        <w:jc w:val="both"/>
        <w:rPr>
          <w:rFonts w:ascii="Times New Roman" w:hAnsi="Times New Roman" w:cs="Times New Roman"/>
          <w:lang w:val="es-CR"/>
        </w:rPr>
      </w:pPr>
    </w:p>
    <w:p w14:paraId="3D4ED7CD" w14:textId="75DACBFE" w:rsidR="00BA06A6" w:rsidRPr="002B039B" w:rsidRDefault="00BA06A6" w:rsidP="00FB52F5">
      <w:pPr>
        <w:pStyle w:val="Prrafodelista"/>
        <w:tabs>
          <w:tab w:val="left" w:pos="1056"/>
        </w:tabs>
        <w:spacing w:after="0"/>
        <w:ind w:left="360"/>
        <w:jc w:val="both"/>
        <w:rPr>
          <w:rFonts w:ascii="Times New Roman" w:hAnsi="Times New Roman" w:cs="Times New Roman"/>
          <w:lang w:val="es-CR"/>
        </w:rPr>
      </w:pPr>
    </w:p>
    <w:p w14:paraId="14B9AD9D" w14:textId="4A6E733E" w:rsidR="00BA06A6" w:rsidRPr="002E2A7E" w:rsidRDefault="00BA06A6" w:rsidP="00FB52F5">
      <w:pPr>
        <w:pStyle w:val="Prrafodelista"/>
        <w:numPr>
          <w:ilvl w:val="0"/>
          <w:numId w:val="4"/>
        </w:numPr>
        <w:tabs>
          <w:tab w:val="left" w:pos="1056"/>
        </w:tabs>
        <w:spacing w:after="0"/>
        <w:jc w:val="both"/>
        <w:rPr>
          <w:rFonts w:ascii="Times New Roman" w:hAnsi="Times New Roman" w:cs="Times New Roman"/>
          <w:lang w:val="es-CR"/>
        </w:rPr>
      </w:pPr>
      <w:r w:rsidRPr="002E2A7E">
        <w:rPr>
          <w:rFonts w:ascii="Times New Roman" w:hAnsi="Times New Roman" w:cs="Times New Roman"/>
          <w:lang w:val="es-CR"/>
        </w:rPr>
        <w:t>El porcentaje de inversiones en valores extranjeros pa</w:t>
      </w:r>
      <w:r w:rsidR="007F48C7" w:rsidRPr="002E2A7E">
        <w:rPr>
          <w:rFonts w:ascii="Times New Roman" w:hAnsi="Times New Roman" w:cs="Times New Roman"/>
          <w:lang w:val="es-CR"/>
        </w:rPr>
        <w:t>s</w:t>
      </w:r>
      <w:r w:rsidRPr="002E2A7E">
        <w:rPr>
          <w:rFonts w:ascii="Times New Roman" w:hAnsi="Times New Roman" w:cs="Times New Roman"/>
          <w:lang w:val="es-CR"/>
        </w:rPr>
        <w:t xml:space="preserve">ó </w:t>
      </w:r>
      <w:r w:rsidR="007F48C7" w:rsidRPr="002E2A7E">
        <w:rPr>
          <w:rFonts w:ascii="Times New Roman" w:hAnsi="Times New Roman" w:cs="Times New Roman"/>
          <w:lang w:val="es-CR"/>
        </w:rPr>
        <w:t xml:space="preserve">de 8,12%, </w:t>
      </w:r>
      <w:r w:rsidRPr="002E2A7E">
        <w:rPr>
          <w:rFonts w:ascii="Times New Roman" w:hAnsi="Times New Roman" w:cs="Times New Roman"/>
          <w:lang w:val="es-CR"/>
        </w:rPr>
        <w:t>a finales del 2016</w:t>
      </w:r>
      <w:r w:rsidR="004045D4" w:rsidRPr="002E2A7E">
        <w:rPr>
          <w:rFonts w:ascii="Times New Roman" w:hAnsi="Times New Roman" w:cs="Times New Roman"/>
          <w:lang w:val="es-CR"/>
        </w:rPr>
        <w:t xml:space="preserve"> </w:t>
      </w:r>
      <w:r w:rsidR="005F4D09" w:rsidRPr="002E2A7E">
        <w:rPr>
          <w:rFonts w:ascii="Times New Roman" w:hAnsi="Times New Roman" w:cs="Times New Roman"/>
          <w:lang w:val="es-CR"/>
        </w:rPr>
        <w:t>a 9,</w:t>
      </w:r>
      <w:r w:rsidRPr="002E2A7E">
        <w:rPr>
          <w:rFonts w:ascii="Times New Roman" w:hAnsi="Times New Roman" w:cs="Times New Roman"/>
          <w:lang w:val="es-CR"/>
        </w:rPr>
        <w:t>76%</w:t>
      </w:r>
      <w:r w:rsidR="007F48C7" w:rsidRPr="002E2A7E">
        <w:rPr>
          <w:rFonts w:ascii="Times New Roman" w:hAnsi="Times New Roman" w:cs="Times New Roman"/>
          <w:lang w:val="es-CR"/>
        </w:rPr>
        <w:t xml:space="preserve"> para el ROP</w:t>
      </w:r>
      <w:r w:rsidRPr="002E2A7E">
        <w:rPr>
          <w:rFonts w:ascii="Times New Roman" w:hAnsi="Times New Roman" w:cs="Times New Roman"/>
          <w:lang w:val="es-CR"/>
        </w:rPr>
        <w:t>.</w:t>
      </w:r>
      <w:r w:rsidR="007F48C7" w:rsidRPr="002E2A7E">
        <w:rPr>
          <w:rFonts w:ascii="Times New Roman" w:hAnsi="Times New Roman" w:cs="Times New Roman"/>
          <w:lang w:val="es-CR"/>
        </w:rPr>
        <w:t xml:space="preserve"> </w:t>
      </w:r>
    </w:p>
    <w:p w14:paraId="46E0111D" w14:textId="19710FB3" w:rsidR="004045D4" w:rsidRDefault="004045D4" w:rsidP="00634479">
      <w:pPr>
        <w:tabs>
          <w:tab w:val="left" w:pos="1056"/>
        </w:tabs>
        <w:spacing w:after="0"/>
        <w:rPr>
          <w:rFonts w:ascii="Times New Roman" w:hAnsi="Times New Roman" w:cs="Times New Roman"/>
          <w:b/>
        </w:rPr>
      </w:pPr>
    </w:p>
    <w:p w14:paraId="2174189A" w14:textId="603F6F3A" w:rsidR="000F413C" w:rsidRDefault="000F413C" w:rsidP="00634479">
      <w:pPr>
        <w:tabs>
          <w:tab w:val="left" w:pos="1056"/>
        </w:tabs>
        <w:spacing w:after="0"/>
        <w:rPr>
          <w:rFonts w:ascii="Times New Roman" w:hAnsi="Times New Roman" w:cs="Times New Roman"/>
          <w:b/>
        </w:rPr>
      </w:pPr>
    </w:p>
    <w:p w14:paraId="7C9AE300" w14:textId="6D66AA9B" w:rsidR="000F413C" w:rsidRDefault="000F413C" w:rsidP="00634479">
      <w:pPr>
        <w:tabs>
          <w:tab w:val="left" w:pos="1056"/>
        </w:tabs>
        <w:spacing w:after="0"/>
        <w:rPr>
          <w:rFonts w:ascii="Times New Roman" w:hAnsi="Times New Roman" w:cs="Times New Roman"/>
          <w:b/>
        </w:rPr>
      </w:pPr>
    </w:p>
    <w:p w14:paraId="16ABF146" w14:textId="02A88D4C" w:rsidR="000F413C" w:rsidRDefault="000F413C" w:rsidP="00634479">
      <w:pPr>
        <w:tabs>
          <w:tab w:val="left" w:pos="1056"/>
        </w:tabs>
        <w:spacing w:after="0"/>
        <w:rPr>
          <w:rFonts w:ascii="Times New Roman" w:hAnsi="Times New Roman" w:cs="Times New Roman"/>
          <w:b/>
        </w:rPr>
      </w:pPr>
    </w:p>
    <w:p w14:paraId="17415B7A" w14:textId="070DDEFC" w:rsidR="000F413C" w:rsidRDefault="000F413C" w:rsidP="00634479">
      <w:pPr>
        <w:tabs>
          <w:tab w:val="left" w:pos="1056"/>
        </w:tabs>
        <w:spacing w:after="0"/>
        <w:rPr>
          <w:rFonts w:ascii="Times New Roman" w:hAnsi="Times New Roman" w:cs="Times New Roman"/>
          <w:b/>
        </w:rPr>
      </w:pPr>
    </w:p>
    <w:p w14:paraId="3A302D95" w14:textId="4A7AB3AE" w:rsidR="000F413C" w:rsidRDefault="000F413C" w:rsidP="00634479">
      <w:pPr>
        <w:tabs>
          <w:tab w:val="left" w:pos="1056"/>
        </w:tabs>
        <w:spacing w:after="0"/>
        <w:rPr>
          <w:rFonts w:ascii="Times New Roman" w:hAnsi="Times New Roman" w:cs="Times New Roman"/>
          <w:b/>
        </w:rPr>
      </w:pPr>
    </w:p>
    <w:p w14:paraId="604BF8D8" w14:textId="60C42A11" w:rsidR="000F413C" w:rsidRDefault="000F413C" w:rsidP="00634479">
      <w:pPr>
        <w:tabs>
          <w:tab w:val="left" w:pos="1056"/>
        </w:tabs>
        <w:spacing w:after="0"/>
        <w:rPr>
          <w:rFonts w:ascii="Times New Roman" w:hAnsi="Times New Roman" w:cs="Times New Roman"/>
          <w:b/>
        </w:rPr>
      </w:pPr>
    </w:p>
    <w:p w14:paraId="608EBE0B" w14:textId="0F31A2E6" w:rsidR="000F413C" w:rsidRDefault="000F413C" w:rsidP="00634479">
      <w:pPr>
        <w:tabs>
          <w:tab w:val="left" w:pos="1056"/>
        </w:tabs>
        <w:spacing w:after="0"/>
        <w:rPr>
          <w:rFonts w:ascii="Times New Roman" w:hAnsi="Times New Roman" w:cs="Times New Roman"/>
          <w:b/>
        </w:rPr>
      </w:pPr>
    </w:p>
    <w:p w14:paraId="7E42F8BD" w14:textId="4D4E6073" w:rsidR="000F413C" w:rsidRDefault="000F413C" w:rsidP="00634479">
      <w:pPr>
        <w:tabs>
          <w:tab w:val="left" w:pos="1056"/>
        </w:tabs>
        <w:spacing w:after="0"/>
        <w:rPr>
          <w:rFonts w:ascii="Times New Roman" w:hAnsi="Times New Roman" w:cs="Times New Roman"/>
          <w:b/>
        </w:rPr>
      </w:pPr>
    </w:p>
    <w:p w14:paraId="52D6F928" w14:textId="5BF09BB3" w:rsidR="000F413C" w:rsidRDefault="000F413C" w:rsidP="00634479">
      <w:pPr>
        <w:tabs>
          <w:tab w:val="left" w:pos="1056"/>
        </w:tabs>
        <w:spacing w:after="0"/>
        <w:rPr>
          <w:rFonts w:ascii="Times New Roman" w:hAnsi="Times New Roman" w:cs="Times New Roman"/>
          <w:b/>
        </w:rPr>
      </w:pPr>
    </w:p>
    <w:p w14:paraId="3891F8CC" w14:textId="7A5AC02E" w:rsidR="000F413C" w:rsidRDefault="000F413C" w:rsidP="00634479">
      <w:pPr>
        <w:tabs>
          <w:tab w:val="left" w:pos="1056"/>
        </w:tabs>
        <w:spacing w:after="0"/>
        <w:rPr>
          <w:rFonts w:ascii="Times New Roman" w:hAnsi="Times New Roman" w:cs="Times New Roman"/>
          <w:b/>
        </w:rPr>
      </w:pPr>
    </w:p>
    <w:p w14:paraId="068B8B84" w14:textId="60517655" w:rsidR="00997E39" w:rsidRDefault="00997E39" w:rsidP="00634479">
      <w:pPr>
        <w:tabs>
          <w:tab w:val="left" w:pos="1056"/>
        </w:tabs>
        <w:spacing w:after="0"/>
        <w:rPr>
          <w:rFonts w:ascii="Times New Roman" w:hAnsi="Times New Roman" w:cs="Times New Roman"/>
          <w:b/>
        </w:rPr>
      </w:pPr>
    </w:p>
    <w:p w14:paraId="30358DE5" w14:textId="77777777" w:rsidR="00997E39" w:rsidRDefault="00997E39" w:rsidP="00634479">
      <w:pPr>
        <w:tabs>
          <w:tab w:val="left" w:pos="1056"/>
        </w:tabs>
        <w:spacing w:after="0"/>
        <w:rPr>
          <w:rFonts w:ascii="Times New Roman" w:hAnsi="Times New Roman" w:cs="Times New Roman"/>
          <w:b/>
        </w:rPr>
      </w:pPr>
    </w:p>
    <w:p w14:paraId="447E0351" w14:textId="77777777" w:rsidR="000F413C" w:rsidRDefault="000F413C" w:rsidP="00634479">
      <w:pPr>
        <w:tabs>
          <w:tab w:val="left" w:pos="1056"/>
        </w:tabs>
        <w:spacing w:after="0"/>
        <w:rPr>
          <w:rFonts w:ascii="Times New Roman" w:hAnsi="Times New Roman" w:cs="Times New Roman"/>
          <w:b/>
        </w:rPr>
      </w:pPr>
    </w:p>
    <w:p w14:paraId="2C24BEE1" w14:textId="77777777" w:rsidR="004045D4" w:rsidRDefault="004045D4" w:rsidP="0040090D">
      <w:pPr>
        <w:tabs>
          <w:tab w:val="left" w:pos="1056"/>
        </w:tabs>
        <w:spacing w:after="0"/>
        <w:jc w:val="center"/>
        <w:rPr>
          <w:rFonts w:ascii="Times New Roman" w:hAnsi="Times New Roman" w:cs="Times New Roman"/>
          <w:b/>
        </w:rPr>
      </w:pPr>
    </w:p>
    <w:p w14:paraId="415965BD" w14:textId="4EDC9090" w:rsidR="00A45E15" w:rsidRPr="002B039B" w:rsidRDefault="00FF5D52" w:rsidP="0040090D">
      <w:pPr>
        <w:tabs>
          <w:tab w:val="left" w:pos="1056"/>
        </w:tabs>
        <w:spacing w:after="0"/>
        <w:jc w:val="center"/>
        <w:rPr>
          <w:rFonts w:ascii="Times New Roman" w:hAnsi="Times New Roman" w:cs="Times New Roman"/>
          <w:b/>
        </w:rPr>
      </w:pPr>
      <w:r>
        <w:rPr>
          <w:rFonts w:ascii="Times New Roman" w:hAnsi="Times New Roman" w:cs="Times New Roman"/>
          <w:b/>
        </w:rPr>
        <w:t>Cuadro 3</w:t>
      </w:r>
    </w:p>
    <w:p w14:paraId="78A698EE" w14:textId="218C33E9" w:rsidR="00A45E15" w:rsidRPr="002B039B" w:rsidRDefault="00A45E15" w:rsidP="0040090D">
      <w:pPr>
        <w:tabs>
          <w:tab w:val="left" w:pos="1056"/>
        </w:tabs>
        <w:spacing w:after="0"/>
        <w:jc w:val="center"/>
        <w:rPr>
          <w:rFonts w:ascii="Times New Roman" w:hAnsi="Times New Roman" w:cs="Times New Roman"/>
          <w:b/>
        </w:rPr>
      </w:pPr>
      <w:r w:rsidRPr="002B039B">
        <w:rPr>
          <w:rFonts w:ascii="Times New Roman" w:hAnsi="Times New Roman" w:cs="Times New Roman"/>
          <w:b/>
        </w:rPr>
        <w:t>ROP Inversiones en valores extranjeros</w:t>
      </w:r>
      <w:r w:rsidR="007F48C7">
        <w:rPr>
          <w:rFonts w:ascii="Times New Roman" w:hAnsi="Times New Roman" w:cs="Times New Roman"/>
          <w:b/>
        </w:rPr>
        <w:t xml:space="preserve"> </w:t>
      </w:r>
    </w:p>
    <w:p w14:paraId="05D89F9C" w14:textId="139FE7DB" w:rsidR="005338C5" w:rsidRPr="00C937FF" w:rsidRDefault="00A45E15" w:rsidP="001813D4">
      <w:pPr>
        <w:tabs>
          <w:tab w:val="left" w:pos="1056"/>
        </w:tabs>
        <w:spacing w:after="0"/>
        <w:jc w:val="center"/>
        <w:rPr>
          <w:rFonts w:ascii="Times New Roman" w:hAnsi="Times New Roman" w:cs="Times New Roman"/>
          <w:b/>
        </w:rPr>
      </w:pPr>
      <w:r w:rsidRPr="002B039B">
        <w:rPr>
          <w:rFonts w:ascii="Times New Roman" w:hAnsi="Times New Roman" w:cs="Times New Roman"/>
          <w:b/>
        </w:rPr>
        <w:t xml:space="preserve">(monto en </w:t>
      </w:r>
      <w:r w:rsidR="00C937FF">
        <w:rPr>
          <w:rFonts w:ascii="Times New Roman" w:hAnsi="Times New Roman" w:cs="Times New Roman"/>
          <w:b/>
        </w:rPr>
        <w:t xml:space="preserve">millones de </w:t>
      </w:r>
      <w:r w:rsidRPr="002B039B">
        <w:rPr>
          <w:rFonts w:ascii="Times New Roman" w:hAnsi="Times New Roman" w:cs="Times New Roman"/>
          <w:b/>
        </w:rPr>
        <w:t>colones)</w:t>
      </w:r>
    </w:p>
    <w:p w14:paraId="22AB8A79" w14:textId="2BF7457C" w:rsidR="00BA06A6" w:rsidRDefault="00C937FF" w:rsidP="001813D4">
      <w:pPr>
        <w:tabs>
          <w:tab w:val="left" w:pos="1056"/>
        </w:tabs>
        <w:spacing w:after="0"/>
        <w:jc w:val="center"/>
        <w:rPr>
          <w:rFonts w:ascii="Times New Roman" w:hAnsi="Times New Roman" w:cs="Times New Roman"/>
        </w:rPr>
      </w:pPr>
      <w:r w:rsidRPr="00C937FF">
        <w:rPr>
          <w:noProof/>
        </w:rPr>
        <w:drawing>
          <wp:inline distT="0" distB="0" distL="0" distR="0" wp14:anchorId="20D281C2" wp14:editId="381B42DB">
            <wp:extent cx="4071118" cy="5353416"/>
            <wp:effectExtent l="0" t="0" r="571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5156" cy="5358726"/>
                    </a:xfrm>
                    <a:prstGeom prst="rect">
                      <a:avLst/>
                    </a:prstGeom>
                    <a:noFill/>
                    <a:ln>
                      <a:noFill/>
                    </a:ln>
                  </pic:spPr>
                </pic:pic>
              </a:graphicData>
            </a:graphic>
          </wp:inline>
        </w:drawing>
      </w:r>
    </w:p>
    <w:p w14:paraId="746A40C1" w14:textId="11A5D24D" w:rsidR="005338C5" w:rsidRDefault="005338C5" w:rsidP="001813D4">
      <w:pPr>
        <w:tabs>
          <w:tab w:val="left" w:pos="1056"/>
        </w:tabs>
        <w:spacing w:after="0"/>
        <w:jc w:val="center"/>
        <w:rPr>
          <w:rFonts w:ascii="Times New Roman" w:hAnsi="Times New Roman" w:cs="Times New Roman"/>
        </w:rPr>
      </w:pPr>
    </w:p>
    <w:p w14:paraId="21818534" w14:textId="289FFF9C" w:rsidR="005338C5" w:rsidRDefault="005338C5" w:rsidP="001813D4">
      <w:pPr>
        <w:tabs>
          <w:tab w:val="left" w:pos="1056"/>
        </w:tabs>
        <w:spacing w:after="0"/>
        <w:jc w:val="center"/>
        <w:rPr>
          <w:rFonts w:ascii="Times New Roman" w:hAnsi="Times New Roman" w:cs="Times New Roman"/>
        </w:rPr>
      </w:pPr>
    </w:p>
    <w:p w14:paraId="7394BEC5" w14:textId="5ED0B417" w:rsidR="00634479" w:rsidRDefault="00634479" w:rsidP="001813D4">
      <w:pPr>
        <w:tabs>
          <w:tab w:val="left" w:pos="1056"/>
        </w:tabs>
        <w:spacing w:after="0"/>
        <w:jc w:val="center"/>
        <w:rPr>
          <w:rFonts w:ascii="Times New Roman" w:hAnsi="Times New Roman" w:cs="Times New Roman"/>
        </w:rPr>
      </w:pPr>
    </w:p>
    <w:p w14:paraId="30C6B9F3" w14:textId="6281DC7B" w:rsidR="00634479" w:rsidRDefault="00634479" w:rsidP="001813D4">
      <w:pPr>
        <w:tabs>
          <w:tab w:val="left" w:pos="1056"/>
        </w:tabs>
        <w:spacing w:after="0"/>
        <w:jc w:val="center"/>
        <w:rPr>
          <w:rFonts w:ascii="Times New Roman" w:hAnsi="Times New Roman" w:cs="Times New Roman"/>
        </w:rPr>
      </w:pPr>
    </w:p>
    <w:p w14:paraId="2AF454E5" w14:textId="0EF6DF2C" w:rsidR="000F413C" w:rsidRDefault="000F413C" w:rsidP="001813D4">
      <w:pPr>
        <w:tabs>
          <w:tab w:val="left" w:pos="1056"/>
        </w:tabs>
        <w:spacing w:after="0"/>
        <w:jc w:val="center"/>
        <w:rPr>
          <w:rFonts w:ascii="Times New Roman" w:hAnsi="Times New Roman" w:cs="Times New Roman"/>
        </w:rPr>
      </w:pPr>
    </w:p>
    <w:p w14:paraId="2FDC66F7" w14:textId="6F0F2F25" w:rsidR="000F413C" w:rsidRDefault="000F413C" w:rsidP="001813D4">
      <w:pPr>
        <w:tabs>
          <w:tab w:val="left" w:pos="1056"/>
        </w:tabs>
        <w:spacing w:after="0"/>
        <w:jc w:val="center"/>
        <w:rPr>
          <w:rFonts w:ascii="Times New Roman" w:hAnsi="Times New Roman" w:cs="Times New Roman"/>
        </w:rPr>
      </w:pPr>
    </w:p>
    <w:p w14:paraId="3490A29E" w14:textId="63FDAF25" w:rsidR="000F413C" w:rsidRDefault="000F413C" w:rsidP="001813D4">
      <w:pPr>
        <w:tabs>
          <w:tab w:val="left" w:pos="1056"/>
        </w:tabs>
        <w:spacing w:after="0"/>
        <w:jc w:val="center"/>
        <w:rPr>
          <w:rFonts w:ascii="Times New Roman" w:hAnsi="Times New Roman" w:cs="Times New Roman"/>
        </w:rPr>
      </w:pPr>
    </w:p>
    <w:p w14:paraId="1634FB21" w14:textId="17DB44A4" w:rsidR="000F413C" w:rsidRDefault="000F413C" w:rsidP="001813D4">
      <w:pPr>
        <w:tabs>
          <w:tab w:val="left" w:pos="1056"/>
        </w:tabs>
        <w:spacing w:after="0"/>
        <w:jc w:val="center"/>
        <w:rPr>
          <w:rFonts w:ascii="Times New Roman" w:hAnsi="Times New Roman" w:cs="Times New Roman"/>
        </w:rPr>
      </w:pPr>
    </w:p>
    <w:p w14:paraId="51E501F2" w14:textId="480608FB" w:rsidR="000F413C" w:rsidRDefault="000F413C" w:rsidP="001813D4">
      <w:pPr>
        <w:tabs>
          <w:tab w:val="left" w:pos="1056"/>
        </w:tabs>
        <w:spacing w:after="0"/>
        <w:jc w:val="center"/>
        <w:rPr>
          <w:rFonts w:ascii="Times New Roman" w:hAnsi="Times New Roman" w:cs="Times New Roman"/>
        </w:rPr>
      </w:pPr>
    </w:p>
    <w:p w14:paraId="2A9367CA" w14:textId="46427A58" w:rsidR="000F413C" w:rsidRDefault="000F413C" w:rsidP="001813D4">
      <w:pPr>
        <w:tabs>
          <w:tab w:val="left" w:pos="1056"/>
        </w:tabs>
        <w:spacing w:after="0"/>
        <w:jc w:val="center"/>
        <w:rPr>
          <w:rFonts w:ascii="Times New Roman" w:hAnsi="Times New Roman" w:cs="Times New Roman"/>
        </w:rPr>
      </w:pPr>
    </w:p>
    <w:p w14:paraId="7F5C5EA7" w14:textId="0DEE8D1C" w:rsidR="000F413C" w:rsidRDefault="000F413C" w:rsidP="001813D4">
      <w:pPr>
        <w:tabs>
          <w:tab w:val="left" w:pos="1056"/>
        </w:tabs>
        <w:spacing w:after="0"/>
        <w:jc w:val="center"/>
        <w:rPr>
          <w:rFonts w:ascii="Times New Roman" w:hAnsi="Times New Roman" w:cs="Times New Roman"/>
        </w:rPr>
      </w:pPr>
    </w:p>
    <w:p w14:paraId="13A8288B" w14:textId="40A53029" w:rsidR="000F413C" w:rsidRDefault="000F413C" w:rsidP="001813D4">
      <w:pPr>
        <w:tabs>
          <w:tab w:val="left" w:pos="1056"/>
        </w:tabs>
        <w:spacing w:after="0"/>
        <w:jc w:val="center"/>
        <w:rPr>
          <w:rFonts w:ascii="Times New Roman" w:hAnsi="Times New Roman" w:cs="Times New Roman"/>
        </w:rPr>
      </w:pPr>
    </w:p>
    <w:p w14:paraId="1C356512" w14:textId="5DD92A32" w:rsidR="000F413C" w:rsidRDefault="000F413C" w:rsidP="001813D4">
      <w:pPr>
        <w:tabs>
          <w:tab w:val="left" w:pos="1056"/>
        </w:tabs>
        <w:spacing w:after="0"/>
        <w:jc w:val="center"/>
        <w:rPr>
          <w:rFonts w:ascii="Times New Roman" w:hAnsi="Times New Roman" w:cs="Times New Roman"/>
        </w:rPr>
      </w:pPr>
    </w:p>
    <w:p w14:paraId="6F34B400" w14:textId="13B6AA43" w:rsidR="000F413C" w:rsidRDefault="000F413C" w:rsidP="001813D4">
      <w:pPr>
        <w:tabs>
          <w:tab w:val="left" w:pos="1056"/>
        </w:tabs>
        <w:spacing w:after="0"/>
        <w:jc w:val="center"/>
        <w:rPr>
          <w:rFonts w:ascii="Times New Roman" w:hAnsi="Times New Roman" w:cs="Times New Roman"/>
        </w:rPr>
      </w:pPr>
    </w:p>
    <w:p w14:paraId="61AE8CB4" w14:textId="681499AA" w:rsidR="000F413C" w:rsidRDefault="000F413C" w:rsidP="001813D4">
      <w:pPr>
        <w:tabs>
          <w:tab w:val="left" w:pos="1056"/>
        </w:tabs>
        <w:spacing w:after="0"/>
        <w:jc w:val="center"/>
        <w:rPr>
          <w:rFonts w:ascii="Times New Roman" w:hAnsi="Times New Roman" w:cs="Times New Roman"/>
        </w:rPr>
      </w:pPr>
    </w:p>
    <w:p w14:paraId="79580165" w14:textId="77777777" w:rsidR="000F413C" w:rsidRPr="001813D4" w:rsidRDefault="000F413C" w:rsidP="001813D4">
      <w:pPr>
        <w:tabs>
          <w:tab w:val="left" w:pos="1056"/>
        </w:tabs>
        <w:spacing w:after="0"/>
        <w:jc w:val="center"/>
        <w:rPr>
          <w:rFonts w:ascii="Times New Roman" w:hAnsi="Times New Roman" w:cs="Times New Roman"/>
        </w:rPr>
      </w:pPr>
    </w:p>
    <w:p w14:paraId="0420E789" w14:textId="7FB7583C" w:rsidR="00467734" w:rsidRPr="002E2A7E" w:rsidRDefault="00BA06A6" w:rsidP="0085283D">
      <w:pPr>
        <w:pStyle w:val="Prrafodelista"/>
        <w:numPr>
          <w:ilvl w:val="0"/>
          <w:numId w:val="4"/>
        </w:numPr>
        <w:spacing w:after="0"/>
        <w:ind w:left="0"/>
        <w:jc w:val="both"/>
        <w:rPr>
          <w:rFonts w:ascii="Times New Roman" w:hAnsi="Times New Roman" w:cs="Times New Roman"/>
          <w:lang w:val="es-CR"/>
        </w:rPr>
      </w:pPr>
      <w:r w:rsidRPr="002B039B">
        <w:rPr>
          <w:rFonts w:ascii="Times New Roman" w:hAnsi="Times New Roman" w:cs="Times New Roman"/>
          <w:lang w:val="es-CR"/>
        </w:rPr>
        <w:t xml:space="preserve">Las </w:t>
      </w:r>
      <w:r w:rsidRPr="002B039B">
        <w:rPr>
          <w:rFonts w:ascii="Times New Roman" w:hAnsi="Times New Roman" w:cs="Times New Roman"/>
        </w:rPr>
        <w:t>inversiones</w:t>
      </w:r>
      <w:r w:rsidRPr="002B039B">
        <w:rPr>
          <w:rFonts w:ascii="Times New Roman" w:hAnsi="Times New Roman" w:cs="Times New Roman"/>
          <w:lang w:val="es-CR"/>
        </w:rPr>
        <w:t xml:space="preserve"> en </w:t>
      </w:r>
      <w:r w:rsidRPr="002B039B">
        <w:rPr>
          <w:rFonts w:ascii="Times New Roman" w:hAnsi="Times New Roman" w:cs="Times New Roman"/>
        </w:rPr>
        <w:t>sector</w:t>
      </w:r>
      <w:r w:rsidRPr="002B039B">
        <w:rPr>
          <w:rFonts w:ascii="Times New Roman" w:hAnsi="Times New Roman" w:cs="Times New Roman"/>
          <w:lang w:val="es-CR"/>
        </w:rPr>
        <w:t xml:space="preserve"> privado </w:t>
      </w:r>
      <w:r w:rsidR="0085283D">
        <w:rPr>
          <w:rFonts w:ascii="Times New Roman" w:hAnsi="Times New Roman" w:cs="Times New Roman"/>
          <w:lang w:val="es-CR"/>
        </w:rPr>
        <w:t xml:space="preserve">local </w:t>
      </w:r>
      <w:r w:rsidRPr="002B039B">
        <w:rPr>
          <w:rFonts w:ascii="Times New Roman" w:hAnsi="Times New Roman" w:cs="Times New Roman"/>
          <w:lang w:val="es-CR"/>
        </w:rPr>
        <w:t xml:space="preserve">se caracterizan por ser de más corto plazo, </w:t>
      </w:r>
      <w:r w:rsidR="0085283D">
        <w:rPr>
          <w:rFonts w:ascii="Times New Roman" w:hAnsi="Times New Roman" w:cs="Times New Roman"/>
          <w:lang w:val="es-CR"/>
        </w:rPr>
        <w:t xml:space="preserve">en su mayoría bancos </w:t>
      </w:r>
      <w:r w:rsidR="0085283D" w:rsidRPr="002E2A7E">
        <w:rPr>
          <w:rFonts w:ascii="Times New Roman" w:hAnsi="Times New Roman" w:cs="Times New Roman"/>
          <w:lang w:val="es-CR"/>
        </w:rPr>
        <w:t>privados (</w:t>
      </w:r>
      <w:r w:rsidRPr="002E2A7E">
        <w:rPr>
          <w:rFonts w:ascii="Times New Roman" w:hAnsi="Times New Roman" w:cs="Times New Roman"/>
          <w:lang w:val="es-CR"/>
        </w:rPr>
        <w:t xml:space="preserve">captaciones </w:t>
      </w:r>
      <w:r w:rsidR="0085283D" w:rsidRPr="002E2A7E">
        <w:rPr>
          <w:rFonts w:ascii="Times New Roman" w:hAnsi="Times New Roman" w:cs="Times New Roman"/>
          <w:lang w:val="es-CR"/>
        </w:rPr>
        <w:t>en</w:t>
      </w:r>
      <w:r w:rsidR="002E2A7E" w:rsidRPr="002E2A7E">
        <w:rPr>
          <w:rFonts w:ascii="Times New Roman" w:hAnsi="Times New Roman" w:cs="Times New Roman"/>
          <w:lang w:val="es-CR"/>
        </w:rPr>
        <w:t xml:space="preserve"> certificados de inversión</w:t>
      </w:r>
      <w:r w:rsidR="0085283D" w:rsidRPr="002E2A7E">
        <w:rPr>
          <w:rFonts w:ascii="Times New Roman" w:hAnsi="Times New Roman" w:cs="Times New Roman"/>
          <w:lang w:val="es-CR"/>
        </w:rPr>
        <w:t xml:space="preserve"> principalmente).</w:t>
      </w:r>
    </w:p>
    <w:p w14:paraId="4FA8A495" w14:textId="6B2A100C" w:rsidR="004045D4" w:rsidRDefault="004045D4" w:rsidP="00467734">
      <w:pPr>
        <w:spacing w:after="0"/>
        <w:jc w:val="both"/>
        <w:rPr>
          <w:rFonts w:ascii="Times New Roman" w:hAnsi="Times New Roman" w:cs="Times New Roman"/>
          <w:lang w:val="es-CR"/>
        </w:rPr>
      </w:pPr>
    </w:p>
    <w:p w14:paraId="47B691D9" w14:textId="6A477001" w:rsidR="00634479" w:rsidRDefault="00634479" w:rsidP="00467734">
      <w:pPr>
        <w:spacing w:after="0"/>
        <w:jc w:val="both"/>
        <w:rPr>
          <w:rFonts w:ascii="Times New Roman" w:hAnsi="Times New Roman" w:cs="Times New Roman"/>
          <w:lang w:val="es-CR"/>
        </w:rPr>
      </w:pPr>
    </w:p>
    <w:p w14:paraId="51A0C8B4" w14:textId="77777777" w:rsidR="00634479" w:rsidRPr="00467734" w:rsidRDefault="00634479" w:rsidP="00467734">
      <w:pPr>
        <w:spacing w:after="0"/>
        <w:jc w:val="both"/>
        <w:rPr>
          <w:rFonts w:ascii="Times New Roman" w:hAnsi="Times New Roman" w:cs="Times New Roman"/>
          <w:lang w:val="es-CR"/>
        </w:rPr>
      </w:pPr>
    </w:p>
    <w:p w14:paraId="6BC15B83" w14:textId="25E64E47" w:rsidR="00BA06A6" w:rsidRDefault="00A45E15" w:rsidP="0040090D">
      <w:pPr>
        <w:spacing w:after="0"/>
        <w:rPr>
          <w:rFonts w:ascii="Times New Roman" w:hAnsi="Times New Roman" w:cs="Times New Roman"/>
          <w:b/>
        </w:rPr>
      </w:pPr>
      <w:r w:rsidRPr="001813D4">
        <w:rPr>
          <w:rFonts w:ascii="Times New Roman" w:hAnsi="Times New Roman" w:cs="Times New Roman"/>
          <w:b/>
        </w:rPr>
        <w:t xml:space="preserve">                                          </w:t>
      </w:r>
      <w:r w:rsidR="0063635E" w:rsidRPr="001813D4">
        <w:rPr>
          <w:rFonts w:ascii="Times New Roman" w:hAnsi="Times New Roman" w:cs="Times New Roman"/>
          <w:b/>
        </w:rPr>
        <w:t xml:space="preserve">                      </w:t>
      </w:r>
      <w:r w:rsidR="0063635E">
        <w:rPr>
          <w:rFonts w:ascii="Times New Roman" w:hAnsi="Times New Roman" w:cs="Times New Roman"/>
          <w:b/>
        </w:rPr>
        <w:t xml:space="preserve">      </w:t>
      </w:r>
      <w:r w:rsidRPr="001813D4">
        <w:rPr>
          <w:rFonts w:ascii="Times New Roman" w:hAnsi="Times New Roman" w:cs="Times New Roman"/>
          <w:b/>
        </w:rPr>
        <w:t xml:space="preserve"> Gráfico 4</w:t>
      </w:r>
    </w:p>
    <w:p w14:paraId="0F55C3E6" w14:textId="55A01562" w:rsidR="00170142" w:rsidRPr="001813D4" w:rsidRDefault="00170142" w:rsidP="00FB52F5">
      <w:pPr>
        <w:spacing w:after="0"/>
        <w:jc w:val="center"/>
        <w:rPr>
          <w:rFonts w:ascii="Times New Roman" w:hAnsi="Times New Roman" w:cs="Times New Roman"/>
          <w:b/>
          <w:sz w:val="18"/>
        </w:rPr>
      </w:pPr>
      <w:r>
        <w:rPr>
          <w:noProof/>
        </w:rPr>
        <w:drawing>
          <wp:inline distT="0" distB="0" distL="0" distR="0" wp14:anchorId="79613920" wp14:editId="73D68F28">
            <wp:extent cx="5852160" cy="284525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66457" cy="2852203"/>
                    </a:xfrm>
                    <a:prstGeom prst="rect">
                      <a:avLst/>
                    </a:prstGeom>
                  </pic:spPr>
                </pic:pic>
              </a:graphicData>
            </a:graphic>
          </wp:inline>
        </w:drawing>
      </w:r>
    </w:p>
    <w:p w14:paraId="6C8F2885" w14:textId="7D648DEF" w:rsidR="00467734" w:rsidRPr="002B039B" w:rsidRDefault="00467734" w:rsidP="0040090D">
      <w:pPr>
        <w:spacing w:after="0"/>
        <w:rPr>
          <w:rFonts w:ascii="Times New Roman" w:hAnsi="Times New Roman" w:cs="Times New Roman"/>
          <w:lang w:val="es-CR"/>
        </w:rPr>
      </w:pPr>
    </w:p>
    <w:p w14:paraId="73E0AE04" w14:textId="77777777" w:rsidR="00BA06A6" w:rsidRPr="003B7B9E" w:rsidRDefault="00BA06A6" w:rsidP="003B7B9E">
      <w:pPr>
        <w:pStyle w:val="Ttulo2"/>
      </w:pPr>
      <w:bookmarkStart w:id="20" w:name="_Toc505348335"/>
      <w:bookmarkStart w:id="21" w:name="_Toc506207745"/>
      <w:bookmarkStart w:id="22" w:name="_Toc506212326"/>
      <w:bookmarkStart w:id="23" w:name="_Toc509221825"/>
      <w:r w:rsidRPr="003B7B9E">
        <w:t>Duración y plazos al vencimiento</w:t>
      </w:r>
      <w:bookmarkEnd w:id="20"/>
      <w:bookmarkEnd w:id="21"/>
      <w:bookmarkEnd w:id="22"/>
      <w:bookmarkEnd w:id="23"/>
    </w:p>
    <w:p w14:paraId="6089A403" w14:textId="59C53AC2" w:rsidR="00467734" w:rsidRDefault="00BA06A6" w:rsidP="004D4753">
      <w:pPr>
        <w:pStyle w:val="Prrafodelista"/>
        <w:numPr>
          <w:ilvl w:val="0"/>
          <w:numId w:val="4"/>
        </w:numPr>
        <w:spacing w:after="0"/>
        <w:ind w:left="0"/>
        <w:jc w:val="both"/>
        <w:rPr>
          <w:rFonts w:ascii="Times New Roman" w:hAnsi="Times New Roman" w:cs="Times New Roman"/>
          <w:lang w:val="es-CR"/>
        </w:rPr>
      </w:pPr>
      <w:r w:rsidRPr="00DE7BF7">
        <w:rPr>
          <w:rFonts w:ascii="Times New Roman" w:hAnsi="Times New Roman" w:cs="Times New Roman"/>
          <w:lang w:val="es-CR"/>
        </w:rPr>
        <w:t>En el caso del ROP, la duración modificada es 3.02</w:t>
      </w:r>
      <w:r w:rsidR="00AD4CF4" w:rsidRPr="00DE7BF7">
        <w:rPr>
          <w:rFonts w:ascii="Times New Roman" w:hAnsi="Times New Roman" w:cs="Times New Roman"/>
          <w:lang w:val="es-CR"/>
        </w:rPr>
        <w:t>%</w:t>
      </w:r>
      <w:r w:rsidRPr="00DE7BF7">
        <w:rPr>
          <w:rFonts w:ascii="Times New Roman" w:hAnsi="Times New Roman" w:cs="Times New Roman"/>
          <w:lang w:val="es-CR"/>
        </w:rPr>
        <w:t xml:space="preserve">. </w:t>
      </w:r>
    </w:p>
    <w:p w14:paraId="7E6BFE9D" w14:textId="77777777" w:rsidR="00DE7BF7" w:rsidRPr="00DE7BF7" w:rsidRDefault="00DE7BF7" w:rsidP="00DE7BF7">
      <w:pPr>
        <w:pStyle w:val="Prrafodelista"/>
        <w:spacing w:after="0"/>
        <w:ind w:left="0"/>
        <w:jc w:val="both"/>
        <w:rPr>
          <w:rFonts w:ascii="Times New Roman" w:hAnsi="Times New Roman" w:cs="Times New Roman"/>
          <w:lang w:val="es-CR"/>
        </w:rPr>
      </w:pPr>
    </w:p>
    <w:p w14:paraId="28663B13" w14:textId="314F07C5" w:rsidR="00BA06A6" w:rsidRPr="002B039B" w:rsidRDefault="00CF73B8" w:rsidP="0040090D">
      <w:pPr>
        <w:spacing w:after="0"/>
        <w:jc w:val="center"/>
        <w:rPr>
          <w:rFonts w:ascii="Times New Roman" w:hAnsi="Times New Roman" w:cs="Times New Roman"/>
          <w:b/>
          <w:bCs/>
        </w:rPr>
      </w:pPr>
      <w:r w:rsidRPr="002B039B">
        <w:rPr>
          <w:rFonts w:ascii="Times New Roman" w:hAnsi="Times New Roman" w:cs="Times New Roman"/>
          <w:b/>
          <w:bCs/>
        </w:rPr>
        <w:t>Cuadro</w:t>
      </w:r>
      <w:r w:rsidR="00FF5D52">
        <w:rPr>
          <w:rFonts w:ascii="Times New Roman" w:hAnsi="Times New Roman" w:cs="Times New Roman"/>
          <w:b/>
          <w:bCs/>
        </w:rPr>
        <w:t xml:space="preserve"> 4</w:t>
      </w:r>
    </w:p>
    <w:p w14:paraId="74F50856" w14:textId="4EE24099" w:rsidR="00BA06A6" w:rsidRPr="002B039B" w:rsidRDefault="00AD4CF4" w:rsidP="0040090D">
      <w:pPr>
        <w:spacing w:after="0"/>
        <w:jc w:val="center"/>
        <w:rPr>
          <w:rFonts w:ascii="Times New Roman" w:hAnsi="Times New Roman" w:cs="Times New Roman"/>
        </w:rPr>
      </w:pPr>
      <w:r>
        <w:rPr>
          <w:rFonts w:ascii="Times New Roman" w:hAnsi="Times New Roman" w:cs="Times New Roman"/>
          <w:b/>
          <w:bCs/>
        </w:rPr>
        <w:t xml:space="preserve">ROP: </w:t>
      </w:r>
      <w:r w:rsidR="00BA06A6" w:rsidRPr="002B039B">
        <w:rPr>
          <w:rFonts w:ascii="Times New Roman" w:hAnsi="Times New Roman" w:cs="Times New Roman"/>
          <w:b/>
          <w:bCs/>
        </w:rPr>
        <w:t>D</w:t>
      </w:r>
      <w:r w:rsidR="004045D4">
        <w:rPr>
          <w:rFonts w:ascii="Times New Roman" w:hAnsi="Times New Roman" w:cs="Times New Roman"/>
          <w:b/>
          <w:bCs/>
        </w:rPr>
        <w:t>uración y plazos al vencimiento</w:t>
      </w:r>
      <w:r w:rsidR="00BA06A6" w:rsidRPr="002B039B">
        <w:rPr>
          <w:rFonts w:ascii="Times New Roman" w:hAnsi="Times New Roman" w:cs="Times New Roman"/>
        </w:rPr>
        <w:t xml:space="preserve"> </w:t>
      </w:r>
    </w:p>
    <w:tbl>
      <w:tblPr>
        <w:tblW w:w="7089" w:type="dxa"/>
        <w:jc w:val="center"/>
        <w:tblCellMar>
          <w:left w:w="70" w:type="dxa"/>
          <w:right w:w="70" w:type="dxa"/>
        </w:tblCellMar>
        <w:tblLook w:val="04A0" w:firstRow="1" w:lastRow="0" w:firstColumn="1" w:lastColumn="0" w:noHBand="0" w:noVBand="1"/>
      </w:tblPr>
      <w:tblGrid>
        <w:gridCol w:w="2477"/>
        <w:gridCol w:w="1200"/>
        <w:gridCol w:w="1428"/>
        <w:gridCol w:w="1984"/>
      </w:tblGrid>
      <w:tr w:rsidR="00BA06A6" w:rsidRPr="002B039B" w14:paraId="6862BAA8" w14:textId="77777777" w:rsidTr="00634479">
        <w:trPr>
          <w:trHeight w:val="300"/>
          <w:jc w:val="center"/>
        </w:trPr>
        <w:tc>
          <w:tcPr>
            <w:tcW w:w="2477" w:type="dxa"/>
            <w:tcBorders>
              <w:top w:val="single" w:sz="4" w:space="0" w:color="auto"/>
              <w:left w:val="nil"/>
              <w:bottom w:val="single" w:sz="4" w:space="0" w:color="auto"/>
              <w:right w:val="nil"/>
            </w:tcBorders>
            <w:shd w:val="clear" w:color="auto" w:fill="auto"/>
            <w:noWrap/>
            <w:vAlign w:val="bottom"/>
            <w:hideMark/>
          </w:tcPr>
          <w:p w14:paraId="774DD389" w14:textId="77777777" w:rsidR="00BA06A6" w:rsidRPr="002B039B" w:rsidRDefault="00BA06A6" w:rsidP="0040090D">
            <w:pPr>
              <w:spacing w:after="0" w:line="240" w:lineRule="auto"/>
              <w:jc w:val="center"/>
              <w:rPr>
                <w:rFonts w:ascii="Times New Roman" w:eastAsia="Times New Roman" w:hAnsi="Times New Roman" w:cs="Times New Roman"/>
                <w:lang w:val="es-CR" w:eastAsia="es-CR"/>
              </w:rPr>
            </w:pPr>
          </w:p>
        </w:tc>
        <w:tc>
          <w:tcPr>
            <w:tcW w:w="1200" w:type="dxa"/>
            <w:tcBorders>
              <w:top w:val="single" w:sz="4" w:space="0" w:color="auto"/>
              <w:left w:val="nil"/>
              <w:bottom w:val="single" w:sz="4" w:space="0" w:color="auto"/>
              <w:right w:val="nil"/>
            </w:tcBorders>
            <w:shd w:val="clear" w:color="auto" w:fill="auto"/>
            <w:noWrap/>
            <w:vAlign w:val="bottom"/>
            <w:hideMark/>
          </w:tcPr>
          <w:p w14:paraId="1D9292C8" w14:textId="77777777" w:rsidR="00BA06A6" w:rsidRDefault="00BA06A6" w:rsidP="004045D4">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Duración</w:t>
            </w:r>
          </w:p>
          <w:p w14:paraId="7FB91831" w14:textId="31F77BE2" w:rsidR="00742B4D" w:rsidRPr="002B039B" w:rsidRDefault="00742B4D" w:rsidP="004045D4">
            <w:pPr>
              <w:spacing w:after="0" w:line="240" w:lineRule="auto"/>
              <w:jc w:val="right"/>
              <w:rPr>
                <w:rFonts w:ascii="Times New Roman" w:eastAsia="Times New Roman" w:hAnsi="Times New Roman" w:cs="Times New Roman"/>
                <w:lang w:val="es-CR" w:eastAsia="es-CR"/>
              </w:rPr>
            </w:pPr>
            <w:r>
              <w:rPr>
                <w:rFonts w:ascii="Times New Roman" w:eastAsia="Times New Roman" w:hAnsi="Times New Roman" w:cs="Times New Roman"/>
                <w:lang w:val="es-CR" w:eastAsia="es-CR"/>
              </w:rPr>
              <w:t>(años)</w:t>
            </w:r>
          </w:p>
        </w:tc>
        <w:tc>
          <w:tcPr>
            <w:tcW w:w="1428" w:type="dxa"/>
            <w:tcBorders>
              <w:top w:val="single" w:sz="4" w:space="0" w:color="auto"/>
              <w:left w:val="nil"/>
              <w:bottom w:val="single" w:sz="4" w:space="0" w:color="auto"/>
              <w:right w:val="nil"/>
            </w:tcBorders>
            <w:shd w:val="clear" w:color="auto" w:fill="auto"/>
            <w:noWrap/>
            <w:vAlign w:val="bottom"/>
            <w:hideMark/>
          </w:tcPr>
          <w:p w14:paraId="7AE1FF84" w14:textId="78F5ADB6" w:rsidR="00BA06A6" w:rsidRPr="002B039B" w:rsidRDefault="00405E5B" w:rsidP="004045D4">
            <w:pPr>
              <w:spacing w:after="0" w:line="240" w:lineRule="auto"/>
              <w:jc w:val="right"/>
              <w:rPr>
                <w:rFonts w:ascii="Times New Roman" w:eastAsia="Times New Roman" w:hAnsi="Times New Roman" w:cs="Times New Roman"/>
                <w:lang w:val="es-CR" w:eastAsia="es-CR"/>
              </w:rPr>
            </w:pPr>
            <w:r>
              <w:rPr>
                <w:rFonts w:ascii="Times New Roman" w:eastAsia="Times New Roman" w:hAnsi="Times New Roman" w:cs="Times New Roman"/>
                <w:lang w:val="es-CR" w:eastAsia="es-CR"/>
              </w:rPr>
              <w:t xml:space="preserve">  </w:t>
            </w:r>
            <w:r w:rsidR="004045D4">
              <w:rPr>
                <w:rFonts w:ascii="Times New Roman" w:eastAsia="Times New Roman" w:hAnsi="Times New Roman" w:cs="Times New Roman"/>
                <w:lang w:val="es-CR" w:eastAsia="es-CR"/>
              </w:rPr>
              <w:t xml:space="preserve"> </w:t>
            </w:r>
            <w:r w:rsidR="00BA06A6" w:rsidRPr="002B039B">
              <w:rPr>
                <w:rFonts w:ascii="Times New Roman" w:eastAsia="Times New Roman" w:hAnsi="Times New Roman" w:cs="Times New Roman"/>
                <w:lang w:val="es-CR" w:eastAsia="es-CR"/>
              </w:rPr>
              <w:t xml:space="preserve">Duración </w:t>
            </w:r>
            <w:r w:rsidR="004045D4">
              <w:rPr>
                <w:rFonts w:ascii="Times New Roman" w:eastAsia="Times New Roman" w:hAnsi="Times New Roman" w:cs="Times New Roman"/>
                <w:lang w:val="es-CR" w:eastAsia="es-CR"/>
              </w:rPr>
              <w:t xml:space="preserve">          </w:t>
            </w:r>
            <w:r w:rsidR="00BA06A6" w:rsidRPr="002B039B">
              <w:rPr>
                <w:rFonts w:ascii="Times New Roman" w:eastAsia="Times New Roman" w:hAnsi="Times New Roman" w:cs="Times New Roman"/>
                <w:lang w:val="es-CR" w:eastAsia="es-CR"/>
              </w:rPr>
              <w:t>Modificada</w:t>
            </w:r>
            <w:bookmarkStart w:id="24" w:name="_GoBack"/>
            <w:bookmarkEnd w:id="24"/>
            <w:r w:rsidR="00742B4D">
              <w:rPr>
                <w:rFonts w:ascii="Times New Roman" w:eastAsia="Times New Roman" w:hAnsi="Times New Roman" w:cs="Times New Roman"/>
                <w:lang w:val="es-CR" w:eastAsia="es-CR"/>
              </w:rPr>
              <w:t>(%)</w:t>
            </w:r>
          </w:p>
        </w:tc>
        <w:tc>
          <w:tcPr>
            <w:tcW w:w="1984" w:type="dxa"/>
            <w:tcBorders>
              <w:top w:val="single" w:sz="4" w:space="0" w:color="auto"/>
              <w:left w:val="nil"/>
              <w:bottom w:val="single" w:sz="4" w:space="0" w:color="auto"/>
              <w:right w:val="nil"/>
            </w:tcBorders>
            <w:shd w:val="clear" w:color="auto" w:fill="auto"/>
            <w:noWrap/>
            <w:vAlign w:val="bottom"/>
            <w:hideMark/>
          </w:tcPr>
          <w:p w14:paraId="4B146490" w14:textId="17A0E927" w:rsidR="00BA06A6" w:rsidRPr="002B039B" w:rsidRDefault="004045D4" w:rsidP="004045D4">
            <w:pPr>
              <w:spacing w:after="0" w:line="240" w:lineRule="auto"/>
              <w:jc w:val="right"/>
              <w:rPr>
                <w:rFonts w:ascii="Times New Roman" w:eastAsia="Times New Roman" w:hAnsi="Times New Roman" w:cs="Times New Roman"/>
                <w:lang w:val="es-CR" w:eastAsia="es-CR"/>
              </w:rPr>
            </w:pPr>
            <w:r>
              <w:rPr>
                <w:rFonts w:ascii="Times New Roman" w:eastAsia="Times New Roman" w:hAnsi="Times New Roman" w:cs="Times New Roman"/>
                <w:lang w:val="es-CR" w:eastAsia="es-CR"/>
              </w:rPr>
              <w:t xml:space="preserve">         </w:t>
            </w:r>
            <w:r w:rsidR="00BA06A6" w:rsidRPr="002B039B">
              <w:rPr>
                <w:rFonts w:ascii="Times New Roman" w:eastAsia="Times New Roman" w:hAnsi="Times New Roman" w:cs="Times New Roman"/>
                <w:lang w:val="es-CR" w:eastAsia="es-CR"/>
              </w:rPr>
              <w:t>Plazo al venci</w:t>
            </w:r>
            <w:r w:rsidR="00B36C5B">
              <w:rPr>
                <w:rFonts w:ascii="Times New Roman" w:eastAsia="Times New Roman" w:hAnsi="Times New Roman" w:cs="Times New Roman"/>
                <w:lang w:val="es-CR" w:eastAsia="es-CR"/>
              </w:rPr>
              <w:t>-</w:t>
            </w:r>
            <w:r>
              <w:rPr>
                <w:rFonts w:ascii="Times New Roman" w:eastAsia="Times New Roman" w:hAnsi="Times New Roman" w:cs="Times New Roman"/>
                <w:lang w:val="es-CR" w:eastAsia="es-CR"/>
              </w:rPr>
              <w:t xml:space="preserve">   </w:t>
            </w:r>
            <w:r w:rsidR="00405E5B">
              <w:rPr>
                <w:rFonts w:ascii="Times New Roman" w:eastAsia="Times New Roman" w:hAnsi="Times New Roman" w:cs="Times New Roman"/>
                <w:lang w:val="es-CR" w:eastAsia="es-CR"/>
              </w:rPr>
              <w:t>miento (años)</w:t>
            </w:r>
          </w:p>
        </w:tc>
      </w:tr>
      <w:tr w:rsidR="00BA06A6" w:rsidRPr="002B039B" w14:paraId="1CEE3478" w14:textId="77777777" w:rsidTr="00634479">
        <w:trPr>
          <w:trHeight w:val="300"/>
          <w:jc w:val="center"/>
        </w:trPr>
        <w:tc>
          <w:tcPr>
            <w:tcW w:w="2477" w:type="dxa"/>
            <w:tcBorders>
              <w:top w:val="nil"/>
              <w:left w:val="nil"/>
              <w:bottom w:val="nil"/>
              <w:right w:val="nil"/>
            </w:tcBorders>
            <w:shd w:val="clear" w:color="auto" w:fill="auto"/>
            <w:noWrap/>
            <w:vAlign w:val="bottom"/>
            <w:hideMark/>
          </w:tcPr>
          <w:p w14:paraId="2E9FB0C6" w14:textId="7CD87387" w:rsidR="00BA06A6" w:rsidRPr="002B039B" w:rsidRDefault="00405E5B" w:rsidP="0040090D">
            <w:pPr>
              <w:spacing w:after="0" w:line="240" w:lineRule="auto"/>
              <w:rPr>
                <w:rFonts w:ascii="Times New Roman" w:eastAsia="Times New Roman" w:hAnsi="Times New Roman" w:cs="Times New Roman"/>
                <w:lang w:val="es-CR" w:eastAsia="es-CR"/>
              </w:rPr>
            </w:pPr>
            <w:r>
              <w:rPr>
                <w:rFonts w:ascii="Times New Roman" w:eastAsia="Times New Roman" w:hAnsi="Times New Roman" w:cs="Times New Roman"/>
                <w:lang w:val="es-CR" w:eastAsia="es-CR"/>
              </w:rPr>
              <w:t>BN-VITAL</w:t>
            </w:r>
          </w:p>
        </w:tc>
        <w:tc>
          <w:tcPr>
            <w:tcW w:w="1200" w:type="dxa"/>
            <w:tcBorders>
              <w:top w:val="nil"/>
              <w:left w:val="nil"/>
              <w:bottom w:val="nil"/>
              <w:right w:val="nil"/>
            </w:tcBorders>
            <w:shd w:val="clear" w:color="auto" w:fill="auto"/>
            <w:noWrap/>
            <w:vAlign w:val="bottom"/>
            <w:hideMark/>
          </w:tcPr>
          <w:p w14:paraId="3F4D6B6E"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1,81</w:t>
            </w:r>
          </w:p>
        </w:tc>
        <w:tc>
          <w:tcPr>
            <w:tcW w:w="1428" w:type="dxa"/>
            <w:tcBorders>
              <w:top w:val="nil"/>
              <w:left w:val="nil"/>
              <w:bottom w:val="nil"/>
              <w:right w:val="nil"/>
            </w:tcBorders>
            <w:shd w:val="clear" w:color="auto" w:fill="auto"/>
            <w:noWrap/>
            <w:vAlign w:val="bottom"/>
            <w:hideMark/>
          </w:tcPr>
          <w:p w14:paraId="181F2A17" w14:textId="77777777" w:rsidR="00BA06A6" w:rsidRPr="002B039B" w:rsidRDefault="00BA06A6" w:rsidP="004045D4">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1,76</w:t>
            </w:r>
          </w:p>
        </w:tc>
        <w:tc>
          <w:tcPr>
            <w:tcW w:w="1984" w:type="dxa"/>
            <w:tcBorders>
              <w:top w:val="nil"/>
              <w:left w:val="nil"/>
              <w:bottom w:val="nil"/>
              <w:right w:val="nil"/>
            </w:tcBorders>
            <w:shd w:val="clear" w:color="auto" w:fill="auto"/>
            <w:noWrap/>
            <w:vAlign w:val="bottom"/>
            <w:hideMark/>
          </w:tcPr>
          <w:p w14:paraId="7E9E60A2"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7,45</w:t>
            </w:r>
          </w:p>
        </w:tc>
      </w:tr>
      <w:tr w:rsidR="00BA06A6" w:rsidRPr="002B039B" w14:paraId="2D57AFE4" w14:textId="77777777" w:rsidTr="00634479">
        <w:trPr>
          <w:trHeight w:val="300"/>
          <w:jc w:val="center"/>
        </w:trPr>
        <w:tc>
          <w:tcPr>
            <w:tcW w:w="2477" w:type="dxa"/>
            <w:tcBorders>
              <w:top w:val="nil"/>
              <w:left w:val="nil"/>
              <w:bottom w:val="nil"/>
              <w:right w:val="nil"/>
            </w:tcBorders>
            <w:shd w:val="clear" w:color="auto" w:fill="auto"/>
            <w:noWrap/>
            <w:vAlign w:val="bottom"/>
            <w:hideMark/>
          </w:tcPr>
          <w:p w14:paraId="795F9EC1" w14:textId="7F10AE69" w:rsidR="00BA06A6" w:rsidRPr="002B039B" w:rsidRDefault="00405E5B" w:rsidP="0040090D">
            <w:pPr>
              <w:spacing w:after="0" w:line="240" w:lineRule="auto"/>
              <w:rPr>
                <w:rFonts w:ascii="Times New Roman" w:eastAsia="Times New Roman" w:hAnsi="Times New Roman" w:cs="Times New Roman"/>
                <w:lang w:val="es-CR" w:eastAsia="es-CR"/>
              </w:rPr>
            </w:pPr>
            <w:r>
              <w:rPr>
                <w:rFonts w:ascii="Times New Roman" w:eastAsia="Times New Roman" w:hAnsi="Times New Roman" w:cs="Times New Roman"/>
                <w:lang w:val="es-CR" w:eastAsia="es-CR"/>
              </w:rPr>
              <w:t>POPULAR PENSIONES</w:t>
            </w:r>
          </w:p>
        </w:tc>
        <w:tc>
          <w:tcPr>
            <w:tcW w:w="1200" w:type="dxa"/>
            <w:tcBorders>
              <w:top w:val="nil"/>
              <w:left w:val="nil"/>
              <w:bottom w:val="nil"/>
              <w:right w:val="nil"/>
            </w:tcBorders>
            <w:shd w:val="clear" w:color="auto" w:fill="auto"/>
            <w:noWrap/>
            <w:vAlign w:val="bottom"/>
            <w:hideMark/>
          </w:tcPr>
          <w:p w14:paraId="645A5709"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3,83</w:t>
            </w:r>
          </w:p>
        </w:tc>
        <w:tc>
          <w:tcPr>
            <w:tcW w:w="1428" w:type="dxa"/>
            <w:tcBorders>
              <w:top w:val="nil"/>
              <w:left w:val="nil"/>
              <w:bottom w:val="nil"/>
              <w:right w:val="nil"/>
            </w:tcBorders>
            <w:shd w:val="clear" w:color="auto" w:fill="auto"/>
            <w:noWrap/>
            <w:vAlign w:val="bottom"/>
            <w:hideMark/>
          </w:tcPr>
          <w:p w14:paraId="78C9D719"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3,70</w:t>
            </w:r>
          </w:p>
        </w:tc>
        <w:tc>
          <w:tcPr>
            <w:tcW w:w="1984" w:type="dxa"/>
            <w:tcBorders>
              <w:top w:val="nil"/>
              <w:left w:val="nil"/>
              <w:bottom w:val="nil"/>
              <w:right w:val="nil"/>
            </w:tcBorders>
            <w:shd w:val="clear" w:color="auto" w:fill="auto"/>
            <w:noWrap/>
            <w:vAlign w:val="bottom"/>
            <w:hideMark/>
          </w:tcPr>
          <w:p w14:paraId="724DCA52"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6,12</w:t>
            </w:r>
          </w:p>
        </w:tc>
      </w:tr>
      <w:tr w:rsidR="00BA06A6" w:rsidRPr="002B039B" w14:paraId="59DF25A8" w14:textId="77777777" w:rsidTr="00634479">
        <w:trPr>
          <w:trHeight w:val="300"/>
          <w:jc w:val="center"/>
        </w:trPr>
        <w:tc>
          <w:tcPr>
            <w:tcW w:w="2477" w:type="dxa"/>
            <w:tcBorders>
              <w:top w:val="nil"/>
              <w:left w:val="nil"/>
              <w:bottom w:val="nil"/>
              <w:right w:val="nil"/>
            </w:tcBorders>
            <w:shd w:val="clear" w:color="auto" w:fill="auto"/>
            <w:noWrap/>
            <w:vAlign w:val="bottom"/>
            <w:hideMark/>
          </w:tcPr>
          <w:p w14:paraId="18037A4C" w14:textId="1B6278D7" w:rsidR="00BA06A6" w:rsidRPr="002B039B" w:rsidRDefault="00405E5B" w:rsidP="0040090D">
            <w:pPr>
              <w:spacing w:after="0" w:line="240" w:lineRule="auto"/>
              <w:rPr>
                <w:rFonts w:ascii="Times New Roman" w:eastAsia="Times New Roman" w:hAnsi="Times New Roman" w:cs="Times New Roman"/>
                <w:lang w:val="es-CR" w:eastAsia="es-CR"/>
              </w:rPr>
            </w:pPr>
            <w:r>
              <w:rPr>
                <w:rFonts w:ascii="Times New Roman" w:eastAsia="Times New Roman" w:hAnsi="Times New Roman" w:cs="Times New Roman"/>
                <w:lang w:val="es-CR" w:eastAsia="es-CR"/>
              </w:rPr>
              <w:t>VIDA PLENA-OPC</w:t>
            </w:r>
          </w:p>
        </w:tc>
        <w:tc>
          <w:tcPr>
            <w:tcW w:w="1200" w:type="dxa"/>
            <w:tcBorders>
              <w:top w:val="nil"/>
              <w:left w:val="nil"/>
              <w:bottom w:val="nil"/>
              <w:right w:val="nil"/>
            </w:tcBorders>
            <w:shd w:val="clear" w:color="auto" w:fill="auto"/>
            <w:noWrap/>
            <w:vAlign w:val="bottom"/>
            <w:hideMark/>
          </w:tcPr>
          <w:p w14:paraId="58777F7D"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3,95</w:t>
            </w:r>
          </w:p>
        </w:tc>
        <w:tc>
          <w:tcPr>
            <w:tcW w:w="1428" w:type="dxa"/>
            <w:tcBorders>
              <w:top w:val="nil"/>
              <w:left w:val="nil"/>
              <w:bottom w:val="nil"/>
              <w:right w:val="nil"/>
            </w:tcBorders>
            <w:shd w:val="clear" w:color="auto" w:fill="auto"/>
            <w:noWrap/>
            <w:vAlign w:val="bottom"/>
            <w:hideMark/>
          </w:tcPr>
          <w:p w14:paraId="7B62BBFE"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3,80</w:t>
            </w:r>
          </w:p>
        </w:tc>
        <w:tc>
          <w:tcPr>
            <w:tcW w:w="1984" w:type="dxa"/>
            <w:tcBorders>
              <w:top w:val="nil"/>
              <w:left w:val="nil"/>
              <w:bottom w:val="nil"/>
              <w:right w:val="nil"/>
            </w:tcBorders>
            <w:shd w:val="clear" w:color="auto" w:fill="auto"/>
            <w:noWrap/>
            <w:vAlign w:val="bottom"/>
            <w:hideMark/>
          </w:tcPr>
          <w:p w14:paraId="15D2FA75"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5,60</w:t>
            </w:r>
          </w:p>
        </w:tc>
      </w:tr>
      <w:tr w:rsidR="00BA06A6" w:rsidRPr="002B039B" w14:paraId="78F4D0CF" w14:textId="77777777" w:rsidTr="00634479">
        <w:trPr>
          <w:trHeight w:val="300"/>
          <w:jc w:val="center"/>
        </w:trPr>
        <w:tc>
          <w:tcPr>
            <w:tcW w:w="2477" w:type="dxa"/>
            <w:tcBorders>
              <w:top w:val="nil"/>
              <w:left w:val="nil"/>
              <w:bottom w:val="nil"/>
              <w:right w:val="nil"/>
            </w:tcBorders>
            <w:shd w:val="clear" w:color="auto" w:fill="auto"/>
            <w:noWrap/>
            <w:vAlign w:val="bottom"/>
            <w:hideMark/>
          </w:tcPr>
          <w:p w14:paraId="60B47EFD" w14:textId="798036B9" w:rsidR="00BA06A6" w:rsidRPr="002B039B" w:rsidRDefault="00405E5B" w:rsidP="0040090D">
            <w:pPr>
              <w:spacing w:after="0" w:line="240" w:lineRule="auto"/>
              <w:rPr>
                <w:rFonts w:ascii="Times New Roman" w:eastAsia="Times New Roman" w:hAnsi="Times New Roman" w:cs="Times New Roman"/>
                <w:lang w:val="es-CR" w:eastAsia="es-CR"/>
              </w:rPr>
            </w:pPr>
            <w:r w:rsidRPr="00405E5B">
              <w:rPr>
                <w:rFonts w:ascii="Times New Roman" w:eastAsia="Times New Roman" w:hAnsi="Times New Roman" w:cs="Times New Roman"/>
                <w:lang w:val="es-CR" w:eastAsia="es-CR"/>
              </w:rPr>
              <w:t>BAC SJ PENSIONES</w:t>
            </w:r>
          </w:p>
        </w:tc>
        <w:tc>
          <w:tcPr>
            <w:tcW w:w="1200" w:type="dxa"/>
            <w:tcBorders>
              <w:top w:val="nil"/>
              <w:left w:val="nil"/>
              <w:bottom w:val="nil"/>
              <w:right w:val="nil"/>
            </w:tcBorders>
            <w:shd w:val="clear" w:color="auto" w:fill="auto"/>
            <w:noWrap/>
            <w:vAlign w:val="bottom"/>
            <w:hideMark/>
          </w:tcPr>
          <w:p w14:paraId="07788B67"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3,60</w:t>
            </w:r>
          </w:p>
        </w:tc>
        <w:tc>
          <w:tcPr>
            <w:tcW w:w="1428" w:type="dxa"/>
            <w:tcBorders>
              <w:top w:val="nil"/>
              <w:left w:val="nil"/>
              <w:bottom w:val="nil"/>
              <w:right w:val="nil"/>
            </w:tcBorders>
            <w:shd w:val="clear" w:color="auto" w:fill="auto"/>
            <w:noWrap/>
            <w:vAlign w:val="bottom"/>
            <w:hideMark/>
          </w:tcPr>
          <w:p w14:paraId="36889994"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3,45</w:t>
            </w:r>
          </w:p>
        </w:tc>
        <w:tc>
          <w:tcPr>
            <w:tcW w:w="1984" w:type="dxa"/>
            <w:tcBorders>
              <w:top w:val="nil"/>
              <w:left w:val="nil"/>
              <w:bottom w:val="nil"/>
              <w:right w:val="nil"/>
            </w:tcBorders>
            <w:shd w:val="clear" w:color="auto" w:fill="auto"/>
            <w:noWrap/>
            <w:vAlign w:val="bottom"/>
            <w:hideMark/>
          </w:tcPr>
          <w:p w14:paraId="31788E38"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7,75</w:t>
            </w:r>
          </w:p>
        </w:tc>
      </w:tr>
      <w:tr w:rsidR="00BA06A6" w:rsidRPr="002B039B" w14:paraId="141B7602" w14:textId="77777777" w:rsidTr="00634479">
        <w:trPr>
          <w:trHeight w:val="300"/>
          <w:jc w:val="center"/>
        </w:trPr>
        <w:tc>
          <w:tcPr>
            <w:tcW w:w="2477" w:type="dxa"/>
            <w:tcBorders>
              <w:top w:val="nil"/>
              <w:left w:val="nil"/>
              <w:bottom w:val="nil"/>
              <w:right w:val="nil"/>
            </w:tcBorders>
            <w:shd w:val="clear" w:color="auto" w:fill="auto"/>
            <w:noWrap/>
            <w:vAlign w:val="bottom"/>
            <w:hideMark/>
          </w:tcPr>
          <w:p w14:paraId="62FB8690" w14:textId="437E0D0F" w:rsidR="00BA06A6" w:rsidRPr="002B039B" w:rsidRDefault="00BA06A6" w:rsidP="0040090D">
            <w:pPr>
              <w:spacing w:after="0" w:line="240" w:lineRule="auto"/>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BCR</w:t>
            </w:r>
            <w:r w:rsidR="00405E5B">
              <w:rPr>
                <w:rFonts w:ascii="Times New Roman" w:eastAsia="Times New Roman" w:hAnsi="Times New Roman" w:cs="Times New Roman"/>
                <w:lang w:val="es-CR" w:eastAsia="es-CR"/>
              </w:rPr>
              <w:t>-PENSION</w:t>
            </w:r>
          </w:p>
        </w:tc>
        <w:tc>
          <w:tcPr>
            <w:tcW w:w="1200" w:type="dxa"/>
            <w:tcBorders>
              <w:top w:val="nil"/>
              <w:left w:val="nil"/>
              <w:bottom w:val="nil"/>
              <w:right w:val="nil"/>
            </w:tcBorders>
            <w:shd w:val="clear" w:color="auto" w:fill="auto"/>
            <w:noWrap/>
            <w:vAlign w:val="bottom"/>
            <w:hideMark/>
          </w:tcPr>
          <w:p w14:paraId="66663BC5"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2,46</w:t>
            </w:r>
          </w:p>
        </w:tc>
        <w:tc>
          <w:tcPr>
            <w:tcW w:w="1428" w:type="dxa"/>
            <w:tcBorders>
              <w:top w:val="nil"/>
              <w:left w:val="nil"/>
              <w:bottom w:val="nil"/>
              <w:right w:val="nil"/>
            </w:tcBorders>
            <w:shd w:val="clear" w:color="auto" w:fill="auto"/>
            <w:noWrap/>
            <w:vAlign w:val="bottom"/>
            <w:hideMark/>
          </w:tcPr>
          <w:p w14:paraId="7B0FDF43"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2,39</w:t>
            </w:r>
          </w:p>
        </w:tc>
        <w:tc>
          <w:tcPr>
            <w:tcW w:w="1984" w:type="dxa"/>
            <w:tcBorders>
              <w:top w:val="nil"/>
              <w:left w:val="nil"/>
              <w:bottom w:val="nil"/>
              <w:right w:val="nil"/>
            </w:tcBorders>
            <w:shd w:val="clear" w:color="auto" w:fill="auto"/>
            <w:noWrap/>
            <w:vAlign w:val="bottom"/>
            <w:hideMark/>
          </w:tcPr>
          <w:p w14:paraId="2AF5005B"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6,39</w:t>
            </w:r>
          </w:p>
        </w:tc>
      </w:tr>
      <w:tr w:rsidR="00BA06A6" w:rsidRPr="002B039B" w14:paraId="5E64BC4D" w14:textId="77777777" w:rsidTr="00634479">
        <w:trPr>
          <w:trHeight w:val="300"/>
          <w:jc w:val="center"/>
        </w:trPr>
        <w:tc>
          <w:tcPr>
            <w:tcW w:w="2477" w:type="dxa"/>
            <w:tcBorders>
              <w:top w:val="nil"/>
              <w:left w:val="nil"/>
              <w:bottom w:val="single" w:sz="4" w:space="0" w:color="auto"/>
              <w:right w:val="nil"/>
            </w:tcBorders>
            <w:shd w:val="clear" w:color="auto" w:fill="auto"/>
            <w:noWrap/>
            <w:vAlign w:val="bottom"/>
            <w:hideMark/>
          </w:tcPr>
          <w:p w14:paraId="7C8AE11F" w14:textId="1ED5C465" w:rsidR="00BA06A6" w:rsidRPr="002B039B" w:rsidRDefault="00BA06A6" w:rsidP="0040090D">
            <w:pPr>
              <w:spacing w:after="0" w:line="240" w:lineRule="auto"/>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CCSS</w:t>
            </w:r>
            <w:r w:rsidR="00405E5B">
              <w:rPr>
                <w:rFonts w:ascii="Times New Roman" w:eastAsia="Times New Roman" w:hAnsi="Times New Roman" w:cs="Times New Roman"/>
                <w:lang w:val="es-CR" w:eastAsia="es-CR"/>
              </w:rPr>
              <w:t>-OPC</w:t>
            </w:r>
          </w:p>
        </w:tc>
        <w:tc>
          <w:tcPr>
            <w:tcW w:w="1200" w:type="dxa"/>
            <w:tcBorders>
              <w:top w:val="nil"/>
              <w:left w:val="nil"/>
              <w:bottom w:val="single" w:sz="4" w:space="0" w:color="auto"/>
              <w:right w:val="nil"/>
            </w:tcBorders>
            <w:shd w:val="clear" w:color="auto" w:fill="auto"/>
            <w:noWrap/>
            <w:vAlign w:val="bottom"/>
            <w:hideMark/>
          </w:tcPr>
          <w:p w14:paraId="76EB5D84"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3,35</w:t>
            </w:r>
          </w:p>
        </w:tc>
        <w:tc>
          <w:tcPr>
            <w:tcW w:w="1428" w:type="dxa"/>
            <w:tcBorders>
              <w:top w:val="nil"/>
              <w:left w:val="nil"/>
              <w:bottom w:val="single" w:sz="4" w:space="0" w:color="auto"/>
              <w:right w:val="nil"/>
            </w:tcBorders>
            <w:shd w:val="clear" w:color="auto" w:fill="auto"/>
            <w:noWrap/>
            <w:vAlign w:val="bottom"/>
            <w:hideMark/>
          </w:tcPr>
          <w:p w14:paraId="3E6F8983"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3,23</w:t>
            </w:r>
          </w:p>
        </w:tc>
        <w:tc>
          <w:tcPr>
            <w:tcW w:w="1984" w:type="dxa"/>
            <w:tcBorders>
              <w:top w:val="nil"/>
              <w:left w:val="nil"/>
              <w:bottom w:val="single" w:sz="4" w:space="0" w:color="auto"/>
              <w:right w:val="nil"/>
            </w:tcBorders>
            <w:shd w:val="clear" w:color="auto" w:fill="auto"/>
            <w:noWrap/>
            <w:vAlign w:val="bottom"/>
            <w:hideMark/>
          </w:tcPr>
          <w:p w14:paraId="57FB4A78" w14:textId="77777777" w:rsidR="00BA06A6" w:rsidRPr="002B039B" w:rsidRDefault="00BA06A6" w:rsidP="0040090D">
            <w:pPr>
              <w:spacing w:after="0" w:line="240" w:lineRule="auto"/>
              <w:jc w:val="right"/>
              <w:rPr>
                <w:rFonts w:ascii="Times New Roman" w:eastAsia="Times New Roman" w:hAnsi="Times New Roman" w:cs="Times New Roman"/>
                <w:lang w:val="es-CR" w:eastAsia="es-CR"/>
              </w:rPr>
            </w:pPr>
            <w:r w:rsidRPr="002B039B">
              <w:rPr>
                <w:rFonts w:ascii="Times New Roman" w:eastAsia="Times New Roman" w:hAnsi="Times New Roman" w:cs="Times New Roman"/>
                <w:lang w:val="es-CR" w:eastAsia="es-CR"/>
              </w:rPr>
              <w:t>4,81</w:t>
            </w:r>
          </w:p>
        </w:tc>
      </w:tr>
      <w:tr w:rsidR="00BA06A6" w:rsidRPr="002B039B" w14:paraId="75B847AF" w14:textId="77777777" w:rsidTr="00634479">
        <w:trPr>
          <w:trHeight w:val="300"/>
          <w:jc w:val="center"/>
        </w:trPr>
        <w:tc>
          <w:tcPr>
            <w:tcW w:w="2477" w:type="dxa"/>
            <w:tcBorders>
              <w:top w:val="nil"/>
              <w:left w:val="nil"/>
              <w:bottom w:val="nil"/>
              <w:right w:val="nil"/>
            </w:tcBorders>
            <w:shd w:val="clear" w:color="auto" w:fill="auto"/>
            <w:noWrap/>
            <w:vAlign w:val="bottom"/>
            <w:hideMark/>
          </w:tcPr>
          <w:p w14:paraId="5998C697" w14:textId="77777777" w:rsidR="00BA06A6" w:rsidRPr="002B039B" w:rsidRDefault="00BA06A6" w:rsidP="0040090D">
            <w:pPr>
              <w:spacing w:after="0" w:line="240" w:lineRule="auto"/>
              <w:rPr>
                <w:rFonts w:ascii="Times New Roman" w:eastAsia="Times New Roman" w:hAnsi="Times New Roman" w:cs="Times New Roman"/>
                <w:b/>
                <w:bCs/>
                <w:lang w:val="es-CR" w:eastAsia="es-CR"/>
              </w:rPr>
            </w:pPr>
            <w:r w:rsidRPr="002B039B">
              <w:rPr>
                <w:rFonts w:ascii="Times New Roman" w:eastAsia="Times New Roman" w:hAnsi="Times New Roman" w:cs="Times New Roman"/>
                <w:b/>
                <w:bCs/>
                <w:lang w:val="es-CR" w:eastAsia="es-CR"/>
              </w:rPr>
              <w:t>ROP</w:t>
            </w:r>
          </w:p>
        </w:tc>
        <w:tc>
          <w:tcPr>
            <w:tcW w:w="1200" w:type="dxa"/>
            <w:tcBorders>
              <w:top w:val="nil"/>
              <w:left w:val="nil"/>
              <w:bottom w:val="nil"/>
              <w:right w:val="nil"/>
            </w:tcBorders>
            <w:shd w:val="clear" w:color="auto" w:fill="auto"/>
            <w:noWrap/>
            <w:vAlign w:val="bottom"/>
            <w:hideMark/>
          </w:tcPr>
          <w:p w14:paraId="550768EB" w14:textId="77777777" w:rsidR="00BA06A6" w:rsidRPr="002B039B" w:rsidRDefault="00BA06A6" w:rsidP="0040090D">
            <w:pPr>
              <w:spacing w:after="0" w:line="240" w:lineRule="auto"/>
              <w:jc w:val="right"/>
              <w:rPr>
                <w:rFonts w:ascii="Times New Roman" w:eastAsia="Times New Roman" w:hAnsi="Times New Roman" w:cs="Times New Roman"/>
                <w:b/>
                <w:bCs/>
                <w:lang w:val="es-CR" w:eastAsia="es-CR"/>
              </w:rPr>
            </w:pPr>
            <w:r w:rsidRPr="002B039B">
              <w:rPr>
                <w:rFonts w:ascii="Times New Roman" w:eastAsia="Times New Roman" w:hAnsi="Times New Roman" w:cs="Times New Roman"/>
                <w:b/>
                <w:bCs/>
                <w:lang w:val="es-CR" w:eastAsia="es-CR"/>
              </w:rPr>
              <w:t>3,13</w:t>
            </w:r>
          </w:p>
        </w:tc>
        <w:tc>
          <w:tcPr>
            <w:tcW w:w="1428" w:type="dxa"/>
            <w:tcBorders>
              <w:top w:val="nil"/>
              <w:left w:val="nil"/>
              <w:bottom w:val="nil"/>
              <w:right w:val="nil"/>
            </w:tcBorders>
            <w:shd w:val="clear" w:color="auto" w:fill="auto"/>
            <w:noWrap/>
            <w:vAlign w:val="bottom"/>
            <w:hideMark/>
          </w:tcPr>
          <w:p w14:paraId="1850E5F3" w14:textId="77777777" w:rsidR="00BA06A6" w:rsidRPr="002B039B" w:rsidRDefault="00BA06A6" w:rsidP="0040090D">
            <w:pPr>
              <w:spacing w:after="0" w:line="240" w:lineRule="auto"/>
              <w:jc w:val="right"/>
              <w:rPr>
                <w:rFonts w:ascii="Times New Roman" w:eastAsia="Times New Roman" w:hAnsi="Times New Roman" w:cs="Times New Roman"/>
                <w:b/>
                <w:bCs/>
                <w:lang w:val="es-CR" w:eastAsia="es-CR"/>
              </w:rPr>
            </w:pPr>
            <w:r w:rsidRPr="002B039B">
              <w:rPr>
                <w:rFonts w:ascii="Times New Roman" w:eastAsia="Times New Roman" w:hAnsi="Times New Roman" w:cs="Times New Roman"/>
                <w:b/>
                <w:bCs/>
                <w:lang w:val="es-CR" w:eastAsia="es-CR"/>
              </w:rPr>
              <w:t>3,02</w:t>
            </w:r>
          </w:p>
        </w:tc>
        <w:tc>
          <w:tcPr>
            <w:tcW w:w="1984" w:type="dxa"/>
            <w:tcBorders>
              <w:top w:val="nil"/>
              <w:left w:val="nil"/>
              <w:bottom w:val="nil"/>
              <w:right w:val="nil"/>
            </w:tcBorders>
            <w:shd w:val="clear" w:color="auto" w:fill="auto"/>
            <w:noWrap/>
            <w:vAlign w:val="bottom"/>
            <w:hideMark/>
          </w:tcPr>
          <w:p w14:paraId="7292684D" w14:textId="77777777" w:rsidR="00BA06A6" w:rsidRPr="002B039B" w:rsidRDefault="00BA06A6" w:rsidP="0040090D">
            <w:pPr>
              <w:spacing w:after="0" w:line="240" w:lineRule="auto"/>
              <w:jc w:val="right"/>
              <w:rPr>
                <w:rFonts w:ascii="Times New Roman" w:eastAsia="Times New Roman" w:hAnsi="Times New Roman" w:cs="Times New Roman"/>
                <w:b/>
                <w:bCs/>
                <w:lang w:val="es-CR" w:eastAsia="es-CR"/>
              </w:rPr>
            </w:pPr>
            <w:r w:rsidRPr="002B039B">
              <w:rPr>
                <w:rFonts w:ascii="Times New Roman" w:eastAsia="Times New Roman" w:hAnsi="Times New Roman" w:cs="Times New Roman"/>
                <w:b/>
                <w:bCs/>
                <w:lang w:val="es-CR" w:eastAsia="es-CR"/>
              </w:rPr>
              <w:t>6,55</w:t>
            </w:r>
          </w:p>
        </w:tc>
      </w:tr>
    </w:tbl>
    <w:p w14:paraId="651E7A6C" w14:textId="13D33873" w:rsidR="00A45E15" w:rsidRDefault="00A45E15" w:rsidP="0040090D">
      <w:pPr>
        <w:spacing w:after="0"/>
        <w:rPr>
          <w:rFonts w:ascii="Times New Roman" w:hAnsi="Times New Roman" w:cs="Times New Roman"/>
          <w:noProof/>
        </w:rPr>
      </w:pPr>
    </w:p>
    <w:p w14:paraId="7E1A3692" w14:textId="135CA5A4" w:rsidR="00BA06A6" w:rsidRDefault="00BA06A6" w:rsidP="0040090D">
      <w:pPr>
        <w:spacing w:after="0"/>
        <w:rPr>
          <w:rFonts w:ascii="Times New Roman" w:hAnsi="Times New Roman" w:cs="Times New Roman"/>
          <w:lang w:val="es-CR"/>
        </w:rPr>
      </w:pPr>
    </w:p>
    <w:p w14:paraId="644B337B" w14:textId="57B1A4A3" w:rsidR="000F413C" w:rsidRDefault="000F413C" w:rsidP="0040090D">
      <w:pPr>
        <w:spacing w:after="0"/>
        <w:rPr>
          <w:rFonts w:ascii="Times New Roman" w:hAnsi="Times New Roman" w:cs="Times New Roman"/>
          <w:lang w:val="es-CR"/>
        </w:rPr>
      </w:pPr>
    </w:p>
    <w:p w14:paraId="5505D8E1" w14:textId="6E3C8C4F" w:rsidR="000F413C" w:rsidRDefault="000F413C" w:rsidP="0040090D">
      <w:pPr>
        <w:spacing w:after="0"/>
        <w:rPr>
          <w:rFonts w:ascii="Times New Roman" w:hAnsi="Times New Roman" w:cs="Times New Roman"/>
          <w:lang w:val="es-CR"/>
        </w:rPr>
      </w:pPr>
    </w:p>
    <w:p w14:paraId="23DF9708" w14:textId="003E5D67" w:rsidR="000F413C" w:rsidRDefault="000F413C" w:rsidP="0040090D">
      <w:pPr>
        <w:spacing w:after="0"/>
        <w:rPr>
          <w:rFonts w:ascii="Times New Roman" w:hAnsi="Times New Roman" w:cs="Times New Roman"/>
          <w:lang w:val="es-CR"/>
        </w:rPr>
      </w:pPr>
    </w:p>
    <w:p w14:paraId="7391EEF7" w14:textId="4E77F7DA" w:rsidR="000F413C" w:rsidRDefault="000F413C" w:rsidP="0040090D">
      <w:pPr>
        <w:spacing w:after="0"/>
        <w:rPr>
          <w:rFonts w:ascii="Times New Roman" w:hAnsi="Times New Roman" w:cs="Times New Roman"/>
          <w:lang w:val="es-CR"/>
        </w:rPr>
      </w:pPr>
    </w:p>
    <w:p w14:paraId="6B6C4846" w14:textId="5CE191B1" w:rsidR="000F413C" w:rsidRDefault="000F413C" w:rsidP="0040090D">
      <w:pPr>
        <w:spacing w:after="0"/>
        <w:rPr>
          <w:rFonts w:ascii="Times New Roman" w:hAnsi="Times New Roman" w:cs="Times New Roman"/>
          <w:lang w:val="es-CR"/>
        </w:rPr>
      </w:pPr>
    </w:p>
    <w:p w14:paraId="549F19CD" w14:textId="58CEB812" w:rsidR="000F413C" w:rsidRDefault="000F413C" w:rsidP="0040090D">
      <w:pPr>
        <w:spacing w:after="0"/>
        <w:rPr>
          <w:rFonts w:ascii="Times New Roman" w:hAnsi="Times New Roman" w:cs="Times New Roman"/>
          <w:lang w:val="es-CR"/>
        </w:rPr>
      </w:pPr>
    </w:p>
    <w:p w14:paraId="0D7878D6" w14:textId="5AA6036A" w:rsidR="000F413C" w:rsidRDefault="000F413C" w:rsidP="0040090D">
      <w:pPr>
        <w:spacing w:after="0"/>
        <w:rPr>
          <w:rFonts w:ascii="Times New Roman" w:hAnsi="Times New Roman" w:cs="Times New Roman"/>
          <w:lang w:val="es-CR"/>
        </w:rPr>
      </w:pPr>
    </w:p>
    <w:p w14:paraId="2DDDD4C6" w14:textId="77777777" w:rsidR="000F413C" w:rsidRPr="002B039B" w:rsidRDefault="000F413C" w:rsidP="0040090D">
      <w:pPr>
        <w:spacing w:after="0"/>
        <w:rPr>
          <w:rFonts w:ascii="Times New Roman" w:hAnsi="Times New Roman" w:cs="Times New Roman"/>
          <w:lang w:val="es-CR"/>
        </w:rPr>
      </w:pPr>
    </w:p>
    <w:p w14:paraId="5CC3FFAE" w14:textId="3A855731" w:rsidR="00DE7BF7" w:rsidRDefault="00DE7BF7" w:rsidP="00634479">
      <w:pPr>
        <w:spacing w:after="0"/>
        <w:rPr>
          <w:rFonts w:ascii="Times New Roman" w:hAnsi="Times New Roman" w:cs="Times New Roman"/>
          <w:b/>
          <w:lang w:val="es-CR"/>
        </w:rPr>
      </w:pPr>
    </w:p>
    <w:p w14:paraId="286ECF7D" w14:textId="77777777" w:rsidR="00DE7BF7" w:rsidRPr="00634479" w:rsidRDefault="00DE7BF7" w:rsidP="00634479">
      <w:pPr>
        <w:spacing w:after="0"/>
        <w:rPr>
          <w:rFonts w:ascii="Times New Roman" w:hAnsi="Times New Roman" w:cs="Times New Roman"/>
          <w:b/>
          <w:lang w:val="es-CR"/>
        </w:rPr>
      </w:pPr>
    </w:p>
    <w:p w14:paraId="6F8D0C92" w14:textId="71747D20" w:rsidR="00AA3DF5" w:rsidRPr="003B7B9E" w:rsidRDefault="00884C70" w:rsidP="003B7B9E">
      <w:pPr>
        <w:pStyle w:val="Ttulo1"/>
      </w:pPr>
      <w:bookmarkStart w:id="25" w:name="_Toc505348336"/>
      <w:bookmarkStart w:id="26" w:name="_Toc506207746"/>
      <w:bookmarkStart w:id="27" w:name="_Toc506212327"/>
      <w:bookmarkStart w:id="28" w:name="_Toc509221826"/>
      <w:r w:rsidRPr="003B7B9E">
        <w:t>Rentabilidad</w:t>
      </w:r>
      <w:bookmarkEnd w:id="25"/>
      <w:bookmarkEnd w:id="26"/>
      <w:bookmarkEnd w:id="27"/>
      <w:bookmarkEnd w:id="28"/>
    </w:p>
    <w:p w14:paraId="3EB079CF" w14:textId="7E5D9CFE" w:rsidR="00AA3DF5" w:rsidRPr="002B039B" w:rsidRDefault="00AA3DF5" w:rsidP="0040090D">
      <w:pPr>
        <w:spacing w:after="0"/>
        <w:rPr>
          <w:rFonts w:ascii="Times New Roman" w:hAnsi="Times New Roman" w:cs="Times New Roman"/>
        </w:rPr>
      </w:pPr>
    </w:p>
    <w:p w14:paraId="058B537C" w14:textId="6DAF5B4B" w:rsidR="00A45E15" w:rsidRPr="00E5251B" w:rsidRDefault="004478E3" w:rsidP="00E5251B">
      <w:pPr>
        <w:pStyle w:val="Prrafodelista"/>
        <w:numPr>
          <w:ilvl w:val="0"/>
          <w:numId w:val="4"/>
        </w:numPr>
        <w:spacing w:after="0"/>
        <w:ind w:left="0"/>
        <w:jc w:val="both"/>
        <w:rPr>
          <w:rFonts w:ascii="Times New Roman" w:hAnsi="Times New Roman" w:cs="Times New Roman"/>
        </w:rPr>
      </w:pPr>
      <w:r w:rsidRPr="002B039B">
        <w:rPr>
          <w:rFonts w:ascii="Times New Roman" w:hAnsi="Times New Roman" w:cs="Times New Roman"/>
        </w:rPr>
        <w:t>El aumento en el valor de las plusvalías en valores extranjeros favoreció nuevamente la rentabilidad de aquellos fondos que mantienen este tipo de valores en sus carteras.</w:t>
      </w:r>
    </w:p>
    <w:p w14:paraId="0F63D020" w14:textId="76D687F1" w:rsidR="00467734" w:rsidRPr="002B039B" w:rsidRDefault="00467734" w:rsidP="0040090D">
      <w:pPr>
        <w:spacing w:after="0"/>
        <w:rPr>
          <w:rFonts w:ascii="Times New Roman" w:hAnsi="Times New Roman" w:cs="Times New Roman"/>
          <w:b/>
          <w:bCs/>
        </w:rPr>
      </w:pPr>
    </w:p>
    <w:p w14:paraId="5D9D92DA" w14:textId="70E3D3C0" w:rsidR="00CF73B8" w:rsidRPr="002B039B" w:rsidRDefault="00FF5D52" w:rsidP="0040090D">
      <w:pPr>
        <w:spacing w:after="0"/>
        <w:jc w:val="center"/>
        <w:rPr>
          <w:rFonts w:ascii="Times New Roman" w:hAnsi="Times New Roman" w:cs="Times New Roman"/>
          <w:b/>
        </w:rPr>
      </w:pPr>
      <w:r>
        <w:rPr>
          <w:rFonts w:ascii="Times New Roman" w:hAnsi="Times New Roman" w:cs="Times New Roman"/>
          <w:b/>
          <w:bCs/>
        </w:rPr>
        <w:t>Cuadro 5</w:t>
      </w:r>
      <w:r w:rsidR="004478E3" w:rsidRPr="002B039B">
        <w:rPr>
          <w:rFonts w:ascii="Times New Roman" w:hAnsi="Times New Roman" w:cs="Times New Roman"/>
          <w:b/>
          <w:bCs/>
        </w:rPr>
        <w:t>:</w:t>
      </w:r>
    </w:p>
    <w:p w14:paraId="6006A499" w14:textId="1E4CE408" w:rsidR="004478E3" w:rsidRDefault="004478E3" w:rsidP="0040090D">
      <w:pPr>
        <w:spacing w:after="0"/>
        <w:jc w:val="center"/>
        <w:rPr>
          <w:rFonts w:ascii="Times New Roman" w:hAnsi="Times New Roman" w:cs="Times New Roman"/>
          <w:b/>
        </w:rPr>
      </w:pPr>
      <w:r w:rsidRPr="002B039B">
        <w:rPr>
          <w:rFonts w:ascii="Times New Roman" w:hAnsi="Times New Roman" w:cs="Times New Roman"/>
          <w:b/>
        </w:rPr>
        <w:t>Rentabilidad</w:t>
      </w:r>
      <w:r w:rsidR="00742B4D">
        <w:rPr>
          <w:rFonts w:ascii="Times New Roman" w:hAnsi="Times New Roman" w:cs="Times New Roman"/>
          <w:b/>
        </w:rPr>
        <w:t xml:space="preserve"> (%)</w:t>
      </w:r>
      <w:r w:rsidRPr="002B039B">
        <w:rPr>
          <w:rFonts w:ascii="Times New Roman" w:hAnsi="Times New Roman" w:cs="Times New Roman"/>
          <w:b/>
        </w:rPr>
        <w:t xml:space="preserve"> del </w:t>
      </w:r>
      <w:r w:rsidR="000F3F65">
        <w:rPr>
          <w:rFonts w:ascii="Times New Roman" w:hAnsi="Times New Roman" w:cs="Times New Roman"/>
          <w:b/>
        </w:rPr>
        <w:t xml:space="preserve">mes de </w:t>
      </w:r>
      <w:r w:rsidR="00405E5B">
        <w:rPr>
          <w:rFonts w:ascii="Times New Roman" w:hAnsi="Times New Roman" w:cs="Times New Roman"/>
          <w:b/>
        </w:rPr>
        <w:t>diciembre</w:t>
      </w:r>
      <w:r w:rsidR="00BE4971">
        <w:rPr>
          <w:rFonts w:ascii="Times New Roman" w:hAnsi="Times New Roman" w:cs="Times New Roman"/>
          <w:b/>
        </w:rPr>
        <w:t xml:space="preserve"> 2017</w:t>
      </w:r>
    </w:p>
    <w:tbl>
      <w:tblPr>
        <w:tblW w:w="9653" w:type="dxa"/>
        <w:jc w:val="center"/>
        <w:tblCellMar>
          <w:left w:w="70" w:type="dxa"/>
          <w:right w:w="70" w:type="dxa"/>
        </w:tblCellMar>
        <w:tblLook w:val="04A0" w:firstRow="1" w:lastRow="0" w:firstColumn="1" w:lastColumn="0" w:noHBand="0" w:noVBand="1"/>
      </w:tblPr>
      <w:tblGrid>
        <w:gridCol w:w="2835"/>
        <w:gridCol w:w="733"/>
        <w:gridCol w:w="1217"/>
        <w:gridCol w:w="1217"/>
        <w:gridCol w:w="1217"/>
        <w:gridCol w:w="1217"/>
        <w:gridCol w:w="1217"/>
      </w:tblGrid>
      <w:tr w:rsidR="00405E5B" w:rsidRPr="00405E5B" w14:paraId="64318564" w14:textId="77777777" w:rsidTr="00405E5B">
        <w:trPr>
          <w:trHeight w:val="351"/>
          <w:jc w:val="center"/>
        </w:trPr>
        <w:tc>
          <w:tcPr>
            <w:tcW w:w="2835" w:type="dxa"/>
            <w:tcBorders>
              <w:top w:val="single" w:sz="4" w:space="0" w:color="auto"/>
              <w:left w:val="nil"/>
              <w:bottom w:val="single" w:sz="8" w:space="0" w:color="auto"/>
              <w:right w:val="nil"/>
            </w:tcBorders>
            <w:shd w:val="clear" w:color="auto" w:fill="auto"/>
            <w:vAlign w:val="center"/>
            <w:hideMark/>
          </w:tcPr>
          <w:p w14:paraId="551F3EB6" w14:textId="77777777" w:rsidR="00405E5B" w:rsidRPr="00405E5B" w:rsidRDefault="00405E5B" w:rsidP="00405E5B">
            <w:pPr>
              <w:spacing w:after="0" w:line="240" w:lineRule="auto"/>
              <w:jc w:val="center"/>
              <w:rPr>
                <w:rFonts w:ascii="Times New Roman" w:eastAsia="Times New Roman" w:hAnsi="Times New Roman" w:cs="Times New Roman"/>
                <w:b/>
                <w:bCs/>
                <w:sz w:val="16"/>
                <w:szCs w:val="20"/>
                <w:lang w:val="es-CR" w:eastAsia="es-CR"/>
              </w:rPr>
            </w:pPr>
            <w:r w:rsidRPr="00405E5B">
              <w:rPr>
                <w:rFonts w:ascii="Times New Roman" w:eastAsia="Times New Roman" w:hAnsi="Times New Roman" w:cs="Times New Roman"/>
                <w:b/>
                <w:bCs/>
                <w:sz w:val="16"/>
                <w:szCs w:val="20"/>
                <w:lang w:val="es-CR" w:eastAsia="es-CR"/>
              </w:rPr>
              <w:t>FONDO</w:t>
            </w:r>
          </w:p>
        </w:tc>
        <w:tc>
          <w:tcPr>
            <w:tcW w:w="733" w:type="dxa"/>
            <w:tcBorders>
              <w:top w:val="single" w:sz="4" w:space="0" w:color="auto"/>
              <w:left w:val="nil"/>
              <w:bottom w:val="single" w:sz="8" w:space="0" w:color="auto"/>
              <w:right w:val="nil"/>
            </w:tcBorders>
            <w:shd w:val="clear" w:color="auto" w:fill="auto"/>
            <w:vAlign w:val="center"/>
            <w:hideMark/>
          </w:tcPr>
          <w:p w14:paraId="2AB5C13B" w14:textId="77777777" w:rsidR="00405E5B" w:rsidRPr="00405E5B" w:rsidRDefault="00405E5B" w:rsidP="00405E5B">
            <w:pPr>
              <w:spacing w:after="0" w:line="240" w:lineRule="auto"/>
              <w:jc w:val="center"/>
              <w:rPr>
                <w:rFonts w:ascii="Times New Roman" w:eastAsia="Times New Roman" w:hAnsi="Times New Roman" w:cs="Times New Roman"/>
                <w:b/>
                <w:bCs/>
                <w:sz w:val="16"/>
                <w:szCs w:val="20"/>
                <w:lang w:val="es-CR" w:eastAsia="es-CR"/>
              </w:rPr>
            </w:pPr>
            <w:r w:rsidRPr="00405E5B">
              <w:rPr>
                <w:rFonts w:ascii="Times New Roman" w:eastAsia="Times New Roman" w:hAnsi="Times New Roman" w:cs="Times New Roman"/>
                <w:b/>
                <w:bCs/>
                <w:sz w:val="16"/>
                <w:szCs w:val="20"/>
                <w:lang w:val="es-CR" w:eastAsia="es-CR"/>
              </w:rPr>
              <w:t>BAC SJ PENSIONES</w:t>
            </w:r>
          </w:p>
        </w:tc>
        <w:tc>
          <w:tcPr>
            <w:tcW w:w="1217" w:type="dxa"/>
            <w:tcBorders>
              <w:top w:val="single" w:sz="4" w:space="0" w:color="auto"/>
              <w:left w:val="nil"/>
              <w:bottom w:val="single" w:sz="8" w:space="0" w:color="auto"/>
              <w:right w:val="nil"/>
            </w:tcBorders>
            <w:shd w:val="clear" w:color="auto" w:fill="auto"/>
            <w:vAlign w:val="center"/>
            <w:hideMark/>
          </w:tcPr>
          <w:p w14:paraId="19C2CA9B" w14:textId="77777777" w:rsidR="00405E5B" w:rsidRPr="00405E5B" w:rsidRDefault="00405E5B" w:rsidP="00405E5B">
            <w:pPr>
              <w:spacing w:after="0" w:line="240" w:lineRule="auto"/>
              <w:jc w:val="center"/>
              <w:rPr>
                <w:rFonts w:ascii="Times New Roman" w:eastAsia="Times New Roman" w:hAnsi="Times New Roman" w:cs="Times New Roman"/>
                <w:b/>
                <w:bCs/>
                <w:sz w:val="16"/>
                <w:szCs w:val="20"/>
                <w:lang w:val="es-CR" w:eastAsia="es-CR"/>
              </w:rPr>
            </w:pPr>
            <w:r w:rsidRPr="00405E5B">
              <w:rPr>
                <w:rFonts w:ascii="Times New Roman" w:eastAsia="Times New Roman" w:hAnsi="Times New Roman" w:cs="Times New Roman"/>
                <w:b/>
                <w:bCs/>
                <w:sz w:val="16"/>
                <w:szCs w:val="20"/>
                <w:lang w:val="es-CR" w:eastAsia="es-CR"/>
              </w:rPr>
              <w:t>BCR-PENSION</w:t>
            </w:r>
          </w:p>
        </w:tc>
        <w:tc>
          <w:tcPr>
            <w:tcW w:w="1217" w:type="dxa"/>
            <w:tcBorders>
              <w:top w:val="single" w:sz="4" w:space="0" w:color="auto"/>
              <w:left w:val="nil"/>
              <w:bottom w:val="single" w:sz="8" w:space="0" w:color="auto"/>
              <w:right w:val="nil"/>
            </w:tcBorders>
            <w:shd w:val="clear" w:color="auto" w:fill="auto"/>
            <w:vAlign w:val="center"/>
            <w:hideMark/>
          </w:tcPr>
          <w:p w14:paraId="60E34B70" w14:textId="77777777" w:rsidR="00405E5B" w:rsidRPr="00405E5B" w:rsidRDefault="00405E5B" w:rsidP="00405E5B">
            <w:pPr>
              <w:spacing w:after="0" w:line="240" w:lineRule="auto"/>
              <w:jc w:val="center"/>
              <w:rPr>
                <w:rFonts w:ascii="Times New Roman" w:eastAsia="Times New Roman" w:hAnsi="Times New Roman" w:cs="Times New Roman"/>
                <w:b/>
                <w:bCs/>
                <w:sz w:val="16"/>
                <w:szCs w:val="20"/>
                <w:lang w:val="es-CR" w:eastAsia="es-CR"/>
              </w:rPr>
            </w:pPr>
            <w:r w:rsidRPr="00405E5B">
              <w:rPr>
                <w:rFonts w:ascii="Times New Roman" w:eastAsia="Times New Roman" w:hAnsi="Times New Roman" w:cs="Times New Roman"/>
                <w:b/>
                <w:bCs/>
                <w:sz w:val="16"/>
                <w:szCs w:val="20"/>
                <w:lang w:val="es-CR" w:eastAsia="es-CR"/>
              </w:rPr>
              <w:t>CCSS OPC</w:t>
            </w:r>
          </w:p>
        </w:tc>
        <w:tc>
          <w:tcPr>
            <w:tcW w:w="1217" w:type="dxa"/>
            <w:tcBorders>
              <w:top w:val="single" w:sz="4" w:space="0" w:color="auto"/>
              <w:left w:val="nil"/>
              <w:bottom w:val="single" w:sz="8" w:space="0" w:color="auto"/>
              <w:right w:val="nil"/>
            </w:tcBorders>
            <w:shd w:val="clear" w:color="auto" w:fill="auto"/>
            <w:vAlign w:val="center"/>
            <w:hideMark/>
          </w:tcPr>
          <w:p w14:paraId="0AD1EB32" w14:textId="77777777" w:rsidR="00405E5B" w:rsidRPr="00405E5B" w:rsidRDefault="00405E5B" w:rsidP="00405E5B">
            <w:pPr>
              <w:spacing w:after="0" w:line="240" w:lineRule="auto"/>
              <w:jc w:val="center"/>
              <w:rPr>
                <w:rFonts w:ascii="Times New Roman" w:eastAsia="Times New Roman" w:hAnsi="Times New Roman" w:cs="Times New Roman"/>
                <w:b/>
                <w:bCs/>
                <w:sz w:val="16"/>
                <w:szCs w:val="20"/>
                <w:lang w:val="es-CR" w:eastAsia="es-CR"/>
              </w:rPr>
            </w:pPr>
            <w:r w:rsidRPr="00405E5B">
              <w:rPr>
                <w:rFonts w:ascii="Times New Roman" w:eastAsia="Times New Roman" w:hAnsi="Times New Roman" w:cs="Times New Roman"/>
                <w:b/>
                <w:bCs/>
                <w:sz w:val="16"/>
                <w:szCs w:val="20"/>
                <w:lang w:val="es-CR" w:eastAsia="es-CR"/>
              </w:rPr>
              <w:t>POPULAR PENSIONES</w:t>
            </w:r>
          </w:p>
        </w:tc>
        <w:tc>
          <w:tcPr>
            <w:tcW w:w="1217" w:type="dxa"/>
            <w:tcBorders>
              <w:top w:val="single" w:sz="4" w:space="0" w:color="auto"/>
              <w:left w:val="nil"/>
              <w:bottom w:val="single" w:sz="8" w:space="0" w:color="auto"/>
              <w:right w:val="nil"/>
            </w:tcBorders>
            <w:shd w:val="clear" w:color="auto" w:fill="auto"/>
            <w:vAlign w:val="center"/>
            <w:hideMark/>
          </w:tcPr>
          <w:p w14:paraId="32389908" w14:textId="77777777" w:rsidR="00405E5B" w:rsidRPr="00405E5B" w:rsidRDefault="00405E5B" w:rsidP="00405E5B">
            <w:pPr>
              <w:spacing w:after="0" w:line="240" w:lineRule="auto"/>
              <w:jc w:val="center"/>
              <w:rPr>
                <w:rFonts w:ascii="Times New Roman" w:eastAsia="Times New Roman" w:hAnsi="Times New Roman" w:cs="Times New Roman"/>
                <w:b/>
                <w:bCs/>
                <w:sz w:val="16"/>
                <w:szCs w:val="20"/>
                <w:lang w:val="es-CR" w:eastAsia="es-CR"/>
              </w:rPr>
            </w:pPr>
            <w:r w:rsidRPr="00405E5B">
              <w:rPr>
                <w:rFonts w:ascii="Times New Roman" w:eastAsia="Times New Roman" w:hAnsi="Times New Roman" w:cs="Times New Roman"/>
                <w:b/>
                <w:bCs/>
                <w:sz w:val="16"/>
                <w:szCs w:val="20"/>
                <w:lang w:val="es-CR" w:eastAsia="es-CR"/>
              </w:rPr>
              <w:t>VIDA PLENA OPC</w:t>
            </w:r>
          </w:p>
        </w:tc>
        <w:tc>
          <w:tcPr>
            <w:tcW w:w="1217" w:type="dxa"/>
            <w:tcBorders>
              <w:top w:val="single" w:sz="4" w:space="0" w:color="auto"/>
              <w:left w:val="nil"/>
              <w:bottom w:val="single" w:sz="8" w:space="0" w:color="auto"/>
              <w:right w:val="nil"/>
            </w:tcBorders>
            <w:shd w:val="clear" w:color="auto" w:fill="auto"/>
            <w:vAlign w:val="center"/>
            <w:hideMark/>
          </w:tcPr>
          <w:p w14:paraId="4053A6C4" w14:textId="77777777" w:rsidR="00405E5B" w:rsidRPr="00405E5B" w:rsidRDefault="00405E5B" w:rsidP="00405E5B">
            <w:pPr>
              <w:spacing w:after="0" w:line="240" w:lineRule="auto"/>
              <w:jc w:val="center"/>
              <w:rPr>
                <w:rFonts w:ascii="Times New Roman" w:eastAsia="Times New Roman" w:hAnsi="Times New Roman" w:cs="Times New Roman"/>
                <w:b/>
                <w:bCs/>
                <w:sz w:val="16"/>
                <w:szCs w:val="20"/>
                <w:lang w:val="es-CR" w:eastAsia="es-CR"/>
              </w:rPr>
            </w:pPr>
            <w:r w:rsidRPr="00405E5B">
              <w:rPr>
                <w:rFonts w:ascii="Times New Roman" w:eastAsia="Times New Roman" w:hAnsi="Times New Roman" w:cs="Times New Roman"/>
                <w:b/>
                <w:bCs/>
                <w:sz w:val="16"/>
                <w:szCs w:val="20"/>
                <w:lang w:val="es-CR" w:eastAsia="es-CR"/>
              </w:rPr>
              <w:t>BN-VITAL</w:t>
            </w:r>
          </w:p>
        </w:tc>
      </w:tr>
      <w:tr w:rsidR="00405E5B" w:rsidRPr="00405E5B" w14:paraId="6AF93ACA" w14:textId="77777777" w:rsidTr="00405E5B">
        <w:trPr>
          <w:trHeight w:val="351"/>
          <w:jc w:val="center"/>
        </w:trPr>
        <w:tc>
          <w:tcPr>
            <w:tcW w:w="2835" w:type="dxa"/>
            <w:tcBorders>
              <w:top w:val="single" w:sz="4" w:space="0" w:color="auto"/>
              <w:left w:val="nil"/>
              <w:bottom w:val="single" w:sz="8" w:space="0" w:color="auto"/>
              <w:right w:val="nil"/>
            </w:tcBorders>
            <w:shd w:val="clear" w:color="auto" w:fill="auto"/>
            <w:vAlign w:val="center"/>
            <w:hideMark/>
          </w:tcPr>
          <w:p w14:paraId="5AD74583" w14:textId="77777777" w:rsidR="00405E5B" w:rsidRPr="00405E5B" w:rsidRDefault="00405E5B" w:rsidP="00405E5B">
            <w:pPr>
              <w:spacing w:after="0" w:line="240" w:lineRule="auto"/>
              <w:jc w:val="center"/>
              <w:rPr>
                <w:rFonts w:ascii="Times New Roman" w:eastAsia="Times New Roman" w:hAnsi="Times New Roman" w:cs="Times New Roman"/>
                <w:b/>
                <w:bCs/>
                <w:sz w:val="18"/>
                <w:szCs w:val="20"/>
                <w:lang w:val="es-CR" w:eastAsia="es-CR"/>
              </w:rPr>
            </w:pPr>
            <w:r w:rsidRPr="00405E5B">
              <w:rPr>
                <w:rFonts w:ascii="Times New Roman" w:eastAsia="Times New Roman" w:hAnsi="Times New Roman" w:cs="Times New Roman"/>
                <w:b/>
                <w:bCs/>
                <w:sz w:val="18"/>
                <w:szCs w:val="20"/>
                <w:lang w:val="es-CR" w:eastAsia="es-CR"/>
              </w:rPr>
              <w:t>Fondo Capitalización Laboral</w:t>
            </w:r>
          </w:p>
        </w:tc>
        <w:tc>
          <w:tcPr>
            <w:tcW w:w="733" w:type="dxa"/>
            <w:tcBorders>
              <w:top w:val="single" w:sz="4" w:space="0" w:color="auto"/>
              <w:left w:val="nil"/>
              <w:bottom w:val="single" w:sz="8" w:space="0" w:color="auto"/>
              <w:right w:val="nil"/>
            </w:tcBorders>
            <w:shd w:val="clear" w:color="auto" w:fill="auto"/>
            <w:vAlign w:val="center"/>
            <w:hideMark/>
          </w:tcPr>
          <w:p w14:paraId="0F9299EB"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0,75</w:t>
            </w:r>
          </w:p>
        </w:tc>
        <w:tc>
          <w:tcPr>
            <w:tcW w:w="1217" w:type="dxa"/>
            <w:tcBorders>
              <w:top w:val="single" w:sz="4" w:space="0" w:color="auto"/>
              <w:left w:val="nil"/>
              <w:bottom w:val="single" w:sz="8" w:space="0" w:color="auto"/>
              <w:right w:val="nil"/>
            </w:tcBorders>
            <w:shd w:val="clear" w:color="auto" w:fill="auto"/>
            <w:vAlign w:val="center"/>
            <w:hideMark/>
          </w:tcPr>
          <w:p w14:paraId="0627925C"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0,75</w:t>
            </w:r>
          </w:p>
        </w:tc>
        <w:tc>
          <w:tcPr>
            <w:tcW w:w="1217" w:type="dxa"/>
            <w:tcBorders>
              <w:top w:val="single" w:sz="4" w:space="0" w:color="auto"/>
              <w:left w:val="nil"/>
              <w:bottom w:val="single" w:sz="8" w:space="0" w:color="auto"/>
              <w:right w:val="nil"/>
            </w:tcBorders>
            <w:shd w:val="clear" w:color="auto" w:fill="auto"/>
            <w:vAlign w:val="center"/>
            <w:hideMark/>
          </w:tcPr>
          <w:p w14:paraId="37267990"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0,68</w:t>
            </w:r>
          </w:p>
        </w:tc>
        <w:tc>
          <w:tcPr>
            <w:tcW w:w="1217" w:type="dxa"/>
            <w:tcBorders>
              <w:top w:val="single" w:sz="4" w:space="0" w:color="auto"/>
              <w:left w:val="nil"/>
              <w:bottom w:val="single" w:sz="8" w:space="0" w:color="auto"/>
              <w:right w:val="nil"/>
            </w:tcBorders>
            <w:shd w:val="clear" w:color="auto" w:fill="auto"/>
            <w:vAlign w:val="center"/>
            <w:hideMark/>
          </w:tcPr>
          <w:p w14:paraId="5A124E3F"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0,67</w:t>
            </w:r>
          </w:p>
        </w:tc>
        <w:tc>
          <w:tcPr>
            <w:tcW w:w="1217" w:type="dxa"/>
            <w:tcBorders>
              <w:top w:val="single" w:sz="4" w:space="0" w:color="auto"/>
              <w:left w:val="nil"/>
              <w:bottom w:val="single" w:sz="8" w:space="0" w:color="auto"/>
              <w:right w:val="nil"/>
            </w:tcBorders>
            <w:shd w:val="clear" w:color="auto" w:fill="auto"/>
            <w:vAlign w:val="center"/>
            <w:hideMark/>
          </w:tcPr>
          <w:p w14:paraId="0B50A4ED"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0,76</w:t>
            </w:r>
          </w:p>
        </w:tc>
        <w:tc>
          <w:tcPr>
            <w:tcW w:w="1217" w:type="dxa"/>
            <w:tcBorders>
              <w:top w:val="single" w:sz="4" w:space="0" w:color="auto"/>
              <w:left w:val="nil"/>
              <w:bottom w:val="single" w:sz="8" w:space="0" w:color="auto"/>
              <w:right w:val="nil"/>
            </w:tcBorders>
            <w:shd w:val="clear" w:color="auto" w:fill="auto"/>
            <w:vAlign w:val="center"/>
            <w:hideMark/>
          </w:tcPr>
          <w:p w14:paraId="2FD3CA00"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0,6</w:t>
            </w:r>
          </w:p>
        </w:tc>
      </w:tr>
      <w:tr w:rsidR="00405E5B" w:rsidRPr="00405E5B" w14:paraId="379DEA44" w14:textId="77777777" w:rsidTr="00405E5B">
        <w:trPr>
          <w:trHeight w:val="351"/>
          <w:jc w:val="center"/>
        </w:trPr>
        <w:tc>
          <w:tcPr>
            <w:tcW w:w="2835" w:type="dxa"/>
            <w:tcBorders>
              <w:top w:val="single" w:sz="4" w:space="0" w:color="auto"/>
              <w:left w:val="nil"/>
              <w:bottom w:val="single" w:sz="8" w:space="0" w:color="auto"/>
              <w:right w:val="nil"/>
            </w:tcBorders>
            <w:shd w:val="clear" w:color="auto" w:fill="auto"/>
            <w:vAlign w:val="center"/>
            <w:hideMark/>
          </w:tcPr>
          <w:p w14:paraId="76513A96" w14:textId="77777777" w:rsidR="00405E5B" w:rsidRPr="00405E5B" w:rsidRDefault="00405E5B" w:rsidP="00405E5B">
            <w:pPr>
              <w:spacing w:after="0" w:line="240" w:lineRule="auto"/>
              <w:jc w:val="center"/>
              <w:rPr>
                <w:rFonts w:ascii="Times New Roman" w:eastAsia="Times New Roman" w:hAnsi="Times New Roman" w:cs="Times New Roman"/>
                <w:b/>
                <w:bCs/>
                <w:sz w:val="18"/>
                <w:szCs w:val="20"/>
                <w:lang w:val="es-CR" w:eastAsia="es-CR"/>
              </w:rPr>
            </w:pPr>
            <w:r w:rsidRPr="00405E5B">
              <w:rPr>
                <w:rFonts w:ascii="Times New Roman" w:eastAsia="Times New Roman" w:hAnsi="Times New Roman" w:cs="Times New Roman"/>
                <w:b/>
                <w:bCs/>
                <w:sz w:val="18"/>
                <w:szCs w:val="20"/>
                <w:lang w:val="es-CR" w:eastAsia="es-CR"/>
              </w:rPr>
              <w:t xml:space="preserve">Régimen Obligatorio de Pensiones </w:t>
            </w:r>
          </w:p>
        </w:tc>
        <w:tc>
          <w:tcPr>
            <w:tcW w:w="733" w:type="dxa"/>
            <w:tcBorders>
              <w:top w:val="single" w:sz="4" w:space="0" w:color="auto"/>
              <w:left w:val="nil"/>
              <w:bottom w:val="single" w:sz="8" w:space="0" w:color="auto"/>
              <w:right w:val="nil"/>
            </w:tcBorders>
            <w:shd w:val="clear" w:color="auto" w:fill="auto"/>
            <w:vAlign w:val="center"/>
            <w:hideMark/>
          </w:tcPr>
          <w:p w14:paraId="25417937"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0,81</w:t>
            </w:r>
          </w:p>
        </w:tc>
        <w:tc>
          <w:tcPr>
            <w:tcW w:w="1217" w:type="dxa"/>
            <w:tcBorders>
              <w:top w:val="single" w:sz="4" w:space="0" w:color="auto"/>
              <w:left w:val="nil"/>
              <w:bottom w:val="single" w:sz="8" w:space="0" w:color="auto"/>
              <w:right w:val="nil"/>
            </w:tcBorders>
            <w:shd w:val="clear" w:color="auto" w:fill="auto"/>
            <w:vAlign w:val="center"/>
            <w:hideMark/>
          </w:tcPr>
          <w:p w14:paraId="5BD3FC09"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0,77</w:t>
            </w:r>
          </w:p>
        </w:tc>
        <w:tc>
          <w:tcPr>
            <w:tcW w:w="1217" w:type="dxa"/>
            <w:tcBorders>
              <w:top w:val="single" w:sz="4" w:space="0" w:color="auto"/>
              <w:left w:val="nil"/>
              <w:bottom w:val="single" w:sz="8" w:space="0" w:color="auto"/>
              <w:right w:val="nil"/>
            </w:tcBorders>
            <w:shd w:val="clear" w:color="auto" w:fill="auto"/>
            <w:vAlign w:val="center"/>
            <w:hideMark/>
          </w:tcPr>
          <w:p w14:paraId="6E78C2ED"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0,66</w:t>
            </w:r>
          </w:p>
        </w:tc>
        <w:tc>
          <w:tcPr>
            <w:tcW w:w="1217" w:type="dxa"/>
            <w:tcBorders>
              <w:top w:val="single" w:sz="4" w:space="0" w:color="auto"/>
              <w:left w:val="nil"/>
              <w:bottom w:val="single" w:sz="8" w:space="0" w:color="auto"/>
              <w:right w:val="nil"/>
            </w:tcBorders>
            <w:shd w:val="clear" w:color="auto" w:fill="auto"/>
            <w:vAlign w:val="center"/>
            <w:hideMark/>
          </w:tcPr>
          <w:p w14:paraId="29DB0040"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0,61</w:t>
            </w:r>
          </w:p>
        </w:tc>
        <w:tc>
          <w:tcPr>
            <w:tcW w:w="1217" w:type="dxa"/>
            <w:tcBorders>
              <w:top w:val="single" w:sz="4" w:space="0" w:color="auto"/>
              <w:left w:val="nil"/>
              <w:bottom w:val="single" w:sz="8" w:space="0" w:color="auto"/>
              <w:right w:val="nil"/>
            </w:tcBorders>
            <w:shd w:val="clear" w:color="auto" w:fill="auto"/>
            <w:vAlign w:val="center"/>
            <w:hideMark/>
          </w:tcPr>
          <w:p w14:paraId="51A55E5B"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0.74</w:t>
            </w:r>
          </w:p>
        </w:tc>
        <w:tc>
          <w:tcPr>
            <w:tcW w:w="1217" w:type="dxa"/>
            <w:tcBorders>
              <w:top w:val="single" w:sz="4" w:space="0" w:color="auto"/>
              <w:left w:val="nil"/>
              <w:bottom w:val="single" w:sz="8" w:space="0" w:color="auto"/>
              <w:right w:val="nil"/>
            </w:tcBorders>
            <w:shd w:val="clear" w:color="auto" w:fill="auto"/>
            <w:vAlign w:val="center"/>
            <w:hideMark/>
          </w:tcPr>
          <w:p w14:paraId="5021B15C"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0,71</w:t>
            </w:r>
          </w:p>
        </w:tc>
      </w:tr>
      <w:tr w:rsidR="00405E5B" w:rsidRPr="00405E5B" w14:paraId="23ED50D5" w14:textId="77777777" w:rsidTr="00405E5B">
        <w:trPr>
          <w:trHeight w:val="351"/>
          <w:jc w:val="center"/>
        </w:trPr>
        <w:tc>
          <w:tcPr>
            <w:tcW w:w="2835" w:type="dxa"/>
            <w:tcBorders>
              <w:top w:val="single" w:sz="4" w:space="0" w:color="auto"/>
              <w:left w:val="nil"/>
              <w:bottom w:val="single" w:sz="8" w:space="0" w:color="auto"/>
              <w:right w:val="nil"/>
            </w:tcBorders>
            <w:shd w:val="clear" w:color="auto" w:fill="auto"/>
            <w:vAlign w:val="center"/>
            <w:hideMark/>
          </w:tcPr>
          <w:p w14:paraId="4031165C" w14:textId="77777777" w:rsidR="00405E5B" w:rsidRPr="00405E5B" w:rsidRDefault="00405E5B" w:rsidP="00405E5B">
            <w:pPr>
              <w:spacing w:after="0" w:line="240" w:lineRule="auto"/>
              <w:jc w:val="center"/>
              <w:rPr>
                <w:rFonts w:ascii="Times New Roman" w:eastAsia="Times New Roman" w:hAnsi="Times New Roman" w:cs="Times New Roman"/>
                <w:b/>
                <w:bCs/>
                <w:sz w:val="18"/>
                <w:szCs w:val="20"/>
                <w:lang w:val="es-CR" w:eastAsia="es-CR"/>
              </w:rPr>
            </w:pPr>
            <w:r w:rsidRPr="00405E5B">
              <w:rPr>
                <w:rFonts w:ascii="Times New Roman" w:eastAsia="Times New Roman" w:hAnsi="Times New Roman" w:cs="Times New Roman"/>
                <w:b/>
                <w:bCs/>
                <w:sz w:val="18"/>
                <w:szCs w:val="20"/>
                <w:lang w:val="es-CR" w:eastAsia="es-CR"/>
              </w:rPr>
              <w:t>Voluntario Colones “A”</w:t>
            </w:r>
          </w:p>
        </w:tc>
        <w:tc>
          <w:tcPr>
            <w:tcW w:w="733" w:type="dxa"/>
            <w:tcBorders>
              <w:top w:val="single" w:sz="4" w:space="0" w:color="auto"/>
              <w:left w:val="nil"/>
              <w:bottom w:val="single" w:sz="8" w:space="0" w:color="auto"/>
              <w:right w:val="nil"/>
            </w:tcBorders>
            <w:shd w:val="clear" w:color="auto" w:fill="auto"/>
            <w:vAlign w:val="center"/>
            <w:hideMark/>
          </w:tcPr>
          <w:p w14:paraId="3633913A"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0,69</w:t>
            </w:r>
          </w:p>
        </w:tc>
        <w:tc>
          <w:tcPr>
            <w:tcW w:w="1217" w:type="dxa"/>
            <w:tcBorders>
              <w:top w:val="single" w:sz="4" w:space="0" w:color="auto"/>
              <w:left w:val="nil"/>
              <w:bottom w:val="single" w:sz="8" w:space="0" w:color="auto"/>
              <w:right w:val="nil"/>
            </w:tcBorders>
            <w:shd w:val="clear" w:color="auto" w:fill="auto"/>
            <w:vAlign w:val="center"/>
            <w:hideMark/>
          </w:tcPr>
          <w:p w14:paraId="735734AF"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0,72</w:t>
            </w:r>
          </w:p>
        </w:tc>
        <w:tc>
          <w:tcPr>
            <w:tcW w:w="1217" w:type="dxa"/>
            <w:tcBorders>
              <w:top w:val="single" w:sz="4" w:space="0" w:color="auto"/>
              <w:left w:val="nil"/>
              <w:bottom w:val="single" w:sz="8" w:space="0" w:color="auto"/>
              <w:right w:val="nil"/>
            </w:tcBorders>
            <w:shd w:val="clear" w:color="auto" w:fill="auto"/>
            <w:vAlign w:val="center"/>
            <w:hideMark/>
          </w:tcPr>
          <w:p w14:paraId="738D1CE0"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 </w:t>
            </w:r>
          </w:p>
        </w:tc>
        <w:tc>
          <w:tcPr>
            <w:tcW w:w="1217" w:type="dxa"/>
            <w:tcBorders>
              <w:top w:val="single" w:sz="4" w:space="0" w:color="auto"/>
              <w:left w:val="nil"/>
              <w:bottom w:val="single" w:sz="8" w:space="0" w:color="auto"/>
              <w:right w:val="nil"/>
            </w:tcBorders>
            <w:shd w:val="clear" w:color="auto" w:fill="auto"/>
            <w:vAlign w:val="center"/>
            <w:hideMark/>
          </w:tcPr>
          <w:p w14:paraId="0799AE98"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 </w:t>
            </w:r>
          </w:p>
        </w:tc>
        <w:tc>
          <w:tcPr>
            <w:tcW w:w="1217" w:type="dxa"/>
            <w:tcBorders>
              <w:top w:val="single" w:sz="4" w:space="0" w:color="auto"/>
              <w:left w:val="nil"/>
              <w:bottom w:val="single" w:sz="8" w:space="0" w:color="auto"/>
              <w:right w:val="nil"/>
            </w:tcBorders>
            <w:shd w:val="clear" w:color="auto" w:fill="auto"/>
            <w:vAlign w:val="center"/>
            <w:hideMark/>
          </w:tcPr>
          <w:p w14:paraId="2DCBC261"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0,72</w:t>
            </w:r>
          </w:p>
        </w:tc>
        <w:tc>
          <w:tcPr>
            <w:tcW w:w="1217" w:type="dxa"/>
            <w:tcBorders>
              <w:top w:val="single" w:sz="4" w:space="0" w:color="auto"/>
              <w:left w:val="nil"/>
              <w:bottom w:val="single" w:sz="8" w:space="0" w:color="auto"/>
              <w:right w:val="nil"/>
            </w:tcBorders>
            <w:shd w:val="clear" w:color="auto" w:fill="auto"/>
            <w:vAlign w:val="center"/>
            <w:hideMark/>
          </w:tcPr>
          <w:p w14:paraId="7CECCFD0"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0,62</w:t>
            </w:r>
          </w:p>
        </w:tc>
      </w:tr>
      <w:tr w:rsidR="00405E5B" w:rsidRPr="00405E5B" w14:paraId="13FD7438" w14:textId="77777777" w:rsidTr="00405E5B">
        <w:trPr>
          <w:trHeight w:val="351"/>
          <w:jc w:val="center"/>
        </w:trPr>
        <w:tc>
          <w:tcPr>
            <w:tcW w:w="2835" w:type="dxa"/>
            <w:tcBorders>
              <w:top w:val="single" w:sz="4" w:space="0" w:color="auto"/>
              <w:left w:val="nil"/>
              <w:bottom w:val="single" w:sz="8" w:space="0" w:color="auto"/>
              <w:right w:val="nil"/>
            </w:tcBorders>
            <w:shd w:val="clear" w:color="auto" w:fill="auto"/>
            <w:vAlign w:val="center"/>
            <w:hideMark/>
          </w:tcPr>
          <w:p w14:paraId="6242AF01" w14:textId="77777777" w:rsidR="00405E5B" w:rsidRPr="00405E5B" w:rsidRDefault="00405E5B" w:rsidP="00405E5B">
            <w:pPr>
              <w:spacing w:after="0" w:line="240" w:lineRule="auto"/>
              <w:jc w:val="center"/>
              <w:rPr>
                <w:rFonts w:ascii="Times New Roman" w:eastAsia="Times New Roman" w:hAnsi="Times New Roman" w:cs="Times New Roman"/>
                <w:b/>
                <w:bCs/>
                <w:sz w:val="18"/>
                <w:szCs w:val="20"/>
                <w:lang w:val="es-CR" w:eastAsia="es-CR"/>
              </w:rPr>
            </w:pPr>
            <w:r w:rsidRPr="00405E5B">
              <w:rPr>
                <w:rFonts w:ascii="Times New Roman" w:eastAsia="Times New Roman" w:hAnsi="Times New Roman" w:cs="Times New Roman"/>
                <w:b/>
                <w:bCs/>
                <w:sz w:val="18"/>
                <w:szCs w:val="20"/>
                <w:lang w:val="es-CR" w:eastAsia="es-CR"/>
              </w:rPr>
              <w:t>Voluntario Colones “B”</w:t>
            </w:r>
          </w:p>
        </w:tc>
        <w:tc>
          <w:tcPr>
            <w:tcW w:w="733" w:type="dxa"/>
            <w:tcBorders>
              <w:top w:val="single" w:sz="4" w:space="0" w:color="auto"/>
              <w:left w:val="nil"/>
              <w:bottom w:val="single" w:sz="8" w:space="0" w:color="auto"/>
              <w:right w:val="nil"/>
            </w:tcBorders>
            <w:shd w:val="clear" w:color="auto" w:fill="auto"/>
            <w:vAlign w:val="center"/>
            <w:hideMark/>
          </w:tcPr>
          <w:p w14:paraId="334098F9"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0,74</w:t>
            </w:r>
          </w:p>
        </w:tc>
        <w:tc>
          <w:tcPr>
            <w:tcW w:w="1217" w:type="dxa"/>
            <w:tcBorders>
              <w:top w:val="single" w:sz="4" w:space="0" w:color="auto"/>
              <w:left w:val="nil"/>
              <w:bottom w:val="single" w:sz="8" w:space="0" w:color="auto"/>
              <w:right w:val="nil"/>
            </w:tcBorders>
            <w:shd w:val="clear" w:color="auto" w:fill="auto"/>
            <w:vAlign w:val="center"/>
            <w:hideMark/>
          </w:tcPr>
          <w:p w14:paraId="5039599B"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0,7</w:t>
            </w:r>
          </w:p>
        </w:tc>
        <w:tc>
          <w:tcPr>
            <w:tcW w:w="1217" w:type="dxa"/>
            <w:tcBorders>
              <w:top w:val="single" w:sz="4" w:space="0" w:color="auto"/>
              <w:left w:val="nil"/>
              <w:bottom w:val="single" w:sz="8" w:space="0" w:color="auto"/>
              <w:right w:val="nil"/>
            </w:tcBorders>
            <w:shd w:val="clear" w:color="auto" w:fill="auto"/>
            <w:vAlign w:val="center"/>
            <w:hideMark/>
          </w:tcPr>
          <w:p w14:paraId="432F5E48"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 </w:t>
            </w:r>
          </w:p>
        </w:tc>
        <w:tc>
          <w:tcPr>
            <w:tcW w:w="1217" w:type="dxa"/>
            <w:tcBorders>
              <w:top w:val="single" w:sz="4" w:space="0" w:color="auto"/>
              <w:left w:val="nil"/>
              <w:bottom w:val="single" w:sz="8" w:space="0" w:color="auto"/>
              <w:right w:val="nil"/>
            </w:tcBorders>
            <w:shd w:val="clear" w:color="auto" w:fill="auto"/>
            <w:vAlign w:val="center"/>
            <w:hideMark/>
          </w:tcPr>
          <w:p w14:paraId="0B40DB3B"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0,65</w:t>
            </w:r>
          </w:p>
        </w:tc>
        <w:tc>
          <w:tcPr>
            <w:tcW w:w="1217" w:type="dxa"/>
            <w:tcBorders>
              <w:top w:val="single" w:sz="4" w:space="0" w:color="auto"/>
              <w:left w:val="nil"/>
              <w:bottom w:val="single" w:sz="8" w:space="0" w:color="auto"/>
              <w:right w:val="nil"/>
            </w:tcBorders>
            <w:shd w:val="clear" w:color="auto" w:fill="auto"/>
            <w:vAlign w:val="center"/>
            <w:hideMark/>
          </w:tcPr>
          <w:p w14:paraId="52272F90"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0,76</w:t>
            </w:r>
          </w:p>
        </w:tc>
        <w:tc>
          <w:tcPr>
            <w:tcW w:w="1217" w:type="dxa"/>
            <w:tcBorders>
              <w:top w:val="single" w:sz="4" w:space="0" w:color="auto"/>
              <w:left w:val="nil"/>
              <w:bottom w:val="single" w:sz="8" w:space="0" w:color="auto"/>
              <w:right w:val="nil"/>
            </w:tcBorders>
            <w:shd w:val="clear" w:color="auto" w:fill="auto"/>
            <w:vAlign w:val="center"/>
            <w:hideMark/>
          </w:tcPr>
          <w:p w14:paraId="44588BF1"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0,67</w:t>
            </w:r>
          </w:p>
        </w:tc>
      </w:tr>
      <w:tr w:rsidR="00405E5B" w:rsidRPr="00405E5B" w14:paraId="6535688C" w14:textId="77777777" w:rsidTr="00405E5B">
        <w:trPr>
          <w:trHeight w:val="351"/>
          <w:jc w:val="center"/>
        </w:trPr>
        <w:tc>
          <w:tcPr>
            <w:tcW w:w="2835" w:type="dxa"/>
            <w:tcBorders>
              <w:top w:val="single" w:sz="4" w:space="0" w:color="auto"/>
              <w:left w:val="nil"/>
              <w:bottom w:val="single" w:sz="8" w:space="0" w:color="auto"/>
              <w:right w:val="nil"/>
            </w:tcBorders>
            <w:shd w:val="clear" w:color="auto" w:fill="auto"/>
            <w:vAlign w:val="center"/>
            <w:hideMark/>
          </w:tcPr>
          <w:p w14:paraId="7D604FBF" w14:textId="77777777" w:rsidR="00405E5B" w:rsidRPr="00405E5B" w:rsidRDefault="00405E5B" w:rsidP="00405E5B">
            <w:pPr>
              <w:spacing w:after="0" w:line="240" w:lineRule="auto"/>
              <w:jc w:val="center"/>
              <w:rPr>
                <w:rFonts w:ascii="Times New Roman" w:eastAsia="Times New Roman" w:hAnsi="Times New Roman" w:cs="Times New Roman"/>
                <w:b/>
                <w:bCs/>
                <w:sz w:val="18"/>
                <w:szCs w:val="20"/>
                <w:lang w:val="es-CR" w:eastAsia="es-CR"/>
              </w:rPr>
            </w:pPr>
            <w:r w:rsidRPr="00405E5B">
              <w:rPr>
                <w:rFonts w:ascii="Times New Roman" w:eastAsia="Times New Roman" w:hAnsi="Times New Roman" w:cs="Times New Roman"/>
                <w:b/>
                <w:bCs/>
                <w:sz w:val="18"/>
                <w:szCs w:val="20"/>
                <w:lang w:val="es-CR" w:eastAsia="es-CR"/>
              </w:rPr>
              <w:t>Voluntario Dólares “A”</w:t>
            </w:r>
          </w:p>
        </w:tc>
        <w:tc>
          <w:tcPr>
            <w:tcW w:w="733" w:type="dxa"/>
            <w:tcBorders>
              <w:top w:val="single" w:sz="4" w:space="0" w:color="auto"/>
              <w:left w:val="nil"/>
              <w:bottom w:val="single" w:sz="8" w:space="0" w:color="auto"/>
              <w:right w:val="nil"/>
            </w:tcBorders>
            <w:shd w:val="clear" w:color="auto" w:fill="auto"/>
            <w:vAlign w:val="center"/>
            <w:hideMark/>
          </w:tcPr>
          <w:p w14:paraId="72E0568F"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0,11</w:t>
            </w:r>
          </w:p>
        </w:tc>
        <w:tc>
          <w:tcPr>
            <w:tcW w:w="1217" w:type="dxa"/>
            <w:tcBorders>
              <w:top w:val="single" w:sz="4" w:space="0" w:color="auto"/>
              <w:left w:val="nil"/>
              <w:bottom w:val="single" w:sz="8" w:space="0" w:color="auto"/>
              <w:right w:val="nil"/>
            </w:tcBorders>
            <w:shd w:val="clear" w:color="auto" w:fill="auto"/>
            <w:vAlign w:val="center"/>
            <w:hideMark/>
          </w:tcPr>
          <w:p w14:paraId="236595AD"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0,28</w:t>
            </w:r>
          </w:p>
        </w:tc>
        <w:tc>
          <w:tcPr>
            <w:tcW w:w="1217" w:type="dxa"/>
            <w:tcBorders>
              <w:top w:val="single" w:sz="4" w:space="0" w:color="auto"/>
              <w:left w:val="nil"/>
              <w:bottom w:val="single" w:sz="8" w:space="0" w:color="auto"/>
              <w:right w:val="nil"/>
            </w:tcBorders>
            <w:shd w:val="clear" w:color="auto" w:fill="auto"/>
            <w:vAlign w:val="center"/>
            <w:hideMark/>
          </w:tcPr>
          <w:p w14:paraId="0B2BCCB7"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 </w:t>
            </w:r>
          </w:p>
        </w:tc>
        <w:tc>
          <w:tcPr>
            <w:tcW w:w="1217" w:type="dxa"/>
            <w:tcBorders>
              <w:top w:val="single" w:sz="4" w:space="0" w:color="auto"/>
              <w:left w:val="nil"/>
              <w:bottom w:val="single" w:sz="8" w:space="0" w:color="auto"/>
              <w:right w:val="nil"/>
            </w:tcBorders>
            <w:shd w:val="clear" w:color="auto" w:fill="auto"/>
            <w:vAlign w:val="center"/>
            <w:hideMark/>
          </w:tcPr>
          <w:p w14:paraId="2A594B2B"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0,2</w:t>
            </w:r>
          </w:p>
        </w:tc>
        <w:tc>
          <w:tcPr>
            <w:tcW w:w="1217" w:type="dxa"/>
            <w:tcBorders>
              <w:top w:val="single" w:sz="4" w:space="0" w:color="auto"/>
              <w:left w:val="nil"/>
              <w:bottom w:val="single" w:sz="8" w:space="0" w:color="auto"/>
              <w:right w:val="nil"/>
            </w:tcBorders>
            <w:shd w:val="clear" w:color="auto" w:fill="auto"/>
            <w:vAlign w:val="center"/>
            <w:hideMark/>
          </w:tcPr>
          <w:p w14:paraId="3EA57D6C"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 </w:t>
            </w:r>
          </w:p>
        </w:tc>
        <w:tc>
          <w:tcPr>
            <w:tcW w:w="1217" w:type="dxa"/>
            <w:tcBorders>
              <w:top w:val="single" w:sz="4" w:space="0" w:color="auto"/>
              <w:left w:val="nil"/>
              <w:bottom w:val="single" w:sz="8" w:space="0" w:color="auto"/>
              <w:right w:val="nil"/>
            </w:tcBorders>
            <w:shd w:val="clear" w:color="auto" w:fill="auto"/>
            <w:vAlign w:val="center"/>
            <w:hideMark/>
          </w:tcPr>
          <w:p w14:paraId="6DC9790A"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0,31</w:t>
            </w:r>
          </w:p>
        </w:tc>
      </w:tr>
      <w:tr w:rsidR="00405E5B" w:rsidRPr="00405E5B" w14:paraId="6DD11C75" w14:textId="77777777" w:rsidTr="00405E5B">
        <w:trPr>
          <w:trHeight w:val="351"/>
          <w:jc w:val="center"/>
        </w:trPr>
        <w:tc>
          <w:tcPr>
            <w:tcW w:w="2835" w:type="dxa"/>
            <w:tcBorders>
              <w:top w:val="single" w:sz="4" w:space="0" w:color="auto"/>
              <w:left w:val="nil"/>
              <w:bottom w:val="single" w:sz="8" w:space="0" w:color="auto"/>
              <w:right w:val="nil"/>
            </w:tcBorders>
            <w:shd w:val="clear" w:color="auto" w:fill="auto"/>
            <w:vAlign w:val="center"/>
            <w:hideMark/>
          </w:tcPr>
          <w:p w14:paraId="4CF89CB3" w14:textId="77777777" w:rsidR="00405E5B" w:rsidRPr="00405E5B" w:rsidRDefault="00405E5B" w:rsidP="00405E5B">
            <w:pPr>
              <w:spacing w:after="0" w:line="240" w:lineRule="auto"/>
              <w:jc w:val="center"/>
              <w:rPr>
                <w:rFonts w:ascii="Times New Roman" w:eastAsia="Times New Roman" w:hAnsi="Times New Roman" w:cs="Times New Roman"/>
                <w:b/>
                <w:bCs/>
                <w:sz w:val="18"/>
                <w:szCs w:val="20"/>
                <w:lang w:val="es-CR" w:eastAsia="es-CR"/>
              </w:rPr>
            </w:pPr>
            <w:r w:rsidRPr="00405E5B">
              <w:rPr>
                <w:rFonts w:ascii="Times New Roman" w:eastAsia="Times New Roman" w:hAnsi="Times New Roman" w:cs="Times New Roman"/>
                <w:b/>
                <w:bCs/>
                <w:sz w:val="18"/>
                <w:szCs w:val="20"/>
                <w:lang w:val="es-CR" w:eastAsia="es-CR"/>
              </w:rPr>
              <w:t>Voluntario Dólares “B”</w:t>
            </w:r>
          </w:p>
        </w:tc>
        <w:tc>
          <w:tcPr>
            <w:tcW w:w="733" w:type="dxa"/>
            <w:tcBorders>
              <w:top w:val="single" w:sz="4" w:space="0" w:color="auto"/>
              <w:left w:val="nil"/>
              <w:bottom w:val="single" w:sz="8" w:space="0" w:color="auto"/>
              <w:right w:val="nil"/>
            </w:tcBorders>
            <w:shd w:val="clear" w:color="auto" w:fill="auto"/>
            <w:vAlign w:val="center"/>
            <w:hideMark/>
          </w:tcPr>
          <w:p w14:paraId="78A050B2"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0,29</w:t>
            </w:r>
          </w:p>
        </w:tc>
        <w:tc>
          <w:tcPr>
            <w:tcW w:w="1217" w:type="dxa"/>
            <w:tcBorders>
              <w:top w:val="single" w:sz="4" w:space="0" w:color="auto"/>
              <w:left w:val="nil"/>
              <w:bottom w:val="single" w:sz="8" w:space="0" w:color="auto"/>
              <w:right w:val="nil"/>
            </w:tcBorders>
            <w:shd w:val="clear" w:color="auto" w:fill="auto"/>
            <w:vAlign w:val="center"/>
            <w:hideMark/>
          </w:tcPr>
          <w:p w14:paraId="3944BC6B"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0,39</w:t>
            </w:r>
          </w:p>
        </w:tc>
        <w:tc>
          <w:tcPr>
            <w:tcW w:w="1217" w:type="dxa"/>
            <w:tcBorders>
              <w:top w:val="single" w:sz="4" w:space="0" w:color="auto"/>
              <w:left w:val="nil"/>
              <w:bottom w:val="single" w:sz="8" w:space="0" w:color="auto"/>
              <w:right w:val="nil"/>
            </w:tcBorders>
            <w:shd w:val="clear" w:color="auto" w:fill="auto"/>
            <w:vAlign w:val="center"/>
            <w:hideMark/>
          </w:tcPr>
          <w:p w14:paraId="1CFD232C"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 </w:t>
            </w:r>
          </w:p>
        </w:tc>
        <w:tc>
          <w:tcPr>
            <w:tcW w:w="1217" w:type="dxa"/>
            <w:tcBorders>
              <w:top w:val="single" w:sz="4" w:space="0" w:color="auto"/>
              <w:left w:val="nil"/>
              <w:bottom w:val="single" w:sz="8" w:space="0" w:color="auto"/>
              <w:right w:val="nil"/>
            </w:tcBorders>
            <w:shd w:val="clear" w:color="auto" w:fill="auto"/>
            <w:vAlign w:val="center"/>
            <w:hideMark/>
          </w:tcPr>
          <w:p w14:paraId="363B21B5"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0,19</w:t>
            </w:r>
          </w:p>
        </w:tc>
        <w:tc>
          <w:tcPr>
            <w:tcW w:w="1217" w:type="dxa"/>
            <w:tcBorders>
              <w:top w:val="single" w:sz="4" w:space="0" w:color="auto"/>
              <w:left w:val="nil"/>
              <w:bottom w:val="single" w:sz="8" w:space="0" w:color="auto"/>
              <w:right w:val="nil"/>
            </w:tcBorders>
            <w:shd w:val="clear" w:color="auto" w:fill="auto"/>
            <w:vAlign w:val="center"/>
            <w:hideMark/>
          </w:tcPr>
          <w:p w14:paraId="1588E49D"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 </w:t>
            </w:r>
          </w:p>
        </w:tc>
        <w:tc>
          <w:tcPr>
            <w:tcW w:w="1217" w:type="dxa"/>
            <w:tcBorders>
              <w:top w:val="single" w:sz="4" w:space="0" w:color="auto"/>
              <w:left w:val="nil"/>
              <w:bottom w:val="single" w:sz="8" w:space="0" w:color="auto"/>
              <w:right w:val="nil"/>
            </w:tcBorders>
            <w:shd w:val="clear" w:color="auto" w:fill="auto"/>
            <w:vAlign w:val="center"/>
            <w:hideMark/>
          </w:tcPr>
          <w:p w14:paraId="3FB715EE" w14:textId="77777777" w:rsidR="00405E5B" w:rsidRPr="00405E5B" w:rsidRDefault="00405E5B" w:rsidP="00405E5B">
            <w:pPr>
              <w:spacing w:after="0" w:line="240" w:lineRule="auto"/>
              <w:jc w:val="center"/>
              <w:rPr>
                <w:rFonts w:ascii="Times New Roman" w:eastAsia="Times New Roman" w:hAnsi="Times New Roman" w:cs="Times New Roman"/>
                <w:bCs/>
                <w:sz w:val="16"/>
                <w:szCs w:val="20"/>
                <w:lang w:val="es-CR" w:eastAsia="es-CR"/>
              </w:rPr>
            </w:pPr>
            <w:r w:rsidRPr="00405E5B">
              <w:rPr>
                <w:rFonts w:ascii="Times New Roman" w:eastAsia="Times New Roman" w:hAnsi="Times New Roman" w:cs="Times New Roman"/>
                <w:bCs/>
                <w:sz w:val="16"/>
                <w:szCs w:val="20"/>
                <w:lang w:val="es-CR" w:eastAsia="es-CR"/>
              </w:rPr>
              <w:t>0,33</w:t>
            </w:r>
          </w:p>
        </w:tc>
      </w:tr>
    </w:tbl>
    <w:p w14:paraId="6392FCE1" w14:textId="77777777" w:rsidR="00405E5B" w:rsidRPr="002B039B" w:rsidRDefault="00405E5B" w:rsidP="0040090D">
      <w:pPr>
        <w:spacing w:after="0"/>
        <w:jc w:val="center"/>
        <w:rPr>
          <w:rFonts w:ascii="Times New Roman" w:hAnsi="Times New Roman" w:cs="Times New Roman"/>
          <w:b/>
        </w:rPr>
      </w:pPr>
    </w:p>
    <w:p w14:paraId="1DC599F8" w14:textId="42177C74" w:rsidR="004478E3" w:rsidRPr="002B039B" w:rsidRDefault="004478E3" w:rsidP="0040090D">
      <w:pPr>
        <w:shd w:val="clear" w:color="auto" w:fill="FFFFFF" w:themeFill="background1"/>
        <w:spacing w:after="0" w:line="240" w:lineRule="auto"/>
        <w:jc w:val="both"/>
        <w:rPr>
          <w:rFonts w:ascii="Times New Roman" w:eastAsia="Times New Roman" w:hAnsi="Times New Roman" w:cs="Times New Roman"/>
          <w:sz w:val="24"/>
          <w:szCs w:val="24"/>
          <w:lang w:val="es-CR" w:eastAsia="es-CR"/>
        </w:rPr>
      </w:pPr>
    </w:p>
    <w:p w14:paraId="566A21A4" w14:textId="0D639974" w:rsidR="00AA3DF5" w:rsidRPr="000F3F65" w:rsidRDefault="000F3F65" w:rsidP="0040090D">
      <w:pPr>
        <w:pStyle w:val="Prrafodelista"/>
        <w:numPr>
          <w:ilvl w:val="0"/>
          <w:numId w:val="4"/>
        </w:numPr>
        <w:spacing w:after="0"/>
        <w:ind w:left="0"/>
        <w:jc w:val="both"/>
        <w:rPr>
          <w:rFonts w:ascii="Times New Roman" w:hAnsi="Times New Roman" w:cs="Times New Roman"/>
        </w:rPr>
      </w:pPr>
      <w:r w:rsidRPr="000F3F65">
        <w:rPr>
          <w:rFonts w:ascii="Times New Roman" w:hAnsi="Times New Roman" w:cs="Times New Roman"/>
        </w:rPr>
        <w:t>Las variacio</w:t>
      </w:r>
      <w:r w:rsidR="00997E39">
        <w:rPr>
          <w:rFonts w:ascii="Times New Roman" w:hAnsi="Times New Roman" w:cs="Times New Roman"/>
        </w:rPr>
        <w:t>nes en el tipo de cambio ha</w:t>
      </w:r>
      <w:r w:rsidR="00803C20">
        <w:rPr>
          <w:rFonts w:ascii="Times New Roman" w:hAnsi="Times New Roman" w:cs="Times New Roman"/>
        </w:rPr>
        <w:t>n</w:t>
      </w:r>
      <w:r w:rsidR="00997E39">
        <w:rPr>
          <w:rFonts w:ascii="Times New Roman" w:hAnsi="Times New Roman" w:cs="Times New Roman"/>
        </w:rPr>
        <w:t xml:space="preserve"> afectado </w:t>
      </w:r>
      <w:r w:rsidR="004478E3" w:rsidRPr="000F3F65">
        <w:rPr>
          <w:rFonts w:ascii="Times New Roman" w:hAnsi="Times New Roman" w:cs="Times New Roman"/>
        </w:rPr>
        <w:t>la rentabilidad de los fondos con inversiones en valores denominados en US dólares.</w:t>
      </w:r>
    </w:p>
    <w:p w14:paraId="780928D5" w14:textId="77777777" w:rsidR="001B6EEF" w:rsidRPr="002B039B" w:rsidRDefault="001B6EEF" w:rsidP="0040090D">
      <w:pPr>
        <w:pStyle w:val="Prrafodelista"/>
        <w:spacing w:after="0"/>
        <w:ind w:left="0"/>
        <w:jc w:val="both"/>
        <w:rPr>
          <w:rFonts w:ascii="Times New Roman" w:eastAsia="Times New Roman" w:hAnsi="Times New Roman" w:cs="Times New Roman"/>
          <w:szCs w:val="24"/>
          <w:lang w:val="es-CR" w:eastAsia="es-CR"/>
        </w:rPr>
      </w:pPr>
    </w:p>
    <w:p w14:paraId="40997595" w14:textId="0309E4B2" w:rsidR="00AA3DF5" w:rsidRPr="002B039B" w:rsidRDefault="00AA3DF5" w:rsidP="0040090D">
      <w:pPr>
        <w:pStyle w:val="Prrafodelista"/>
        <w:numPr>
          <w:ilvl w:val="0"/>
          <w:numId w:val="4"/>
        </w:numPr>
        <w:spacing w:after="0"/>
        <w:ind w:left="0"/>
        <w:jc w:val="both"/>
        <w:rPr>
          <w:rFonts w:ascii="Times New Roman" w:hAnsi="Times New Roman" w:cs="Times New Roman"/>
        </w:rPr>
      </w:pPr>
      <w:r w:rsidRPr="002B039B">
        <w:rPr>
          <w:rFonts w:ascii="Times New Roman" w:hAnsi="Times New Roman" w:cs="Times New Roman"/>
        </w:rPr>
        <w:t xml:space="preserve">En el caso del ROP, las series más representativas (tasa fija) como porcentaje del total de la cartera sufrieron disminuciones en el precio durante el último año. Adicionalmente los instrumentos denominados en unidades de desarrollo, “tpras” (comprados por los fondos de pensiones durante el 2017) sufrieron </w:t>
      </w:r>
      <w:r w:rsidR="00775F04" w:rsidRPr="002B039B">
        <w:rPr>
          <w:rFonts w:ascii="Times New Roman" w:hAnsi="Times New Roman" w:cs="Times New Roman"/>
        </w:rPr>
        <w:t>disminuciones en el precio</w:t>
      </w:r>
      <w:r w:rsidRPr="002B039B">
        <w:rPr>
          <w:rFonts w:ascii="Times New Roman" w:hAnsi="Times New Roman" w:cs="Times New Roman"/>
        </w:rPr>
        <w:t>.</w:t>
      </w:r>
    </w:p>
    <w:p w14:paraId="164C5773" w14:textId="3975490D" w:rsidR="00AA3DF5" w:rsidRPr="002B039B" w:rsidRDefault="00CF73B8" w:rsidP="00634479">
      <w:pPr>
        <w:spacing w:after="0"/>
        <w:jc w:val="center"/>
        <w:rPr>
          <w:rFonts w:ascii="Times New Roman" w:hAnsi="Times New Roman" w:cs="Times New Roman"/>
          <w:b/>
          <w:bCs/>
        </w:rPr>
      </w:pPr>
      <w:r w:rsidRPr="002B039B">
        <w:rPr>
          <w:rFonts w:ascii="Times New Roman" w:hAnsi="Times New Roman" w:cs="Times New Roman"/>
          <w:b/>
          <w:bCs/>
          <w:sz w:val="24"/>
        </w:rPr>
        <w:t xml:space="preserve">Gráfico </w:t>
      </w:r>
      <w:r w:rsidR="00AD4CF4">
        <w:rPr>
          <w:rFonts w:ascii="Times New Roman" w:hAnsi="Times New Roman" w:cs="Times New Roman"/>
          <w:b/>
          <w:bCs/>
          <w:sz w:val="24"/>
        </w:rPr>
        <w:t>5</w:t>
      </w:r>
    </w:p>
    <w:p w14:paraId="41EA772A" w14:textId="2E3C2B1E" w:rsidR="004478E3" w:rsidRPr="002B039B" w:rsidRDefault="00AA3DF5" w:rsidP="00467734">
      <w:pPr>
        <w:shd w:val="clear" w:color="auto" w:fill="FFFFFF" w:themeFill="background1"/>
        <w:spacing w:after="0" w:line="240" w:lineRule="auto"/>
        <w:jc w:val="center"/>
        <w:rPr>
          <w:rFonts w:ascii="Times New Roman" w:eastAsia="Times New Roman" w:hAnsi="Times New Roman" w:cs="Times New Roman"/>
          <w:sz w:val="24"/>
          <w:szCs w:val="24"/>
          <w:lang w:val="es-CR" w:eastAsia="es-CR"/>
        </w:rPr>
      </w:pPr>
      <w:r w:rsidRPr="002B039B">
        <w:rPr>
          <w:rFonts w:ascii="Times New Roman" w:hAnsi="Times New Roman" w:cs="Times New Roman"/>
          <w:noProof/>
        </w:rPr>
        <w:drawing>
          <wp:inline distT="0" distB="0" distL="0" distR="0" wp14:anchorId="554EFA6F" wp14:editId="11CFFAA5">
            <wp:extent cx="4069873" cy="2365330"/>
            <wp:effectExtent l="0" t="0" r="698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03466" cy="2384854"/>
                    </a:xfrm>
                    <a:prstGeom prst="rect">
                      <a:avLst/>
                    </a:prstGeom>
                  </pic:spPr>
                </pic:pic>
              </a:graphicData>
            </a:graphic>
          </wp:inline>
        </w:drawing>
      </w:r>
    </w:p>
    <w:p w14:paraId="5AEA6258" w14:textId="0819C2BF" w:rsidR="004478E3" w:rsidRDefault="004478E3" w:rsidP="0040090D">
      <w:pPr>
        <w:shd w:val="clear" w:color="auto" w:fill="FFFFFF" w:themeFill="background1"/>
        <w:spacing w:after="0" w:line="240" w:lineRule="auto"/>
        <w:jc w:val="both"/>
        <w:rPr>
          <w:rFonts w:ascii="Times New Roman" w:eastAsia="Times New Roman" w:hAnsi="Times New Roman" w:cs="Times New Roman"/>
          <w:sz w:val="24"/>
          <w:szCs w:val="24"/>
          <w:lang w:val="es-CR" w:eastAsia="es-CR"/>
        </w:rPr>
      </w:pPr>
    </w:p>
    <w:p w14:paraId="5F50BE8D" w14:textId="4E7BD0CA" w:rsidR="00997E39" w:rsidRDefault="00997E39" w:rsidP="0040090D">
      <w:pPr>
        <w:shd w:val="clear" w:color="auto" w:fill="FFFFFF" w:themeFill="background1"/>
        <w:spacing w:after="0" w:line="240" w:lineRule="auto"/>
        <w:jc w:val="both"/>
        <w:rPr>
          <w:rFonts w:ascii="Times New Roman" w:eastAsia="Times New Roman" w:hAnsi="Times New Roman" w:cs="Times New Roman"/>
          <w:sz w:val="24"/>
          <w:szCs w:val="24"/>
          <w:lang w:val="es-CR" w:eastAsia="es-CR"/>
        </w:rPr>
      </w:pPr>
    </w:p>
    <w:p w14:paraId="7F05A16E" w14:textId="77777777" w:rsidR="00997E39" w:rsidRPr="002B039B" w:rsidRDefault="00997E39" w:rsidP="0040090D">
      <w:pPr>
        <w:shd w:val="clear" w:color="auto" w:fill="FFFFFF" w:themeFill="background1"/>
        <w:spacing w:after="0" w:line="240" w:lineRule="auto"/>
        <w:jc w:val="both"/>
        <w:rPr>
          <w:rFonts w:ascii="Times New Roman" w:eastAsia="Times New Roman" w:hAnsi="Times New Roman" w:cs="Times New Roman"/>
          <w:sz w:val="24"/>
          <w:szCs w:val="24"/>
          <w:lang w:val="es-CR" w:eastAsia="es-CR"/>
        </w:rPr>
      </w:pPr>
    </w:p>
    <w:p w14:paraId="6CCBACDF" w14:textId="3A362969" w:rsidR="004478E3" w:rsidRPr="003B7B9E" w:rsidRDefault="00467734" w:rsidP="003B7B9E">
      <w:pPr>
        <w:pStyle w:val="Ttulo2"/>
      </w:pPr>
      <w:bookmarkStart w:id="29" w:name="_Toc505348337"/>
      <w:bookmarkStart w:id="30" w:name="_Toc506207747"/>
      <w:bookmarkStart w:id="31" w:name="_Toc506212328"/>
      <w:bookmarkStart w:id="32" w:name="_Toc509221827"/>
      <w:r w:rsidRPr="003B7B9E">
        <w:lastRenderedPageBreak/>
        <w:t>Plusvalías y minusvalías</w:t>
      </w:r>
      <w:bookmarkEnd w:id="29"/>
      <w:bookmarkEnd w:id="30"/>
      <w:bookmarkEnd w:id="31"/>
      <w:bookmarkEnd w:id="32"/>
      <w:r w:rsidRPr="003B7B9E">
        <w:t xml:space="preserve"> </w:t>
      </w:r>
    </w:p>
    <w:p w14:paraId="29A9D22B" w14:textId="0BD2F4D5" w:rsidR="00F17558" w:rsidRPr="002B039B" w:rsidRDefault="004478E3" w:rsidP="0040090D">
      <w:pPr>
        <w:pStyle w:val="Prrafodelista"/>
        <w:numPr>
          <w:ilvl w:val="0"/>
          <w:numId w:val="4"/>
        </w:numPr>
        <w:spacing w:after="0"/>
        <w:ind w:left="0"/>
        <w:jc w:val="both"/>
        <w:rPr>
          <w:rFonts w:ascii="Times New Roman" w:eastAsia="Times New Roman" w:hAnsi="Times New Roman" w:cs="Times New Roman"/>
          <w:szCs w:val="24"/>
          <w:lang w:val="es-CR" w:eastAsia="es-CR"/>
        </w:rPr>
      </w:pPr>
      <w:r w:rsidRPr="002B039B">
        <w:rPr>
          <w:rFonts w:ascii="Times New Roman" w:eastAsia="Times New Roman" w:hAnsi="Times New Roman" w:cs="Times New Roman"/>
          <w:szCs w:val="24"/>
          <w:lang w:val="es-CR" w:eastAsia="es-CR"/>
        </w:rPr>
        <w:t>Las plusvalías</w:t>
      </w:r>
      <w:r w:rsidR="00E5251B">
        <w:rPr>
          <w:rFonts w:ascii="Times New Roman" w:eastAsia="Times New Roman" w:hAnsi="Times New Roman" w:cs="Times New Roman"/>
          <w:szCs w:val="24"/>
          <w:lang w:val="es-CR" w:eastAsia="es-CR"/>
        </w:rPr>
        <w:t xml:space="preserve"> no realizadas en</w:t>
      </w:r>
      <w:r w:rsidRPr="002B039B">
        <w:rPr>
          <w:rFonts w:ascii="Times New Roman" w:eastAsia="Times New Roman" w:hAnsi="Times New Roman" w:cs="Times New Roman"/>
          <w:szCs w:val="24"/>
          <w:lang w:val="es-CR" w:eastAsia="es-CR"/>
        </w:rPr>
        <w:t xml:space="preserve"> las </w:t>
      </w:r>
      <w:r w:rsidRPr="002B039B">
        <w:rPr>
          <w:rFonts w:ascii="Times New Roman" w:hAnsi="Times New Roman" w:cs="Times New Roman"/>
        </w:rPr>
        <w:t>inversiones</w:t>
      </w:r>
      <w:r w:rsidRPr="002B039B">
        <w:rPr>
          <w:rFonts w:ascii="Times New Roman" w:eastAsia="Times New Roman" w:hAnsi="Times New Roman" w:cs="Times New Roman"/>
          <w:szCs w:val="24"/>
          <w:lang w:val="es-CR" w:eastAsia="es-CR"/>
        </w:rPr>
        <w:t xml:space="preserve"> locales disminuyeron a lo largo del 2017 hasta ce</w:t>
      </w:r>
      <w:r w:rsidR="00296500">
        <w:rPr>
          <w:rFonts w:ascii="Times New Roman" w:eastAsia="Times New Roman" w:hAnsi="Times New Roman" w:cs="Times New Roman"/>
          <w:szCs w:val="24"/>
          <w:lang w:val="es-CR" w:eastAsia="es-CR"/>
        </w:rPr>
        <w:t>rrar el año en minusvalías. Esta disminución en el precio de los instrumentos locales</w:t>
      </w:r>
      <w:r w:rsidRPr="002B039B">
        <w:rPr>
          <w:rFonts w:ascii="Times New Roman" w:eastAsia="Times New Roman" w:hAnsi="Times New Roman" w:cs="Times New Roman"/>
          <w:szCs w:val="24"/>
          <w:lang w:val="es-CR" w:eastAsia="es-CR"/>
        </w:rPr>
        <w:t xml:space="preserve"> representó </w:t>
      </w:r>
      <w:r w:rsidR="003B35C2">
        <w:rPr>
          <w:rFonts w:ascii="Times New Roman" w:eastAsia="Times New Roman" w:hAnsi="Times New Roman" w:cs="Times New Roman"/>
          <w:szCs w:val="24"/>
          <w:lang w:val="es-CR" w:eastAsia="es-CR"/>
        </w:rPr>
        <w:t>cerca de</w:t>
      </w:r>
      <w:r w:rsidRPr="002B039B">
        <w:rPr>
          <w:rFonts w:ascii="Times New Roman" w:eastAsia="Times New Roman" w:hAnsi="Times New Roman" w:cs="Times New Roman"/>
          <w:szCs w:val="24"/>
          <w:lang w:val="es-CR" w:eastAsia="es-CR"/>
        </w:rPr>
        <w:t xml:space="preserve"> ¢90.000 millones. Por el contrario, las minusvalías en valores extranjeros se convirtieron en plusvalías, con un aumento de ¢24.500 millones. </w:t>
      </w:r>
    </w:p>
    <w:p w14:paraId="35018DB9" w14:textId="77777777" w:rsidR="00F17558" w:rsidRPr="002B039B" w:rsidRDefault="00F17558" w:rsidP="0040090D">
      <w:pPr>
        <w:pStyle w:val="Prrafodelista"/>
        <w:spacing w:after="0"/>
        <w:ind w:left="0"/>
        <w:jc w:val="both"/>
        <w:rPr>
          <w:rFonts w:ascii="Times New Roman" w:eastAsia="Times New Roman" w:hAnsi="Times New Roman" w:cs="Times New Roman"/>
          <w:szCs w:val="24"/>
          <w:lang w:val="es-CR" w:eastAsia="es-CR"/>
        </w:rPr>
      </w:pPr>
    </w:p>
    <w:p w14:paraId="6214E7F0" w14:textId="11416C6F" w:rsidR="00CF73B8" w:rsidRPr="002B039B" w:rsidRDefault="00CF73B8" w:rsidP="0040090D">
      <w:pPr>
        <w:spacing w:after="0"/>
        <w:jc w:val="center"/>
        <w:rPr>
          <w:rFonts w:ascii="Times New Roman" w:hAnsi="Times New Roman" w:cs="Times New Roman"/>
          <w:b/>
          <w:bCs/>
        </w:rPr>
      </w:pPr>
      <w:r w:rsidRPr="002B039B">
        <w:rPr>
          <w:rFonts w:ascii="Times New Roman" w:hAnsi="Times New Roman" w:cs="Times New Roman"/>
          <w:b/>
          <w:bCs/>
        </w:rPr>
        <w:t xml:space="preserve">Cuadro </w:t>
      </w:r>
      <w:r w:rsidR="00FF5D52">
        <w:rPr>
          <w:rFonts w:ascii="Times New Roman" w:hAnsi="Times New Roman" w:cs="Times New Roman"/>
          <w:b/>
          <w:bCs/>
        </w:rPr>
        <w:t>6</w:t>
      </w:r>
      <w:r w:rsidRPr="002B039B">
        <w:rPr>
          <w:rFonts w:ascii="Times New Roman" w:hAnsi="Times New Roman" w:cs="Times New Roman"/>
          <w:b/>
          <w:bCs/>
        </w:rPr>
        <w:t>:</w:t>
      </w:r>
    </w:p>
    <w:p w14:paraId="5AF93B46" w14:textId="3756B888" w:rsidR="00CF73B8" w:rsidRPr="002B039B" w:rsidRDefault="00CC227E" w:rsidP="0040090D">
      <w:pPr>
        <w:spacing w:after="0"/>
        <w:jc w:val="center"/>
        <w:rPr>
          <w:rFonts w:ascii="Times New Roman" w:hAnsi="Times New Roman" w:cs="Times New Roman"/>
          <w:b/>
          <w:bCs/>
        </w:rPr>
      </w:pPr>
      <w:r>
        <w:rPr>
          <w:rFonts w:ascii="Times New Roman" w:hAnsi="Times New Roman" w:cs="Times New Roman"/>
          <w:b/>
          <w:bCs/>
        </w:rPr>
        <w:t xml:space="preserve">ROP: </w:t>
      </w:r>
      <w:r w:rsidR="00CF73B8" w:rsidRPr="002B039B">
        <w:rPr>
          <w:rFonts w:ascii="Times New Roman" w:hAnsi="Times New Roman" w:cs="Times New Roman"/>
          <w:b/>
          <w:bCs/>
        </w:rPr>
        <w:t>Plusvalías y Minusvalías</w:t>
      </w:r>
    </w:p>
    <w:p w14:paraId="6CCFEFF1" w14:textId="59EBCECD" w:rsidR="00405E5B" w:rsidRDefault="004478E3" w:rsidP="00634479">
      <w:pPr>
        <w:spacing w:after="0"/>
        <w:jc w:val="center"/>
        <w:rPr>
          <w:rFonts w:ascii="Times New Roman" w:hAnsi="Times New Roman" w:cs="Times New Roman"/>
          <w:b/>
          <w:bCs/>
        </w:rPr>
      </w:pPr>
      <w:r w:rsidRPr="002B039B">
        <w:rPr>
          <w:rFonts w:ascii="Times New Roman" w:hAnsi="Times New Roman" w:cs="Times New Roman"/>
          <w:b/>
          <w:bCs/>
        </w:rPr>
        <w:t>(millones de colones)</w:t>
      </w:r>
    </w:p>
    <w:tbl>
      <w:tblPr>
        <w:tblW w:w="7229" w:type="dxa"/>
        <w:jc w:val="center"/>
        <w:tblCellMar>
          <w:left w:w="70" w:type="dxa"/>
          <w:right w:w="70" w:type="dxa"/>
        </w:tblCellMar>
        <w:tblLook w:val="04A0" w:firstRow="1" w:lastRow="0" w:firstColumn="1" w:lastColumn="0" w:noHBand="0" w:noVBand="1"/>
      </w:tblPr>
      <w:tblGrid>
        <w:gridCol w:w="1229"/>
        <w:gridCol w:w="1200"/>
        <w:gridCol w:w="1200"/>
        <w:gridCol w:w="1200"/>
        <w:gridCol w:w="1200"/>
        <w:gridCol w:w="1200"/>
      </w:tblGrid>
      <w:tr w:rsidR="00405E5B" w:rsidRPr="00634479" w14:paraId="3C2E13C6"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3ADFE387" w14:textId="77777777" w:rsidR="00405E5B" w:rsidRPr="00634479" w:rsidRDefault="00405E5B" w:rsidP="004D4753">
            <w:pPr>
              <w:spacing w:after="0" w:line="240" w:lineRule="auto"/>
              <w:jc w:val="center"/>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Fecha</w:t>
            </w:r>
          </w:p>
        </w:tc>
        <w:tc>
          <w:tcPr>
            <w:tcW w:w="1200" w:type="dxa"/>
            <w:tcBorders>
              <w:top w:val="single" w:sz="4" w:space="0" w:color="auto"/>
              <w:left w:val="nil"/>
              <w:bottom w:val="single" w:sz="4" w:space="0" w:color="auto"/>
              <w:right w:val="nil"/>
            </w:tcBorders>
            <w:shd w:val="clear" w:color="auto" w:fill="auto"/>
            <w:vAlign w:val="center"/>
            <w:hideMark/>
          </w:tcPr>
          <w:p w14:paraId="3A28776D" w14:textId="77777777" w:rsidR="00405E5B" w:rsidRPr="00634479" w:rsidRDefault="00405E5B" w:rsidP="004D4753">
            <w:pPr>
              <w:spacing w:after="0" w:line="240" w:lineRule="auto"/>
              <w:jc w:val="center"/>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Disponibilidades</w:t>
            </w:r>
          </w:p>
        </w:tc>
        <w:tc>
          <w:tcPr>
            <w:tcW w:w="1200" w:type="dxa"/>
            <w:tcBorders>
              <w:top w:val="single" w:sz="4" w:space="0" w:color="auto"/>
              <w:left w:val="nil"/>
              <w:bottom w:val="single" w:sz="4" w:space="0" w:color="auto"/>
              <w:right w:val="nil"/>
            </w:tcBorders>
            <w:shd w:val="clear" w:color="auto" w:fill="auto"/>
            <w:vAlign w:val="center"/>
            <w:hideMark/>
          </w:tcPr>
          <w:p w14:paraId="3D7A7214" w14:textId="77777777" w:rsidR="00405E5B" w:rsidRPr="00634479" w:rsidRDefault="00405E5B" w:rsidP="004D4753">
            <w:pPr>
              <w:spacing w:after="0" w:line="240" w:lineRule="auto"/>
              <w:jc w:val="center"/>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Inversiones</w:t>
            </w:r>
          </w:p>
        </w:tc>
        <w:tc>
          <w:tcPr>
            <w:tcW w:w="1200" w:type="dxa"/>
            <w:tcBorders>
              <w:top w:val="single" w:sz="4" w:space="0" w:color="auto"/>
              <w:left w:val="nil"/>
              <w:bottom w:val="single" w:sz="4" w:space="0" w:color="auto"/>
              <w:right w:val="nil"/>
            </w:tcBorders>
            <w:shd w:val="clear" w:color="auto" w:fill="auto"/>
            <w:vAlign w:val="center"/>
            <w:hideMark/>
          </w:tcPr>
          <w:p w14:paraId="1D774F2C" w14:textId="77777777" w:rsidR="00405E5B" w:rsidRPr="00634479" w:rsidRDefault="00405E5B" w:rsidP="004D4753">
            <w:pPr>
              <w:spacing w:after="0" w:line="240" w:lineRule="auto"/>
              <w:jc w:val="center"/>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Plusvalías valores Nacionales</w:t>
            </w:r>
          </w:p>
        </w:tc>
        <w:tc>
          <w:tcPr>
            <w:tcW w:w="1200" w:type="dxa"/>
            <w:tcBorders>
              <w:top w:val="single" w:sz="4" w:space="0" w:color="auto"/>
              <w:left w:val="nil"/>
              <w:bottom w:val="single" w:sz="4" w:space="0" w:color="auto"/>
              <w:right w:val="nil"/>
            </w:tcBorders>
            <w:shd w:val="clear" w:color="auto" w:fill="auto"/>
            <w:vAlign w:val="center"/>
            <w:hideMark/>
          </w:tcPr>
          <w:p w14:paraId="0524FFAA" w14:textId="77777777" w:rsidR="00405E5B" w:rsidRPr="00634479" w:rsidRDefault="00405E5B" w:rsidP="004D4753">
            <w:pPr>
              <w:spacing w:after="0" w:line="240" w:lineRule="auto"/>
              <w:jc w:val="center"/>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Plusvalías valores Extranjeros</w:t>
            </w:r>
          </w:p>
        </w:tc>
        <w:tc>
          <w:tcPr>
            <w:tcW w:w="1200" w:type="dxa"/>
            <w:tcBorders>
              <w:top w:val="single" w:sz="4" w:space="0" w:color="auto"/>
              <w:left w:val="nil"/>
              <w:bottom w:val="single" w:sz="4" w:space="0" w:color="auto"/>
              <w:right w:val="nil"/>
            </w:tcBorders>
            <w:shd w:val="clear" w:color="auto" w:fill="auto"/>
            <w:vAlign w:val="center"/>
            <w:hideMark/>
          </w:tcPr>
          <w:p w14:paraId="7770C477" w14:textId="591B2AA5" w:rsidR="00405E5B" w:rsidRPr="00634479" w:rsidRDefault="00634479" w:rsidP="004D4753">
            <w:pPr>
              <w:spacing w:after="0" w:line="240" w:lineRule="auto"/>
              <w:jc w:val="center"/>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 xml:space="preserve">Total  </w:t>
            </w:r>
            <w:r w:rsidR="00405E5B" w:rsidRPr="00634479">
              <w:rPr>
                <w:rFonts w:ascii="Times New Roman" w:eastAsia="Times New Roman" w:hAnsi="Times New Roman" w:cs="Times New Roman"/>
                <w:b/>
                <w:bCs/>
                <w:sz w:val="20"/>
                <w:lang w:val="es-CR" w:eastAsia="es-CR"/>
              </w:rPr>
              <w:t>Plusvalías</w:t>
            </w:r>
          </w:p>
        </w:tc>
      </w:tr>
      <w:tr w:rsidR="00405E5B" w:rsidRPr="00634479" w14:paraId="6EA82C0D"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4EB96739" w14:textId="163D1487" w:rsidR="00405E5B" w:rsidRPr="00634479" w:rsidRDefault="00405E5B" w:rsidP="00230BDE">
            <w:pPr>
              <w:spacing w:after="0" w:line="240" w:lineRule="auto"/>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 xml:space="preserve"> Dic 2016</w:t>
            </w:r>
          </w:p>
        </w:tc>
        <w:tc>
          <w:tcPr>
            <w:tcW w:w="1200" w:type="dxa"/>
            <w:tcBorders>
              <w:top w:val="single" w:sz="4" w:space="0" w:color="auto"/>
              <w:left w:val="nil"/>
              <w:bottom w:val="single" w:sz="4" w:space="0" w:color="auto"/>
              <w:right w:val="nil"/>
            </w:tcBorders>
            <w:shd w:val="clear" w:color="auto" w:fill="auto"/>
            <w:vAlign w:val="center"/>
            <w:hideMark/>
          </w:tcPr>
          <w:p w14:paraId="39B9DCCF"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118 195</w:t>
            </w:r>
          </w:p>
        </w:tc>
        <w:tc>
          <w:tcPr>
            <w:tcW w:w="1200" w:type="dxa"/>
            <w:tcBorders>
              <w:top w:val="single" w:sz="4" w:space="0" w:color="auto"/>
              <w:left w:val="nil"/>
              <w:bottom w:val="single" w:sz="4" w:space="0" w:color="auto"/>
              <w:right w:val="nil"/>
            </w:tcBorders>
            <w:shd w:val="clear" w:color="auto" w:fill="auto"/>
            <w:vAlign w:val="center"/>
            <w:hideMark/>
          </w:tcPr>
          <w:p w14:paraId="2A58C8A4"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4 266 927</w:t>
            </w:r>
          </w:p>
        </w:tc>
        <w:tc>
          <w:tcPr>
            <w:tcW w:w="1200" w:type="dxa"/>
            <w:tcBorders>
              <w:top w:val="single" w:sz="4" w:space="0" w:color="auto"/>
              <w:left w:val="nil"/>
              <w:bottom w:val="single" w:sz="4" w:space="0" w:color="auto"/>
              <w:right w:val="nil"/>
            </w:tcBorders>
            <w:shd w:val="clear" w:color="auto" w:fill="auto"/>
            <w:vAlign w:val="center"/>
            <w:hideMark/>
          </w:tcPr>
          <w:p w14:paraId="2B161472"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86 548</w:t>
            </w:r>
          </w:p>
        </w:tc>
        <w:tc>
          <w:tcPr>
            <w:tcW w:w="1200" w:type="dxa"/>
            <w:tcBorders>
              <w:top w:val="single" w:sz="4" w:space="0" w:color="auto"/>
              <w:left w:val="nil"/>
              <w:bottom w:val="single" w:sz="4" w:space="0" w:color="auto"/>
              <w:right w:val="nil"/>
            </w:tcBorders>
            <w:shd w:val="clear" w:color="auto" w:fill="auto"/>
            <w:vAlign w:val="center"/>
            <w:hideMark/>
          </w:tcPr>
          <w:p w14:paraId="091B1D3A"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-5 805</w:t>
            </w:r>
          </w:p>
        </w:tc>
        <w:tc>
          <w:tcPr>
            <w:tcW w:w="1200" w:type="dxa"/>
            <w:tcBorders>
              <w:top w:val="single" w:sz="4" w:space="0" w:color="auto"/>
              <w:left w:val="nil"/>
              <w:bottom w:val="single" w:sz="4" w:space="0" w:color="auto"/>
              <w:right w:val="nil"/>
            </w:tcBorders>
            <w:shd w:val="clear" w:color="auto" w:fill="auto"/>
            <w:vAlign w:val="center"/>
            <w:hideMark/>
          </w:tcPr>
          <w:p w14:paraId="703CFC4E"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80 743</w:t>
            </w:r>
          </w:p>
        </w:tc>
      </w:tr>
      <w:tr w:rsidR="00405E5B" w:rsidRPr="00634479" w14:paraId="796E22B3"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44AEE855" w14:textId="735B48F0" w:rsidR="00405E5B" w:rsidRPr="00634479" w:rsidRDefault="00405E5B" w:rsidP="00230BDE">
            <w:pPr>
              <w:spacing w:after="0" w:line="240" w:lineRule="auto"/>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Ene 2017</w:t>
            </w:r>
          </w:p>
        </w:tc>
        <w:tc>
          <w:tcPr>
            <w:tcW w:w="1200" w:type="dxa"/>
            <w:tcBorders>
              <w:top w:val="single" w:sz="4" w:space="0" w:color="auto"/>
              <w:left w:val="nil"/>
              <w:bottom w:val="single" w:sz="4" w:space="0" w:color="auto"/>
              <w:right w:val="nil"/>
            </w:tcBorders>
            <w:shd w:val="clear" w:color="auto" w:fill="auto"/>
            <w:vAlign w:val="center"/>
            <w:hideMark/>
          </w:tcPr>
          <w:p w14:paraId="0513D73B"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85 258</w:t>
            </w:r>
          </w:p>
        </w:tc>
        <w:tc>
          <w:tcPr>
            <w:tcW w:w="1200" w:type="dxa"/>
            <w:tcBorders>
              <w:top w:val="single" w:sz="4" w:space="0" w:color="auto"/>
              <w:left w:val="nil"/>
              <w:bottom w:val="single" w:sz="4" w:space="0" w:color="auto"/>
              <w:right w:val="nil"/>
            </w:tcBorders>
            <w:shd w:val="clear" w:color="auto" w:fill="auto"/>
            <w:vAlign w:val="center"/>
            <w:hideMark/>
          </w:tcPr>
          <w:p w14:paraId="65349772"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4 318 710</w:t>
            </w:r>
          </w:p>
        </w:tc>
        <w:tc>
          <w:tcPr>
            <w:tcW w:w="1200" w:type="dxa"/>
            <w:tcBorders>
              <w:top w:val="single" w:sz="4" w:space="0" w:color="auto"/>
              <w:left w:val="nil"/>
              <w:bottom w:val="single" w:sz="4" w:space="0" w:color="auto"/>
              <w:right w:val="nil"/>
            </w:tcBorders>
            <w:shd w:val="clear" w:color="auto" w:fill="auto"/>
            <w:vAlign w:val="center"/>
            <w:hideMark/>
          </w:tcPr>
          <w:p w14:paraId="2DA2E647"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81 367</w:t>
            </w:r>
          </w:p>
        </w:tc>
        <w:tc>
          <w:tcPr>
            <w:tcW w:w="1200" w:type="dxa"/>
            <w:tcBorders>
              <w:top w:val="single" w:sz="4" w:space="0" w:color="auto"/>
              <w:left w:val="nil"/>
              <w:bottom w:val="single" w:sz="4" w:space="0" w:color="auto"/>
              <w:right w:val="nil"/>
            </w:tcBorders>
            <w:shd w:val="clear" w:color="auto" w:fill="auto"/>
            <w:vAlign w:val="center"/>
            <w:hideMark/>
          </w:tcPr>
          <w:p w14:paraId="5D6900EA"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-6 133</w:t>
            </w:r>
          </w:p>
        </w:tc>
        <w:tc>
          <w:tcPr>
            <w:tcW w:w="1200" w:type="dxa"/>
            <w:tcBorders>
              <w:top w:val="single" w:sz="4" w:space="0" w:color="auto"/>
              <w:left w:val="nil"/>
              <w:bottom w:val="single" w:sz="4" w:space="0" w:color="auto"/>
              <w:right w:val="nil"/>
            </w:tcBorders>
            <w:shd w:val="clear" w:color="auto" w:fill="auto"/>
            <w:vAlign w:val="center"/>
            <w:hideMark/>
          </w:tcPr>
          <w:p w14:paraId="20550A05"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75 234</w:t>
            </w:r>
          </w:p>
        </w:tc>
      </w:tr>
      <w:tr w:rsidR="00405E5B" w:rsidRPr="00634479" w14:paraId="356BFD71"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113638C6" w14:textId="3C551BFA" w:rsidR="00405E5B" w:rsidRPr="00634479" w:rsidRDefault="00405E5B" w:rsidP="00230BDE">
            <w:pPr>
              <w:spacing w:after="0" w:line="240" w:lineRule="auto"/>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Feb 2017</w:t>
            </w:r>
          </w:p>
        </w:tc>
        <w:tc>
          <w:tcPr>
            <w:tcW w:w="1200" w:type="dxa"/>
            <w:tcBorders>
              <w:top w:val="single" w:sz="4" w:space="0" w:color="auto"/>
              <w:left w:val="nil"/>
              <w:bottom w:val="single" w:sz="4" w:space="0" w:color="auto"/>
              <w:right w:val="nil"/>
            </w:tcBorders>
            <w:shd w:val="clear" w:color="auto" w:fill="auto"/>
            <w:vAlign w:val="center"/>
            <w:hideMark/>
          </w:tcPr>
          <w:p w14:paraId="682CAE43"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125 233</w:t>
            </w:r>
          </w:p>
        </w:tc>
        <w:tc>
          <w:tcPr>
            <w:tcW w:w="1200" w:type="dxa"/>
            <w:tcBorders>
              <w:top w:val="single" w:sz="4" w:space="0" w:color="auto"/>
              <w:left w:val="nil"/>
              <w:bottom w:val="single" w:sz="4" w:space="0" w:color="auto"/>
              <w:right w:val="nil"/>
            </w:tcBorders>
            <w:shd w:val="clear" w:color="auto" w:fill="auto"/>
            <w:vAlign w:val="center"/>
            <w:hideMark/>
          </w:tcPr>
          <w:p w14:paraId="1526323C"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4 429 849</w:t>
            </w:r>
          </w:p>
        </w:tc>
        <w:tc>
          <w:tcPr>
            <w:tcW w:w="1200" w:type="dxa"/>
            <w:tcBorders>
              <w:top w:val="single" w:sz="4" w:space="0" w:color="auto"/>
              <w:left w:val="nil"/>
              <w:bottom w:val="single" w:sz="4" w:space="0" w:color="auto"/>
              <w:right w:val="nil"/>
            </w:tcBorders>
            <w:shd w:val="clear" w:color="auto" w:fill="auto"/>
            <w:vAlign w:val="center"/>
            <w:hideMark/>
          </w:tcPr>
          <w:p w14:paraId="7561DEDE"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76 330</w:t>
            </w:r>
          </w:p>
        </w:tc>
        <w:tc>
          <w:tcPr>
            <w:tcW w:w="1200" w:type="dxa"/>
            <w:tcBorders>
              <w:top w:val="single" w:sz="4" w:space="0" w:color="auto"/>
              <w:left w:val="nil"/>
              <w:bottom w:val="single" w:sz="4" w:space="0" w:color="auto"/>
              <w:right w:val="nil"/>
            </w:tcBorders>
            <w:shd w:val="clear" w:color="auto" w:fill="auto"/>
            <w:vAlign w:val="center"/>
            <w:hideMark/>
          </w:tcPr>
          <w:p w14:paraId="46AFD7E5"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-3 082</w:t>
            </w:r>
          </w:p>
        </w:tc>
        <w:tc>
          <w:tcPr>
            <w:tcW w:w="1200" w:type="dxa"/>
            <w:tcBorders>
              <w:top w:val="single" w:sz="4" w:space="0" w:color="auto"/>
              <w:left w:val="nil"/>
              <w:bottom w:val="single" w:sz="4" w:space="0" w:color="auto"/>
              <w:right w:val="nil"/>
            </w:tcBorders>
            <w:shd w:val="clear" w:color="auto" w:fill="auto"/>
            <w:vAlign w:val="center"/>
            <w:hideMark/>
          </w:tcPr>
          <w:p w14:paraId="62FA3FBC"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73 248</w:t>
            </w:r>
          </w:p>
        </w:tc>
      </w:tr>
      <w:tr w:rsidR="00405E5B" w:rsidRPr="00634479" w14:paraId="0760FC39"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0AE6B258" w14:textId="46683212" w:rsidR="00405E5B" w:rsidRPr="00634479" w:rsidRDefault="00405E5B" w:rsidP="00230BDE">
            <w:pPr>
              <w:spacing w:after="0" w:line="240" w:lineRule="auto"/>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Mar 2017</w:t>
            </w:r>
          </w:p>
        </w:tc>
        <w:tc>
          <w:tcPr>
            <w:tcW w:w="1200" w:type="dxa"/>
            <w:tcBorders>
              <w:top w:val="single" w:sz="4" w:space="0" w:color="auto"/>
              <w:left w:val="nil"/>
              <w:bottom w:val="single" w:sz="4" w:space="0" w:color="auto"/>
              <w:right w:val="nil"/>
            </w:tcBorders>
            <w:shd w:val="clear" w:color="auto" w:fill="auto"/>
            <w:vAlign w:val="center"/>
            <w:hideMark/>
          </w:tcPr>
          <w:p w14:paraId="4F5488B9"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117 478</w:t>
            </w:r>
          </w:p>
        </w:tc>
        <w:tc>
          <w:tcPr>
            <w:tcW w:w="1200" w:type="dxa"/>
            <w:tcBorders>
              <w:top w:val="single" w:sz="4" w:space="0" w:color="auto"/>
              <w:left w:val="nil"/>
              <w:bottom w:val="single" w:sz="4" w:space="0" w:color="auto"/>
              <w:right w:val="nil"/>
            </w:tcBorders>
            <w:shd w:val="clear" w:color="auto" w:fill="auto"/>
            <w:vAlign w:val="center"/>
            <w:hideMark/>
          </w:tcPr>
          <w:p w14:paraId="790E083B"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4 496 773</w:t>
            </w:r>
          </w:p>
        </w:tc>
        <w:tc>
          <w:tcPr>
            <w:tcW w:w="1200" w:type="dxa"/>
            <w:tcBorders>
              <w:top w:val="single" w:sz="4" w:space="0" w:color="auto"/>
              <w:left w:val="nil"/>
              <w:bottom w:val="single" w:sz="4" w:space="0" w:color="auto"/>
              <w:right w:val="nil"/>
            </w:tcBorders>
            <w:shd w:val="clear" w:color="auto" w:fill="auto"/>
            <w:vAlign w:val="center"/>
            <w:hideMark/>
          </w:tcPr>
          <w:p w14:paraId="2A5EB646"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74 426</w:t>
            </w:r>
          </w:p>
        </w:tc>
        <w:tc>
          <w:tcPr>
            <w:tcW w:w="1200" w:type="dxa"/>
            <w:tcBorders>
              <w:top w:val="single" w:sz="4" w:space="0" w:color="auto"/>
              <w:left w:val="nil"/>
              <w:bottom w:val="single" w:sz="4" w:space="0" w:color="auto"/>
              <w:right w:val="nil"/>
            </w:tcBorders>
            <w:shd w:val="clear" w:color="auto" w:fill="auto"/>
            <w:vAlign w:val="center"/>
            <w:hideMark/>
          </w:tcPr>
          <w:p w14:paraId="0E835235"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-1 047</w:t>
            </w:r>
          </w:p>
        </w:tc>
        <w:tc>
          <w:tcPr>
            <w:tcW w:w="1200" w:type="dxa"/>
            <w:tcBorders>
              <w:top w:val="single" w:sz="4" w:space="0" w:color="auto"/>
              <w:left w:val="nil"/>
              <w:bottom w:val="single" w:sz="4" w:space="0" w:color="auto"/>
              <w:right w:val="nil"/>
            </w:tcBorders>
            <w:shd w:val="clear" w:color="auto" w:fill="auto"/>
            <w:vAlign w:val="center"/>
            <w:hideMark/>
          </w:tcPr>
          <w:p w14:paraId="5EF56643"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73 380</w:t>
            </w:r>
          </w:p>
        </w:tc>
      </w:tr>
      <w:tr w:rsidR="00405E5B" w:rsidRPr="00634479" w14:paraId="5D45BD4F"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2EB8CF0E" w14:textId="35412DB1" w:rsidR="00405E5B" w:rsidRPr="00634479" w:rsidRDefault="00405E5B" w:rsidP="00230BDE">
            <w:pPr>
              <w:spacing w:after="0" w:line="240" w:lineRule="auto"/>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Abr 2017</w:t>
            </w:r>
          </w:p>
        </w:tc>
        <w:tc>
          <w:tcPr>
            <w:tcW w:w="1200" w:type="dxa"/>
            <w:tcBorders>
              <w:top w:val="single" w:sz="4" w:space="0" w:color="auto"/>
              <w:left w:val="nil"/>
              <w:bottom w:val="single" w:sz="4" w:space="0" w:color="auto"/>
              <w:right w:val="nil"/>
            </w:tcBorders>
            <w:shd w:val="clear" w:color="auto" w:fill="auto"/>
            <w:vAlign w:val="center"/>
            <w:hideMark/>
          </w:tcPr>
          <w:p w14:paraId="02EC1658"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103 098</w:t>
            </w:r>
          </w:p>
        </w:tc>
        <w:tc>
          <w:tcPr>
            <w:tcW w:w="1200" w:type="dxa"/>
            <w:tcBorders>
              <w:top w:val="single" w:sz="4" w:space="0" w:color="auto"/>
              <w:left w:val="nil"/>
              <w:bottom w:val="single" w:sz="4" w:space="0" w:color="auto"/>
              <w:right w:val="nil"/>
            </w:tcBorders>
            <w:shd w:val="clear" w:color="auto" w:fill="auto"/>
            <w:vAlign w:val="center"/>
            <w:hideMark/>
          </w:tcPr>
          <w:p w14:paraId="3621E1AC"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4 545 138</w:t>
            </w:r>
          </w:p>
        </w:tc>
        <w:tc>
          <w:tcPr>
            <w:tcW w:w="1200" w:type="dxa"/>
            <w:tcBorders>
              <w:top w:val="single" w:sz="4" w:space="0" w:color="auto"/>
              <w:left w:val="nil"/>
              <w:bottom w:val="single" w:sz="4" w:space="0" w:color="auto"/>
              <w:right w:val="nil"/>
            </w:tcBorders>
            <w:shd w:val="clear" w:color="auto" w:fill="auto"/>
            <w:vAlign w:val="center"/>
            <w:hideMark/>
          </w:tcPr>
          <w:p w14:paraId="4CDB43B3"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72 559</w:t>
            </w:r>
          </w:p>
        </w:tc>
        <w:tc>
          <w:tcPr>
            <w:tcW w:w="1200" w:type="dxa"/>
            <w:tcBorders>
              <w:top w:val="single" w:sz="4" w:space="0" w:color="auto"/>
              <w:left w:val="nil"/>
              <w:bottom w:val="single" w:sz="4" w:space="0" w:color="auto"/>
              <w:right w:val="nil"/>
            </w:tcBorders>
            <w:shd w:val="clear" w:color="auto" w:fill="auto"/>
            <w:vAlign w:val="center"/>
            <w:hideMark/>
          </w:tcPr>
          <w:p w14:paraId="12C10E0F"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3 104</w:t>
            </w:r>
          </w:p>
        </w:tc>
        <w:tc>
          <w:tcPr>
            <w:tcW w:w="1200" w:type="dxa"/>
            <w:tcBorders>
              <w:top w:val="single" w:sz="4" w:space="0" w:color="auto"/>
              <w:left w:val="nil"/>
              <w:bottom w:val="single" w:sz="4" w:space="0" w:color="auto"/>
              <w:right w:val="nil"/>
            </w:tcBorders>
            <w:shd w:val="clear" w:color="auto" w:fill="auto"/>
            <w:vAlign w:val="center"/>
            <w:hideMark/>
          </w:tcPr>
          <w:p w14:paraId="13451BBC"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75 664</w:t>
            </w:r>
          </w:p>
        </w:tc>
      </w:tr>
      <w:tr w:rsidR="00405E5B" w:rsidRPr="00634479" w14:paraId="6ABE129E"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577C5A83" w14:textId="77C05621" w:rsidR="00405E5B" w:rsidRPr="00634479" w:rsidRDefault="00405E5B" w:rsidP="00230BDE">
            <w:pPr>
              <w:spacing w:after="0" w:line="240" w:lineRule="auto"/>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May 2017</w:t>
            </w:r>
          </w:p>
        </w:tc>
        <w:tc>
          <w:tcPr>
            <w:tcW w:w="1200" w:type="dxa"/>
            <w:tcBorders>
              <w:top w:val="single" w:sz="4" w:space="0" w:color="auto"/>
              <w:left w:val="nil"/>
              <w:bottom w:val="single" w:sz="4" w:space="0" w:color="auto"/>
              <w:right w:val="nil"/>
            </w:tcBorders>
            <w:shd w:val="clear" w:color="auto" w:fill="auto"/>
            <w:vAlign w:val="center"/>
            <w:hideMark/>
          </w:tcPr>
          <w:p w14:paraId="58A9331F"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55 915</w:t>
            </w:r>
          </w:p>
        </w:tc>
        <w:tc>
          <w:tcPr>
            <w:tcW w:w="1200" w:type="dxa"/>
            <w:tcBorders>
              <w:top w:val="single" w:sz="4" w:space="0" w:color="auto"/>
              <w:left w:val="nil"/>
              <w:bottom w:val="single" w:sz="4" w:space="0" w:color="auto"/>
              <w:right w:val="nil"/>
            </w:tcBorders>
            <w:shd w:val="clear" w:color="auto" w:fill="auto"/>
            <w:vAlign w:val="center"/>
            <w:hideMark/>
          </w:tcPr>
          <w:p w14:paraId="6E1B1CCD"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4 622 364</w:t>
            </w:r>
          </w:p>
        </w:tc>
        <w:tc>
          <w:tcPr>
            <w:tcW w:w="1200" w:type="dxa"/>
            <w:tcBorders>
              <w:top w:val="single" w:sz="4" w:space="0" w:color="auto"/>
              <w:left w:val="nil"/>
              <w:bottom w:val="single" w:sz="4" w:space="0" w:color="auto"/>
              <w:right w:val="nil"/>
            </w:tcBorders>
            <w:shd w:val="clear" w:color="auto" w:fill="auto"/>
            <w:vAlign w:val="center"/>
            <w:hideMark/>
          </w:tcPr>
          <w:p w14:paraId="212CDDEF"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68 248</w:t>
            </w:r>
          </w:p>
        </w:tc>
        <w:tc>
          <w:tcPr>
            <w:tcW w:w="1200" w:type="dxa"/>
            <w:tcBorders>
              <w:top w:val="single" w:sz="4" w:space="0" w:color="auto"/>
              <w:left w:val="nil"/>
              <w:bottom w:val="single" w:sz="4" w:space="0" w:color="auto"/>
              <w:right w:val="nil"/>
            </w:tcBorders>
            <w:shd w:val="clear" w:color="auto" w:fill="auto"/>
            <w:vAlign w:val="center"/>
            <w:hideMark/>
          </w:tcPr>
          <w:p w14:paraId="514ADE3C"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4 559</w:t>
            </w:r>
          </w:p>
        </w:tc>
        <w:tc>
          <w:tcPr>
            <w:tcW w:w="1200" w:type="dxa"/>
            <w:tcBorders>
              <w:top w:val="single" w:sz="4" w:space="0" w:color="auto"/>
              <w:left w:val="nil"/>
              <w:bottom w:val="single" w:sz="4" w:space="0" w:color="auto"/>
              <w:right w:val="nil"/>
            </w:tcBorders>
            <w:shd w:val="clear" w:color="auto" w:fill="auto"/>
            <w:vAlign w:val="center"/>
            <w:hideMark/>
          </w:tcPr>
          <w:p w14:paraId="403C776B"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72 807</w:t>
            </w:r>
          </w:p>
        </w:tc>
      </w:tr>
      <w:tr w:rsidR="00405E5B" w:rsidRPr="00634479" w14:paraId="62A3CEB7"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18DD33EF" w14:textId="213B4A36" w:rsidR="00405E5B" w:rsidRPr="00634479" w:rsidRDefault="00405E5B" w:rsidP="00230BDE">
            <w:pPr>
              <w:spacing w:after="0" w:line="240" w:lineRule="auto"/>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Jun 2017</w:t>
            </w:r>
          </w:p>
        </w:tc>
        <w:tc>
          <w:tcPr>
            <w:tcW w:w="1200" w:type="dxa"/>
            <w:tcBorders>
              <w:top w:val="single" w:sz="4" w:space="0" w:color="auto"/>
              <w:left w:val="nil"/>
              <w:bottom w:val="single" w:sz="4" w:space="0" w:color="auto"/>
              <w:right w:val="nil"/>
            </w:tcBorders>
            <w:shd w:val="clear" w:color="auto" w:fill="auto"/>
            <w:vAlign w:val="center"/>
            <w:hideMark/>
          </w:tcPr>
          <w:p w14:paraId="791E06F3"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60 811</w:t>
            </w:r>
          </w:p>
        </w:tc>
        <w:tc>
          <w:tcPr>
            <w:tcW w:w="1200" w:type="dxa"/>
            <w:tcBorders>
              <w:top w:val="single" w:sz="4" w:space="0" w:color="auto"/>
              <w:left w:val="nil"/>
              <w:bottom w:val="single" w:sz="4" w:space="0" w:color="auto"/>
              <w:right w:val="nil"/>
            </w:tcBorders>
            <w:shd w:val="clear" w:color="auto" w:fill="auto"/>
            <w:vAlign w:val="center"/>
            <w:hideMark/>
          </w:tcPr>
          <w:p w14:paraId="0FFDA226"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4 649 176</w:t>
            </w:r>
          </w:p>
        </w:tc>
        <w:tc>
          <w:tcPr>
            <w:tcW w:w="1200" w:type="dxa"/>
            <w:tcBorders>
              <w:top w:val="single" w:sz="4" w:space="0" w:color="auto"/>
              <w:left w:val="nil"/>
              <w:bottom w:val="single" w:sz="4" w:space="0" w:color="auto"/>
              <w:right w:val="nil"/>
            </w:tcBorders>
            <w:shd w:val="clear" w:color="auto" w:fill="auto"/>
            <w:vAlign w:val="center"/>
            <w:hideMark/>
          </w:tcPr>
          <w:p w14:paraId="104247AD"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61 457</w:t>
            </w:r>
          </w:p>
        </w:tc>
        <w:tc>
          <w:tcPr>
            <w:tcW w:w="1200" w:type="dxa"/>
            <w:tcBorders>
              <w:top w:val="single" w:sz="4" w:space="0" w:color="auto"/>
              <w:left w:val="nil"/>
              <w:bottom w:val="single" w:sz="4" w:space="0" w:color="auto"/>
              <w:right w:val="nil"/>
            </w:tcBorders>
            <w:shd w:val="clear" w:color="auto" w:fill="auto"/>
            <w:vAlign w:val="center"/>
            <w:hideMark/>
          </w:tcPr>
          <w:p w14:paraId="59C47058"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2 273</w:t>
            </w:r>
          </w:p>
        </w:tc>
        <w:tc>
          <w:tcPr>
            <w:tcW w:w="1200" w:type="dxa"/>
            <w:tcBorders>
              <w:top w:val="single" w:sz="4" w:space="0" w:color="auto"/>
              <w:left w:val="nil"/>
              <w:bottom w:val="single" w:sz="4" w:space="0" w:color="auto"/>
              <w:right w:val="nil"/>
            </w:tcBorders>
            <w:shd w:val="clear" w:color="auto" w:fill="auto"/>
            <w:vAlign w:val="center"/>
            <w:hideMark/>
          </w:tcPr>
          <w:p w14:paraId="6016B828"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63 731</w:t>
            </w:r>
          </w:p>
        </w:tc>
      </w:tr>
      <w:tr w:rsidR="00405E5B" w:rsidRPr="00634479" w14:paraId="1B178835"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413E29CF" w14:textId="7087D42C" w:rsidR="00405E5B" w:rsidRPr="00634479" w:rsidRDefault="00405E5B" w:rsidP="00230BDE">
            <w:pPr>
              <w:spacing w:after="0" w:line="240" w:lineRule="auto"/>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Jul 2017</w:t>
            </w:r>
          </w:p>
        </w:tc>
        <w:tc>
          <w:tcPr>
            <w:tcW w:w="1200" w:type="dxa"/>
            <w:tcBorders>
              <w:top w:val="single" w:sz="4" w:space="0" w:color="auto"/>
              <w:left w:val="nil"/>
              <w:bottom w:val="single" w:sz="4" w:space="0" w:color="auto"/>
              <w:right w:val="nil"/>
            </w:tcBorders>
            <w:shd w:val="clear" w:color="auto" w:fill="auto"/>
            <w:vAlign w:val="center"/>
            <w:hideMark/>
          </w:tcPr>
          <w:p w14:paraId="08D6B030"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126 998</w:t>
            </w:r>
          </w:p>
        </w:tc>
        <w:tc>
          <w:tcPr>
            <w:tcW w:w="1200" w:type="dxa"/>
            <w:tcBorders>
              <w:top w:val="single" w:sz="4" w:space="0" w:color="auto"/>
              <w:left w:val="nil"/>
              <w:bottom w:val="single" w:sz="4" w:space="0" w:color="auto"/>
              <w:right w:val="nil"/>
            </w:tcBorders>
            <w:shd w:val="clear" w:color="auto" w:fill="auto"/>
            <w:vAlign w:val="center"/>
            <w:hideMark/>
          </w:tcPr>
          <w:p w14:paraId="2F31C794"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4 695 778</w:t>
            </w:r>
          </w:p>
        </w:tc>
        <w:tc>
          <w:tcPr>
            <w:tcW w:w="1200" w:type="dxa"/>
            <w:tcBorders>
              <w:top w:val="single" w:sz="4" w:space="0" w:color="auto"/>
              <w:left w:val="nil"/>
              <w:bottom w:val="single" w:sz="4" w:space="0" w:color="auto"/>
              <w:right w:val="nil"/>
            </w:tcBorders>
            <w:shd w:val="clear" w:color="auto" w:fill="auto"/>
            <w:vAlign w:val="center"/>
            <w:hideMark/>
          </w:tcPr>
          <w:p w14:paraId="23C23DB4"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30 249</w:t>
            </w:r>
          </w:p>
        </w:tc>
        <w:tc>
          <w:tcPr>
            <w:tcW w:w="1200" w:type="dxa"/>
            <w:tcBorders>
              <w:top w:val="single" w:sz="4" w:space="0" w:color="auto"/>
              <w:left w:val="nil"/>
              <w:bottom w:val="single" w:sz="4" w:space="0" w:color="auto"/>
              <w:right w:val="nil"/>
            </w:tcBorders>
            <w:shd w:val="clear" w:color="auto" w:fill="auto"/>
            <w:vAlign w:val="center"/>
            <w:hideMark/>
          </w:tcPr>
          <w:p w14:paraId="6DC5DA0F"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3 824</w:t>
            </w:r>
          </w:p>
        </w:tc>
        <w:tc>
          <w:tcPr>
            <w:tcW w:w="1200" w:type="dxa"/>
            <w:tcBorders>
              <w:top w:val="single" w:sz="4" w:space="0" w:color="auto"/>
              <w:left w:val="nil"/>
              <w:bottom w:val="single" w:sz="4" w:space="0" w:color="auto"/>
              <w:right w:val="nil"/>
            </w:tcBorders>
            <w:shd w:val="clear" w:color="auto" w:fill="auto"/>
            <w:vAlign w:val="center"/>
            <w:hideMark/>
          </w:tcPr>
          <w:p w14:paraId="5A4B7014"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34 073</w:t>
            </w:r>
          </w:p>
        </w:tc>
      </w:tr>
      <w:tr w:rsidR="00405E5B" w:rsidRPr="00634479" w14:paraId="38927DEA"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70D12408" w14:textId="1DCB41B5" w:rsidR="00405E5B" w:rsidRPr="00634479" w:rsidRDefault="002565F5" w:rsidP="00230BDE">
            <w:pPr>
              <w:spacing w:after="0" w:line="240" w:lineRule="auto"/>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 xml:space="preserve">Ago </w:t>
            </w:r>
            <w:r w:rsidR="00405E5B" w:rsidRPr="00634479">
              <w:rPr>
                <w:rFonts w:ascii="Times New Roman" w:eastAsia="Times New Roman" w:hAnsi="Times New Roman" w:cs="Times New Roman"/>
                <w:b/>
                <w:bCs/>
                <w:sz w:val="20"/>
                <w:lang w:val="es-CR" w:eastAsia="es-CR"/>
              </w:rPr>
              <w:t>2017</w:t>
            </w:r>
          </w:p>
        </w:tc>
        <w:tc>
          <w:tcPr>
            <w:tcW w:w="1200" w:type="dxa"/>
            <w:tcBorders>
              <w:top w:val="single" w:sz="4" w:space="0" w:color="auto"/>
              <w:left w:val="nil"/>
              <w:bottom w:val="single" w:sz="4" w:space="0" w:color="auto"/>
              <w:right w:val="nil"/>
            </w:tcBorders>
            <w:shd w:val="clear" w:color="auto" w:fill="auto"/>
            <w:vAlign w:val="center"/>
            <w:hideMark/>
          </w:tcPr>
          <w:p w14:paraId="22602B63"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98 951</w:t>
            </w:r>
          </w:p>
        </w:tc>
        <w:tc>
          <w:tcPr>
            <w:tcW w:w="1200" w:type="dxa"/>
            <w:tcBorders>
              <w:top w:val="single" w:sz="4" w:space="0" w:color="auto"/>
              <w:left w:val="nil"/>
              <w:bottom w:val="single" w:sz="4" w:space="0" w:color="auto"/>
              <w:right w:val="nil"/>
            </w:tcBorders>
            <w:shd w:val="clear" w:color="auto" w:fill="auto"/>
            <w:vAlign w:val="center"/>
            <w:hideMark/>
          </w:tcPr>
          <w:p w14:paraId="5E6D3EC5"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4 722 133</w:t>
            </w:r>
          </w:p>
        </w:tc>
        <w:tc>
          <w:tcPr>
            <w:tcW w:w="1200" w:type="dxa"/>
            <w:tcBorders>
              <w:top w:val="single" w:sz="4" w:space="0" w:color="auto"/>
              <w:left w:val="nil"/>
              <w:bottom w:val="single" w:sz="4" w:space="0" w:color="auto"/>
              <w:right w:val="nil"/>
            </w:tcBorders>
            <w:shd w:val="clear" w:color="auto" w:fill="auto"/>
            <w:vAlign w:val="center"/>
            <w:hideMark/>
          </w:tcPr>
          <w:p w14:paraId="200DE230"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12 005</w:t>
            </w:r>
          </w:p>
        </w:tc>
        <w:tc>
          <w:tcPr>
            <w:tcW w:w="1200" w:type="dxa"/>
            <w:tcBorders>
              <w:top w:val="single" w:sz="4" w:space="0" w:color="auto"/>
              <w:left w:val="nil"/>
              <w:bottom w:val="single" w:sz="4" w:space="0" w:color="auto"/>
              <w:right w:val="nil"/>
            </w:tcBorders>
            <w:shd w:val="clear" w:color="auto" w:fill="auto"/>
            <w:vAlign w:val="center"/>
            <w:hideMark/>
          </w:tcPr>
          <w:p w14:paraId="4FAAFE03"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3 732</w:t>
            </w:r>
          </w:p>
        </w:tc>
        <w:tc>
          <w:tcPr>
            <w:tcW w:w="1200" w:type="dxa"/>
            <w:tcBorders>
              <w:top w:val="single" w:sz="4" w:space="0" w:color="auto"/>
              <w:left w:val="nil"/>
              <w:bottom w:val="single" w:sz="4" w:space="0" w:color="auto"/>
              <w:right w:val="nil"/>
            </w:tcBorders>
            <w:shd w:val="clear" w:color="auto" w:fill="auto"/>
            <w:vAlign w:val="center"/>
            <w:hideMark/>
          </w:tcPr>
          <w:p w14:paraId="6DDFAA3B"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15 737</w:t>
            </w:r>
          </w:p>
        </w:tc>
      </w:tr>
      <w:tr w:rsidR="00405E5B" w:rsidRPr="00634479" w14:paraId="264CE763"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66F543CF" w14:textId="5DC5338D" w:rsidR="00405E5B" w:rsidRPr="00634479" w:rsidRDefault="002565F5" w:rsidP="00230BDE">
            <w:pPr>
              <w:spacing w:after="0" w:line="240" w:lineRule="auto"/>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 xml:space="preserve">Set </w:t>
            </w:r>
            <w:r w:rsidR="00405E5B" w:rsidRPr="00634479">
              <w:rPr>
                <w:rFonts w:ascii="Times New Roman" w:eastAsia="Times New Roman" w:hAnsi="Times New Roman" w:cs="Times New Roman"/>
                <w:b/>
                <w:bCs/>
                <w:sz w:val="20"/>
                <w:lang w:val="es-CR" w:eastAsia="es-CR"/>
              </w:rPr>
              <w:t>2017</w:t>
            </w:r>
          </w:p>
        </w:tc>
        <w:tc>
          <w:tcPr>
            <w:tcW w:w="1200" w:type="dxa"/>
            <w:tcBorders>
              <w:top w:val="single" w:sz="4" w:space="0" w:color="auto"/>
              <w:left w:val="nil"/>
              <w:bottom w:val="single" w:sz="4" w:space="0" w:color="auto"/>
              <w:right w:val="nil"/>
            </w:tcBorders>
            <w:shd w:val="clear" w:color="auto" w:fill="auto"/>
            <w:vAlign w:val="center"/>
            <w:hideMark/>
          </w:tcPr>
          <w:p w14:paraId="6A37592D"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83 373</w:t>
            </w:r>
          </w:p>
        </w:tc>
        <w:tc>
          <w:tcPr>
            <w:tcW w:w="1200" w:type="dxa"/>
            <w:tcBorders>
              <w:top w:val="single" w:sz="4" w:space="0" w:color="auto"/>
              <w:left w:val="nil"/>
              <w:bottom w:val="single" w:sz="4" w:space="0" w:color="auto"/>
              <w:right w:val="nil"/>
            </w:tcBorders>
            <w:shd w:val="clear" w:color="auto" w:fill="auto"/>
            <w:vAlign w:val="center"/>
            <w:hideMark/>
          </w:tcPr>
          <w:p w14:paraId="686512A6"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4 788 765</w:t>
            </w:r>
          </w:p>
        </w:tc>
        <w:tc>
          <w:tcPr>
            <w:tcW w:w="1200" w:type="dxa"/>
            <w:tcBorders>
              <w:top w:val="single" w:sz="4" w:space="0" w:color="auto"/>
              <w:left w:val="nil"/>
              <w:bottom w:val="single" w:sz="4" w:space="0" w:color="auto"/>
              <w:right w:val="nil"/>
            </w:tcBorders>
            <w:shd w:val="clear" w:color="auto" w:fill="auto"/>
            <w:vAlign w:val="center"/>
            <w:hideMark/>
          </w:tcPr>
          <w:p w14:paraId="08895B73"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2 105</w:t>
            </w:r>
          </w:p>
        </w:tc>
        <w:tc>
          <w:tcPr>
            <w:tcW w:w="1200" w:type="dxa"/>
            <w:tcBorders>
              <w:top w:val="single" w:sz="4" w:space="0" w:color="auto"/>
              <w:left w:val="nil"/>
              <w:bottom w:val="single" w:sz="4" w:space="0" w:color="auto"/>
              <w:right w:val="nil"/>
            </w:tcBorders>
            <w:shd w:val="clear" w:color="auto" w:fill="auto"/>
            <w:vAlign w:val="center"/>
            <w:hideMark/>
          </w:tcPr>
          <w:p w14:paraId="188608E5"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9 862</w:t>
            </w:r>
          </w:p>
        </w:tc>
        <w:tc>
          <w:tcPr>
            <w:tcW w:w="1200" w:type="dxa"/>
            <w:tcBorders>
              <w:top w:val="single" w:sz="4" w:space="0" w:color="auto"/>
              <w:left w:val="nil"/>
              <w:bottom w:val="single" w:sz="4" w:space="0" w:color="auto"/>
              <w:right w:val="nil"/>
            </w:tcBorders>
            <w:shd w:val="clear" w:color="auto" w:fill="auto"/>
            <w:vAlign w:val="center"/>
            <w:hideMark/>
          </w:tcPr>
          <w:p w14:paraId="691002EB"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11 967</w:t>
            </w:r>
          </w:p>
        </w:tc>
      </w:tr>
      <w:tr w:rsidR="00405E5B" w:rsidRPr="00634479" w14:paraId="3799554B"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6F5577A9" w14:textId="6A4FE5F3" w:rsidR="00405E5B" w:rsidRPr="00634479" w:rsidRDefault="002565F5" w:rsidP="00230BDE">
            <w:pPr>
              <w:spacing w:after="0" w:line="240" w:lineRule="auto"/>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 xml:space="preserve">Oct </w:t>
            </w:r>
            <w:r w:rsidR="00405E5B" w:rsidRPr="00634479">
              <w:rPr>
                <w:rFonts w:ascii="Times New Roman" w:eastAsia="Times New Roman" w:hAnsi="Times New Roman" w:cs="Times New Roman"/>
                <w:b/>
                <w:bCs/>
                <w:sz w:val="20"/>
                <w:lang w:val="es-CR" w:eastAsia="es-CR"/>
              </w:rPr>
              <w:t>2017</w:t>
            </w:r>
          </w:p>
        </w:tc>
        <w:tc>
          <w:tcPr>
            <w:tcW w:w="1200" w:type="dxa"/>
            <w:tcBorders>
              <w:top w:val="single" w:sz="4" w:space="0" w:color="auto"/>
              <w:left w:val="nil"/>
              <w:bottom w:val="single" w:sz="4" w:space="0" w:color="auto"/>
              <w:right w:val="nil"/>
            </w:tcBorders>
            <w:shd w:val="clear" w:color="auto" w:fill="auto"/>
            <w:vAlign w:val="center"/>
            <w:hideMark/>
          </w:tcPr>
          <w:p w14:paraId="3CDC7F2A"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87 409</w:t>
            </w:r>
          </w:p>
        </w:tc>
        <w:tc>
          <w:tcPr>
            <w:tcW w:w="1200" w:type="dxa"/>
            <w:tcBorders>
              <w:top w:val="single" w:sz="4" w:space="0" w:color="auto"/>
              <w:left w:val="nil"/>
              <w:bottom w:val="single" w:sz="4" w:space="0" w:color="auto"/>
              <w:right w:val="nil"/>
            </w:tcBorders>
            <w:shd w:val="clear" w:color="auto" w:fill="auto"/>
            <w:vAlign w:val="center"/>
            <w:hideMark/>
          </w:tcPr>
          <w:p w14:paraId="72072FF8"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4 823 786</w:t>
            </w:r>
          </w:p>
        </w:tc>
        <w:tc>
          <w:tcPr>
            <w:tcW w:w="1200" w:type="dxa"/>
            <w:tcBorders>
              <w:top w:val="single" w:sz="4" w:space="0" w:color="auto"/>
              <w:left w:val="nil"/>
              <w:bottom w:val="single" w:sz="4" w:space="0" w:color="auto"/>
              <w:right w:val="nil"/>
            </w:tcBorders>
            <w:shd w:val="clear" w:color="auto" w:fill="auto"/>
            <w:vAlign w:val="center"/>
            <w:hideMark/>
          </w:tcPr>
          <w:p w14:paraId="18C82266"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1 342</w:t>
            </w:r>
          </w:p>
        </w:tc>
        <w:tc>
          <w:tcPr>
            <w:tcW w:w="1200" w:type="dxa"/>
            <w:tcBorders>
              <w:top w:val="single" w:sz="4" w:space="0" w:color="auto"/>
              <w:left w:val="nil"/>
              <w:bottom w:val="single" w:sz="4" w:space="0" w:color="auto"/>
              <w:right w:val="nil"/>
            </w:tcBorders>
            <w:shd w:val="clear" w:color="auto" w:fill="auto"/>
            <w:vAlign w:val="center"/>
            <w:hideMark/>
          </w:tcPr>
          <w:p w14:paraId="50DC6CB5"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16 762</w:t>
            </w:r>
          </w:p>
        </w:tc>
        <w:tc>
          <w:tcPr>
            <w:tcW w:w="1200" w:type="dxa"/>
            <w:tcBorders>
              <w:top w:val="single" w:sz="4" w:space="0" w:color="auto"/>
              <w:left w:val="nil"/>
              <w:bottom w:val="single" w:sz="4" w:space="0" w:color="auto"/>
              <w:right w:val="nil"/>
            </w:tcBorders>
            <w:shd w:val="clear" w:color="auto" w:fill="auto"/>
            <w:vAlign w:val="center"/>
            <w:hideMark/>
          </w:tcPr>
          <w:p w14:paraId="33434ACC"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18 104</w:t>
            </w:r>
          </w:p>
        </w:tc>
      </w:tr>
      <w:tr w:rsidR="00405E5B" w:rsidRPr="00634479" w14:paraId="5911C1CD"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1069E847" w14:textId="54C91DBA" w:rsidR="00405E5B" w:rsidRPr="00634479" w:rsidRDefault="002565F5" w:rsidP="00230BDE">
            <w:pPr>
              <w:spacing w:after="0" w:line="240" w:lineRule="auto"/>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 xml:space="preserve">Nov </w:t>
            </w:r>
            <w:r w:rsidR="00405E5B" w:rsidRPr="00634479">
              <w:rPr>
                <w:rFonts w:ascii="Times New Roman" w:eastAsia="Times New Roman" w:hAnsi="Times New Roman" w:cs="Times New Roman"/>
                <w:b/>
                <w:bCs/>
                <w:sz w:val="20"/>
                <w:lang w:val="es-CR" w:eastAsia="es-CR"/>
              </w:rPr>
              <w:t>2017</w:t>
            </w:r>
          </w:p>
        </w:tc>
        <w:tc>
          <w:tcPr>
            <w:tcW w:w="1200" w:type="dxa"/>
            <w:tcBorders>
              <w:top w:val="single" w:sz="4" w:space="0" w:color="auto"/>
              <w:left w:val="nil"/>
              <w:bottom w:val="single" w:sz="4" w:space="0" w:color="auto"/>
              <w:right w:val="nil"/>
            </w:tcBorders>
            <w:shd w:val="clear" w:color="auto" w:fill="auto"/>
            <w:vAlign w:val="center"/>
            <w:hideMark/>
          </w:tcPr>
          <w:p w14:paraId="4A00B0F4"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44 346</w:t>
            </w:r>
          </w:p>
        </w:tc>
        <w:tc>
          <w:tcPr>
            <w:tcW w:w="1200" w:type="dxa"/>
            <w:tcBorders>
              <w:top w:val="single" w:sz="4" w:space="0" w:color="auto"/>
              <w:left w:val="nil"/>
              <w:bottom w:val="single" w:sz="4" w:space="0" w:color="auto"/>
              <w:right w:val="nil"/>
            </w:tcBorders>
            <w:shd w:val="clear" w:color="auto" w:fill="auto"/>
            <w:vAlign w:val="center"/>
            <w:hideMark/>
          </w:tcPr>
          <w:p w14:paraId="17914D38"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4 877 482</w:t>
            </w:r>
          </w:p>
        </w:tc>
        <w:tc>
          <w:tcPr>
            <w:tcW w:w="1200" w:type="dxa"/>
            <w:tcBorders>
              <w:top w:val="single" w:sz="4" w:space="0" w:color="auto"/>
              <w:left w:val="nil"/>
              <w:bottom w:val="single" w:sz="4" w:space="0" w:color="auto"/>
              <w:right w:val="nil"/>
            </w:tcBorders>
            <w:shd w:val="clear" w:color="auto" w:fill="auto"/>
            <w:vAlign w:val="center"/>
            <w:hideMark/>
          </w:tcPr>
          <w:p w14:paraId="3C4C293F"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-1 280</w:t>
            </w:r>
          </w:p>
        </w:tc>
        <w:tc>
          <w:tcPr>
            <w:tcW w:w="1200" w:type="dxa"/>
            <w:tcBorders>
              <w:top w:val="single" w:sz="4" w:space="0" w:color="auto"/>
              <w:left w:val="nil"/>
              <w:bottom w:val="single" w:sz="4" w:space="0" w:color="auto"/>
              <w:right w:val="nil"/>
            </w:tcBorders>
            <w:shd w:val="clear" w:color="auto" w:fill="auto"/>
            <w:vAlign w:val="center"/>
            <w:hideMark/>
          </w:tcPr>
          <w:p w14:paraId="50D72FCD"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17 542</w:t>
            </w:r>
          </w:p>
        </w:tc>
        <w:tc>
          <w:tcPr>
            <w:tcW w:w="1200" w:type="dxa"/>
            <w:tcBorders>
              <w:top w:val="single" w:sz="4" w:space="0" w:color="auto"/>
              <w:left w:val="nil"/>
              <w:bottom w:val="single" w:sz="4" w:space="0" w:color="auto"/>
              <w:right w:val="nil"/>
            </w:tcBorders>
            <w:shd w:val="clear" w:color="auto" w:fill="auto"/>
            <w:vAlign w:val="center"/>
            <w:hideMark/>
          </w:tcPr>
          <w:p w14:paraId="6A51A41C"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16 262</w:t>
            </w:r>
          </w:p>
        </w:tc>
      </w:tr>
      <w:tr w:rsidR="00405E5B" w:rsidRPr="00634479" w14:paraId="552D2F2C" w14:textId="77777777" w:rsidTr="00405E5B">
        <w:trPr>
          <w:trHeight w:val="420"/>
          <w:jc w:val="center"/>
        </w:trPr>
        <w:tc>
          <w:tcPr>
            <w:tcW w:w="1229" w:type="dxa"/>
            <w:tcBorders>
              <w:top w:val="single" w:sz="4" w:space="0" w:color="auto"/>
              <w:left w:val="nil"/>
              <w:bottom w:val="single" w:sz="4" w:space="0" w:color="auto"/>
              <w:right w:val="nil"/>
            </w:tcBorders>
            <w:shd w:val="clear" w:color="auto" w:fill="auto"/>
            <w:vAlign w:val="center"/>
            <w:hideMark/>
          </w:tcPr>
          <w:p w14:paraId="1944CA70" w14:textId="7DE480CF" w:rsidR="00405E5B" w:rsidRPr="00634479" w:rsidRDefault="002565F5" w:rsidP="00230BDE">
            <w:pPr>
              <w:spacing w:after="0" w:line="240" w:lineRule="auto"/>
              <w:rPr>
                <w:rFonts w:ascii="Times New Roman" w:eastAsia="Times New Roman" w:hAnsi="Times New Roman" w:cs="Times New Roman"/>
                <w:b/>
                <w:bCs/>
                <w:sz w:val="20"/>
                <w:lang w:val="es-CR" w:eastAsia="es-CR"/>
              </w:rPr>
            </w:pPr>
            <w:r w:rsidRPr="00634479">
              <w:rPr>
                <w:rFonts w:ascii="Times New Roman" w:eastAsia="Times New Roman" w:hAnsi="Times New Roman" w:cs="Times New Roman"/>
                <w:b/>
                <w:bCs/>
                <w:sz w:val="20"/>
                <w:lang w:val="es-CR" w:eastAsia="es-CR"/>
              </w:rPr>
              <w:t xml:space="preserve">Dic </w:t>
            </w:r>
            <w:r w:rsidR="00405E5B" w:rsidRPr="00634479">
              <w:rPr>
                <w:rFonts w:ascii="Times New Roman" w:eastAsia="Times New Roman" w:hAnsi="Times New Roman" w:cs="Times New Roman"/>
                <w:b/>
                <w:bCs/>
                <w:sz w:val="20"/>
                <w:lang w:val="es-CR" w:eastAsia="es-CR"/>
              </w:rPr>
              <w:t>2017</w:t>
            </w:r>
          </w:p>
        </w:tc>
        <w:tc>
          <w:tcPr>
            <w:tcW w:w="1200" w:type="dxa"/>
            <w:tcBorders>
              <w:top w:val="single" w:sz="4" w:space="0" w:color="auto"/>
              <w:left w:val="nil"/>
              <w:bottom w:val="single" w:sz="4" w:space="0" w:color="auto"/>
              <w:right w:val="nil"/>
            </w:tcBorders>
            <w:shd w:val="clear" w:color="auto" w:fill="auto"/>
            <w:vAlign w:val="center"/>
            <w:hideMark/>
          </w:tcPr>
          <w:p w14:paraId="7F16F2EA"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68 882</w:t>
            </w:r>
          </w:p>
        </w:tc>
        <w:tc>
          <w:tcPr>
            <w:tcW w:w="1200" w:type="dxa"/>
            <w:tcBorders>
              <w:top w:val="single" w:sz="4" w:space="0" w:color="auto"/>
              <w:left w:val="nil"/>
              <w:bottom w:val="single" w:sz="4" w:space="0" w:color="auto"/>
              <w:right w:val="nil"/>
            </w:tcBorders>
            <w:shd w:val="clear" w:color="auto" w:fill="auto"/>
            <w:vAlign w:val="center"/>
            <w:hideMark/>
          </w:tcPr>
          <w:p w14:paraId="2E71FF1C"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4 894 523</w:t>
            </w:r>
          </w:p>
        </w:tc>
        <w:tc>
          <w:tcPr>
            <w:tcW w:w="1200" w:type="dxa"/>
            <w:tcBorders>
              <w:top w:val="single" w:sz="4" w:space="0" w:color="auto"/>
              <w:left w:val="nil"/>
              <w:bottom w:val="single" w:sz="4" w:space="0" w:color="auto"/>
              <w:right w:val="nil"/>
            </w:tcBorders>
            <w:shd w:val="clear" w:color="auto" w:fill="auto"/>
            <w:vAlign w:val="center"/>
            <w:hideMark/>
          </w:tcPr>
          <w:p w14:paraId="665491A3"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-5 353</w:t>
            </w:r>
          </w:p>
        </w:tc>
        <w:tc>
          <w:tcPr>
            <w:tcW w:w="1200" w:type="dxa"/>
            <w:tcBorders>
              <w:top w:val="single" w:sz="4" w:space="0" w:color="auto"/>
              <w:left w:val="nil"/>
              <w:bottom w:val="single" w:sz="4" w:space="0" w:color="auto"/>
              <w:right w:val="nil"/>
            </w:tcBorders>
            <w:shd w:val="clear" w:color="auto" w:fill="auto"/>
            <w:vAlign w:val="center"/>
            <w:hideMark/>
          </w:tcPr>
          <w:p w14:paraId="55640A75"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18 785</w:t>
            </w:r>
          </w:p>
        </w:tc>
        <w:tc>
          <w:tcPr>
            <w:tcW w:w="1200" w:type="dxa"/>
            <w:tcBorders>
              <w:top w:val="single" w:sz="4" w:space="0" w:color="auto"/>
              <w:left w:val="nil"/>
              <w:bottom w:val="single" w:sz="4" w:space="0" w:color="auto"/>
              <w:right w:val="nil"/>
            </w:tcBorders>
            <w:shd w:val="clear" w:color="auto" w:fill="auto"/>
            <w:vAlign w:val="center"/>
            <w:hideMark/>
          </w:tcPr>
          <w:p w14:paraId="79F20816" w14:textId="77777777" w:rsidR="00405E5B" w:rsidRPr="00634479" w:rsidRDefault="00405E5B" w:rsidP="00405E5B">
            <w:pPr>
              <w:spacing w:after="0" w:line="240" w:lineRule="auto"/>
              <w:jc w:val="center"/>
              <w:rPr>
                <w:rFonts w:ascii="Times New Roman" w:eastAsia="Times New Roman" w:hAnsi="Times New Roman" w:cs="Times New Roman"/>
                <w:bCs/>
                <w:sz w:val="20"/>
                <w:lang w:val="es-CR" w:eastAsia="es-CR"/>
              </w:rPr>
            </w:pPr>
            <w:r w:rsidRPr="00634479">
              <w:rPr>
                <w:rFonts w:ascii="Times New Roman" w:eastAsia="Times New Roman" w:hAnsi="Times New Roman" w:cs="Times New Roman"/>
                <w:bCs/>
                <w:sz w:val="20"/>
                <w:lang w:val="es-CR" w:eastAsia="es-CR"/>
              </w:rPr>
              <w:t>13 432</w:t>
            </w:r>
          </w:p>
        </w:tc>
      </w:tr>
    </w:tbl>
    <w:p w14:paraId="36ADA877" w14:textId="7E9FEEE6" w:rsidR="0054078A" w:rsidRPr="002B039B" w:rsidRDefault="0054078A" w:rsidP="0040090D">
      <w:pPr>
        <w:pStyle w:val="Ttulo1"/>
        <w:rPr>
          <w:rFonts w:ascii="Times New Roman" w:hAnsi="Times New Roman" w:cs="Times New Roman"/>
        </w:rPr>
      </w:pPr>
    </w:p>
    <w:p w14:paraId="25DCE230" w14:textId="510634CD" w:rsidR="0040090D" w:rsidRPr="00C937FF" w:rsidRDefault="00C937FF" w:rsidP="00C937FF">
      <w:pPr>
        <w:tabs>
          <w:tab w:val="left" w:pos="7108"/>
        </w:tabs>
        <w:rPr>
          <w:rFonts w:ascii="Times New Roman" w:hAnsi="Times New Roman" w:cs="Times New Roman"/>
        </w:rPr>
      </w:pPr>
      <w:bookmarkStart w:id="33" w:name="_Toc505348338"/>
      <w:bookmarkStart w:id="34" w:name="_Toc506207748"/>
      <w:r>
        <w:rPr>
          <w:rFonts w:ascii="Times New Roman" w:hAnsi="Times New Roman" w:cs="Times New Roman"/>
        </w:rPr>
        <w:tab/>
      </w:r>
    </w:p>
    <w:p w14:paraId="65E4B084" w14:textId="2AB866C0" w:rsidR="0040090D" w:rsidRPr="003B7B9E" w:rsidRDefault="00D65C85" w:rsidP="003B7B9E">
      <w:pPr>
        <w:pStyle w:val="Ttulo2"/>
      </w:pPr>
      <w:bookmarkStart w:id="35" w:name="_Toc506212329"/>
      <w:bookmarkStart w:id="36" w:name="_Toc509221828"/>
      <w:r w:rsidRPr="002B039B">
        <w:t>Rentabilidades 3,5 y 10 años</w:t>
      </w:r>
      <w:bookmarkEnd w:id="33"/>
      <w:bookmarkEnd w:id="34"/>
      <w:bookmarkEnd w:id="35"/>
      <w:bookmarkEnd w:id="36"/>
    </w:p>
    <w:p w14:paraId="1EFA2256" w14:textId="3DA8F9EB" w:rsidR="0040090D" w:rsidRDefault="00CF6ECF" w:rsidP="0040090D">
      <w:pPr>
        <w:pStyle w:val="Prrafodelista"/>
        <w:numPr>
          <w:ilvl w:val="0"/>
          <w:numId w:val="4"/>
        </w:numPr>
        <w:spacing w:after="0"/>
        <w:ind w:left="0"/>
        <w:jc w:val="both"/>
        <w:rPr>
          <w:rFonts w:ascii="Times New Roman" w:hAnsi="Times New Roman" w:cs="Times New Roman"/>
        </w:rPr>
      </w:pPr>
      <w:r>
        <w:rPr>
          <w:rFonts w:ascii="Times New Roman" w:hAnsi="Times New Roman" w:cs="Times New Roman"/>
        </w:rPr>
        <w:t xml:space="preserve">Se </w:t>
      </w:r>
      <w:r w:rsidR="00B36C5B">
        <w:rPr>
          <w:rFonts w:ascii="Times New Roman" w:hAnsi="Times New Roman" w:cs="Times New Roman"/>
        </w:rPr>
        <w:t>modificó</w:t>
      </w:r>
      <w:r>
        <w:rPr>
          <w:rFonts w:ascii="Times New Roman" w:hAnsi="Times New Roman" w:cs="Times New Roman"/>
        </w:rPr>
        <w:t xml:space="preserve"> el</w:t>
      </w:r>
      <w:r w:rsidR="00F87529">
        <w:rPr>
          <w:rFonts w:ascii="Times New Roman" w:hAnsi="Times New Roman" w:cs="Times New Roman"/>
        </w:rPr>
        <w:t xml:space="preserve"> A</w:t>
      </w:r>
      <w:r w:rsidR="0040090D" w:rsidRPr="002B039B">
        <w:rPr>
          <w:rFonts w:ascii="Times New Roman" w:hAnsi="Times New Roman" w:cs="Times New Roman"/>
        </w:rPr>
        <w:t>cuerdo</w:t>
      </w:r>
      <w:r w:rsidR="00F87529">
        <w:rPr>
          <w:rFonts w:ascii="Times New Roman" w:hAnsi="Times New Roman" w:cs="Times New Roman"/>
        </w:rPr>
        <w:t xml:space="preserve"> del Superintendente</w:t>
      </w:r>
      <w:r w:rsidR="0040090D" w:rsidRPr="002B039B">
        <w:rPr>
          <w:rFonts w:ascii="Times New Roman" w:hAnsi="Times New Roman" w:cs="Times New Roman"/>
        </w:rPr>
        <w:t xml:space="preserve"> </w:t>
      </w:r>
      <w:r w:rsidR="00F87529">
        <w:rPr>
          <w:rFonts w:ascii="Times New Roman" w:hAnsi="Times New Roman" w:cs="Times New Roman"/>
        </w:rPr>
        <w:t xml:space="preserve">sobre disposiciones para </w:t>
      </w:r>
      <w:r w:rsidR="0040090D" w:rsidRPr="002B039B">
        <w:rPr>
          <w:rFonts w:ascii="Times New Roman" w:hAnsi="Times New Roman" w:cs="Times New Roman"/>
        </w:rPr>
        <w:t>el uso de la rentabilidad de los fondos para fines de información o publicidad y el contenido mínimo de los estados de cuenta, de manera tal que la rentabilidad presentada en l</w:t>
      </w:r>
      <w:r w:rsidR="00F87529">
        <w:rPr>
          <w:rFonts w:ascii="Times New Roman" w:hAnsi="Times New Roman" w:cs="Times New Roman"/>
        </w:rPr>
        <w:t>os estados de cuenta muestre</w:t>
      </w:r>
      <w:r w:rsidR="0040090D" w:rsidRPr="002B039B">
        <w:rPr>
          <w:rFonts w:ascii="Times New Roman" w:hAnsi="Times New Roman" w:cs="Times New Roman"/>
        </w:rPr>
        <w:t xml:space="preserve"> plazos mayores (3, 5 y 10 años)</w:t>
      </w:r>
      <w:r w:rsidR="00693C1F">
        <w:rPr>
          <w:rFonts w:ascii="Times New Roman" w:hAnsi="Times New Roman" w:cs="Times New Roman"/>
        </w:rPr>
        <w:t>, más acorde</w:t>
      </w:r>
      <w:r w:rsidR="00B36C5B">
        <w:rPr>
          <w:rFonts w:ascii="Times New Roman" w:hAnsi="Times New Roman" w:cs="Times New Roman"/>
        </w:rPr>
        <w:t>s</w:t>
      </w:r>
      <w:r w:rsidR="00693C1F">
        <w:rPr>
          <w:rFonts w:ascii="Times New Roman" w:hAnsi="Times New Roman" w:cs="Times New Roman"/>
        </w:rPr>
        <w:t xml:space="preserve"> con </w:t>
      </w:r>
      <w:r w:rsidR="0040090D" w:rsidRPr="002B039B">
        <w:rPr>
          <w:rFonts w:ascii="Times New Roman" w:hAnsi="Times New Roman" w:cs="Times New Roman"/>
        </w:rPr>
        <w:t>el horizonte de inversión de largo plazo de los fondos de pensiones.</w:t>
      </w:r>
    </w:p>
    <w:p w14:paraId="6E2A25CF" w14:textId="77777777" w:rsidR="00B36C5B" w:rsidRPr="002B039B" w:rsidRDefault="00B36C5B" w:rsidP="00132019">
      <w:pPr>
        <w:pStyle w:val="Prrafodelista"/>
        <w:spacing w:after="0"/>
        <w:ind w:left="0"/>
        <w:jc w:val="both"/>
        <w:rPr>
          <w:rFonts w:ascii="Times New Roman" w:hAnsi="Times New Roman" w:cs="Times New Roman"/>
        </w:rPr>
      </w:pPr>
    </w:p>
    <w:tbl>
      <w:tblPr>
        <w:tblW w:w="9240" w:type="dxa"/>
        <w:tblCellMar>
          <w:left w:w="70" w:type="dxa"/>
          <w:right w:w="70" w:type="dxa"/>
        </w:tblCellMar>
        <w:tblLook w:val="04A0" w:firstRow="1" w:lastRow="0" w:firstColumn="1" w:lastColumn="0" w:noHBand="0" w:noVBand="1"/>
      </w:tblPr>
      <w:tblGrid>
        <w:gridCol w:w="2274"/>
        <w:gridCol w:w="1299"/>
        <w:gridCol w:w="1197"/>
        <w:gridCol w:w="1532"/>
        <w:gridCol w:w="1766"/>
        <w:gridCol w:w="1172"/>
      </w:tblGrid>
      <w:tr w:rsidR="00C141E1" w:rsidRPr="002B039B" w14:paraId="08360EA6" w14:textId="77777777" w:rsidTr="00F82C3D">
        <w:trPr>
          <w:trHeight w:val="375"/>
        </w:trPr>
        <w:tc>
          <w:tcPr>
            <w:tcW w:w="9240" w:type="dxa"/>
            <w:gridSpan w:val="6"/>
            <w:tcBorders>
              <w:top w:val="nil"/>
              <w:left w:val="nil"/>
              <w:bottom w:val="single" w:sz="4" w:space="0" w:color="auto"/>
              <w:right w:val="nil"/>
            </w:tcBorders>
            <w:shd w:val="clear" w:color="auto" w:fill="auto"/>
            <w:noWrap/>
            <w:vAlign w:val="bottom"/>
            <w:hideMark/>
          </w:tcPr>
          <w:p w14:paraId="1082E0BC" w14:textId="7428F83F" w:rsidR="00CF73B8" w:rsidRPr="002B039B" w:rsidRDefault="00CF73B8" w:rsidP="0040090D">
            <w:pPr>
              <w:spacing w:after="0"/>
              <w:jc w:val="center"/>
              <w:rPr>
                <w:rFonts w:ascii="Times New Roman" w:hAnsi="Times New Roman" w:cs="Times New Roman"/>
                <w:b/>
                <w:bCs/>
              </w:rPr>
            </w:pPr>
            <w:r w:rsidRPr="002B039B">
              <w:rPr>
                <w:rFonts w:ascii="Times New Roman" w:hAnsi="Times New Roman" w:cs="Times New Roman"/>
                <w:b/>
                <w:bCs/>
              </w:rPr>
              <w:t xml:space="preserve">Cuadro </w:t>
            </w:r>
            <w:r w:rsidR="00FF5D52">
              <w:rPr>
                <w:rFonts w:ascii="Times New Roman" w:hAnsi="Times New Roman" w:cs="Times New Roman"/>
                <w:b/>
                <w:bCs/>
              </w:rPr>
              <w:t>7</w:t>
            </w:r>
            <w:r w:rsidR="001813D4">
              <w:rPr>
                <w:rFonts w:ascii="Times New Roman" w:hAnsi="Times New Roman" w:cs="Times New Roman"/>
                <w:b/>
                <w:bCs/>
              </w:rPr>
              <w:t>:</w:t>
            </w:r>
          </w:p>
          <w:p w14:paraId="0C893EAC" w14:textId="376306C7" w:rsidR="00C141E1" w:rsidRPr="002B039B" w:rsidRDefault="00CC227E" w:rsidP="0040090D">
            <w:pPr>
              <w:spacing w:after="0"/>
              <w:jc w:val="center"/>
              <w:rPr>
                <w:rFonts w:ascii="Times New Roman" w:hAnsi="Times New Roman" w:cs="Times New Roman"/>
                <w:b/>
                <w:bCs/>
              </w:rPr>
            </w:pPr>
            <w:r>
              <w:rPr>
                <w:rFonts w:ascii="Times New Roman" w:hAnsi="Times New Roman" w:cs="Times New Roman"/>
                <w:b/>
                <w:bCs/>
              </w:rPr>
              <w:t xml:space="preserve">ROP: </w:t>
            </w:r>
            <w:r w:rsidR="00C141E1" w:rsidRPr="002B039B">
              <w:rPr>
                <w:rFonts w:ascii="Times New Roman" w:hAnsi="Times New Roman" w:cs="Times New Roman"/>
                <w:b/>
                <w:bCs/>
              </w:rPr>
              <w:t>Rentabilidades nominales</w:t>
            </w:r>
          </w:p>
        </w:tc>
      </w:tr>
      <w:tr w:rsidR="00C141E1" w:rsidRPr="002B039B" w14:paraId="095B7B98" w14:textId="77777777" w:rsidTr="00F82C3D">
        <w:trPr>
          <w:trHeight w:val="300"/>
        </w:trPr>
        <w:tc>
          <w:tcPr>
            <w:tcW w:w="2274" w:type="dxa"/>
            <w:tcBorders>
              <w:top w:val="nil"/>
              <w:left w:val="nil"/>
              <w:bottom w:val="single" w:sz="4" w:space="0" w:color="auto"/>
              <w:right w:val="nil"/>
            </w:tcBorders>
            <w:shd w:val="clear" w:color="auto" w:fill="auto"/>
            <w:noWrap/>
            <w:vAlign w:val="bottom"/>
            <w:hideMark/>
          </w:tcPr>
          <w:p w14:paraId="1CDCB8B2" w14:textId="77777777" w:rsidR="00C141E1" w:rsidRPr="002B039B" w:rsidRDefault="00C141E1" w:rsidP="0040090D">
            <w:pPr>
              <w:spacing w:after="0" w:line="240" w:lineRule="auto"/>
              <w:jc w:val="center"/>
              <w:rPr>
                <w:rFonts w:ascii="Times New Roman" w:eastAsia="Times New Roman" w:hAnsi="Times New Roman" w:cs="Times New Roman"/>
                <w:b/>
                <w:bCs/>
                <w:color w:val="000000"/>
                <w:lang w:val="es-CR" w:eastAsia="es-CR"/>
              </w:rPr>
            </w:pPr>
            <w:r w:rsidRPr="002B039B">
              <w:rPr>
                <w:rFonts w:ascii="Times New Roman" w:eastAsia="Times New Roman" w:hAnsi="Times New Roman" w:cs="Times New Roman"/>
                <w:b/>
                <w:bCs/>
                <w:color w:val="000000"/>
                <w:lang w:val="es-CR" w:eastAsia="es-CR"/>
              </w:rPr>
              <w:t> </w:t>
            </w:r>
          </w:p>
        </w:tc>
        <w:tc>
          <w:tcPr>
            <w:tcW w:w="1299" w:type="dxa"/>
            <w:tcBorders>
              <w:top w:val="nil"/>
              <w:left w:val="nil"/>
              <w:bottom w:val="single" w:sz="4" w:space="0" w:color="auto"/>
              <w:right w:val="nil"/>
            </w:tcBorders>
            <w:shd w:val="clear" w:color="auto" w:fill="auto"/>
            <w:noWrap/>
            <w:vAlign w:val="bottom"/>
            <w:hideMark/>
          </w:tcPr>
          <w:p w14:paraId="5AA63597" w14:textId="77777777" w:rsidR="00C141E1" w:rsidRPr="002B039B" w:rsidRDefault="00C141E1" w:rsidP="00B36C5B">
            <w:pPr>
              <w:spacing w:after="0" w:line="240" w:lineRule="auto"/>
              <w:jc w:val="right"/>
              <w:rPr>
                <w:rFonts w:ascii="Times New Roman" w:eastAsia="Times New Roman" w:hAnsi="Times New Roman" w:cs="Times New Roman"/>
                <w:b/>
                <w:bCs/>
                <w:color w:val="000000"/>
                <w:lang w:val="es-CR" w:eastAsia="es-CR"/>
              </w:rPr>
            </w:pPr>
            <w:r w:rsidRPr="002B039B">
              <w:rPr>
                <w:rFonts w:ascii="Times New Roman" w:eastAsia="Times New Roman" w:hAnsi="Times New Roman" w:cs="Times New Roman"/>
                <w:b/>
                <w:bCs/>
                <w:color w:val="000000"/>
                <w:lang w:val="es-CR" w:eastAsia="es-CR"/>
              </w:rPr>
              <w:t>3 años</w:t>
            </w:r>
          </w:p>
        </w:tc>
        <w:tc>
          <w:tcPr>
            <w:tcW w:w="1197" w:type="dxa"/>
            <w:tcBorders>
              <w:top w:val="nil"/>
              <w:left w:val="nil"/>
              <w:bottom w:val="single" w:sz="4" w:space="0" w:color="auto"/>
              <w:right w:val="nil"/>
            </w:tcBorders>
            <w:shd w:val="clear" w:color="auto" w:fill="auto"/>
            <w:noWrap/>
            <w:vAlign w:val="bottom"/>
            <w:hideMark/>
          </w:tcPr>
          <w:p w14:paraId="3562D326" w14:textId="2D347DBE" w:rsidR="00C141E1" w:rsidRPr="002B039B" w:rsidRDefault="00C141E1" w:rsidP="00B36C5B">
            <w:pPr>
              <w:spacing w:after="0" w:line="240" w:lineRule="auto"/>
              <w:jc w:val="right"/>
              <w:rPr>
                <w:rFonts w:ascii="Times New Roman" w:eastAsia="Times New Roman" w:hAnsi="Times New Roman" w:cs="Times New Roman"/>
                <w:b/>
                <w:bCs/>
                <w:color w:val="000000"/>
                <w:lang w:val="es-CR" w:eastAsia="es-CR"/>
              </w:rPr>
            </w:pPr>
            <w:r w:rsidRPr="002B039B">
              <w:rPr>
                <w:rFonts w:ascii="Times New Roman" w:eastAsia="Times New Roman" w:hAnsi="Times New Roman" w:cs="Times New Roman"/>
                <w:b/>
                <w:bCs/>
                <w:color w:val="000000"/>
                <w:lang w:val="es-CR" w:eastAsia="es-CR"/>
              </w:rPr>
              <w:t>5</w:t>
            </w:r>
            <w:r w:rsidR="006365AB" w:rsidRPr="002B039B">
              <w:rPr>
                <w:rFonts w:ascii="Times New Roman" w:eastAsia="Times New Roman" w:hAnsi="Times New Roman" w:cs="Times New Roman"/>
                <w:b/>
                <w:bCs/>
                <w:color w:val="000000"/>
                <w:lang w:val="es-CR" w:eastAsia="es-CR"/>
              </w:rPr>
              <w:t xml:space="preserve"> </w:t>
            </w:r>
            <w:r w:rsidRPr="002B039B">
              <w:rPr>
                <w:rFonts w:ascii="Times New Roman" w:eastAsia="Times New Roman" w:hAnsi="Times New Roman" w:cs="Times New Roman"/>
                <w:b/>
                <w:bCs/>
                <w:color w:val="000000"/>
                <w:lang w:val="es-CR" w:eastAsia="es-CR"/>
              </w:rPr>
              <w:t>años</w:t>
            </w:r>
          </w:p>
        </w:tc>
        <w:tc>
          <w:tcPr>
            <w:tcW w:w="1532" w:type="dxa"/>
            <w:tcBorders>
              <w:top w:val="nil"/>
              <w:left w:val="nil"/>
              <w:bottom w:val="single" w:sz="4" w:space="0" w:color="auto"/>
              <w:right w:val="nil"/>
            </w:tcBorders>
            <w:shd w:val="clear" w:color="auto" w:fill="auto"/>
            <w:noWrap/>
            <w:vAlign w:val="bottom"/>
            <w:hideMark/>
          </w:tcPr>
          <w:p w14:paraId="2B4B24DC" w14:textId="77777777" w:rsidR="00C141E1" w:rsidRPr="002B039B" w:rsidRDefault="00C141E1" w:rsidP="00B36C5B">
            <w:pPr>
              <w:spacing w:after="0" w:line="240" w:lineRule="auto"/>
              <w:jc w:val="right"/>
              <w:rPr>
                <w:rFonts w:ascii="Times New Roman" w:eastAsia="Times New Roman" w:hAnsi="Times New Roman" w:cs="Times New Roman"/>
                <w:b/>
                <w:bCs/>
                <w:color w:val="000000"/>
                <w:lang w:val="es-CR" w:eastAsia="es-CR"/>
              </w:rPr>
            </w:pPr>
            <w:r w:rsidRPr="002B039B">
              <w:rPr>
                <w:rFonts w:ascii="Times New Roman" w:eastAsia="Times New Roman" w:hAnsi="Times New Roman" w:cs="Times New Roman"/>
                <w:b/>
                <w:bCs/>
                <w:color w:val="000000"/>
                <w:lang w:val="es-CR" w:eastAsia="es-CR"/>
              </w:rPr>
              <w:t>10 años</w:t>
            </w:r>
          </w:p>
        </w:tc>
        <w:tc>
          <w:tcPr>
            <w:tcW w:w="1766" w:type="dxa"/>
            <w:tcBorders>
              <w:top w:val="nil"/>
              <w:left w:val="nil"/>
              <w:bottom w:val="single" w:sz="4" w:space="0" w:color="auto"/>
              <w:right w:val="nil"/>
            </w:tcBorders>
            <w:shd w:val="clear" w:color="auto" w:fill="auto"/>
            <w:noWrap/>
            <w:vAlign w:val="bottom"/>
            <w:hideMark/>
          </w:tcPr>
          <w:p w14:paraId="7CD1CD68" w14:textId="77777777" w:rsidR="00C141E1" w:rsidRPr="002B039B" w:rsidRDefault="00C141E1" w:rsidP="00B36C5B">
            <w:pPr>
              <w:spacing w:after="0" w:line="240" w:lineRule="auto"/>
              <w:jc w:val="right"/>
              <w:rPr>
                <w:rFonts w:ascii="Times New Roman" w:eastAsia="Times New Roman" w:hAnsi="Times New Roman" w:cs="Times New Roman"/>
                <w:b/>
                <w:bCs/>
                <w:color w:val="000000"/>
                <w:lang w:val="es-CR" w:eastAsia="es-CR"/>
              </w:rPr>
            </w:pPr>
            <w:r w:rsidRPr="002B039B">
              <w:rPr>
                <w:rFonts w:ascii="Times New Roman" w:eastAsia="Times New Roman" w:hAnsi="Times New Roman" w:cs="Times New Roman"/>
                <w:b/>
                <w:bCs/>
                <w:color w:val="000000"/>
                <w:lang w:val="es-CR" w:eastAsia="es-CR"/>
              </w:rPr>
              <w:t>Histórico</w:t>
            </w:r>
          </w:p>
        </w:tc>
        <w:tc>
          <w:tcPr>
            <w:tcW w:w="1172" w:type="dxa"/>
            <w:tcBorders>
              <w:top w:val="nil"/>
              <w:left w:val="nil"/>
              <w:bottom w:val="single" w:sz="4" w:space="0" w:color="auto"/>
              <w:right w:val="nil"/>
            </w:tcBorders>
            <w:shd w:val="clear" w:color="auto" w:fill="auto"/>
            <w:noWrap/>
            <w:vAlign w:val="bottom"/>
            <w:hideMark/>
          </w:tcPr>
          <w:p w14:paraId="17C2058C" w14:textId="77777777" w:rsidR="00C141E1" w:rsidRPr="002B039B" w:rsidRDefault="00C141E1" w:rsidP="00B36C5B">
            <w:pPr>
              <w:spacing w:after="0" w:line="240" w:lineRule="auto"/>
              <w:jc w:val="right"/>
              <w:rPr>
                <w:rFonts w:ascii="Times New Roman" w:eastAsia="Times New Roman" w:hAnsi="Times New Roman" w:cs="Times New Roman"/>
                <w:b/>
                <w:bCs/>
                <w:color w:val="000000"/>
                <w:lang w:val="es-CR" w:eastAsia="es-CR"/>
              </w:rPr>
            </w:pPr>
            <w:r w:rsidRPr="002B039B">
              <w:rPr>
                <w:rFonts w:ascii="Times New Roman" w:eastAsia="Times New Roman" w:hAnsi="Times New Roman" w:cs="Times New Roman"/>
                <w:b/>
                <w:bCs/>
                <w:color w:val="000000"/>
                <w:lang w:val="es-CR" w:eastAsia="es-CR"/>
              </w:rPr>
              <w:t>Anual</w:t>
            </w:r>
          </w:p>
        </w:tc>
      </w:tr>
      <w:tr w:rsidR="00C141E1" w:rsidRPr="002B039B" w14:paraId="22AD6362" w14:textId="77777777" w:rsidTr="00F82C3D">
        <w:trPr>
          <w:trHeight w:val="300"/>
        </w:trPr>
        <w:tc>
          <w:tcPr>
            <w:tcW w:w="2274" w:type="dxa"/>
            <w:tcBorders>
              <w:top w:val="nil"/>
              <w:left w:val="nil"/>
              <w:bottom w:val="nil"/>
              <w:right w:val="nil"/>
            </w:tcBorders>
            <w:shd w:val="clear" w:color="auto" w:fill="auto"/>
            <w:noWrap/>
            <w:vAlign w:val="bottom"/>
            <w:hideMark/>
          </w:tcPr>
          <w:p w14:paraId="15A11E62" w14:textId="389EC103" w:rsidR="00C141E1" w:rsidRPr="002B039B" w:rsidRDefault="00132019" w:rsidP="0040090D">
            <w:pPr>
              <w:spacing w:after="0" w:line="240" w:lineRule="auto"/>
              <w:rPr>
                <w:rFonts w:ascii="Times New Roman" w:eastAsia="Times New Roman" w:hAnsi="Times New Roman" w:cs="Times New Roman"/>
                <w:color w:val="000000"/>
                <w:lang w:val="es-CR" w:eastAsia="es-CR"/>
              </w:rPr>
            </w:pPr>
            <w:r>
              <w:rPr>
                <w:rFonts w:ascii="Times New Roman" w:eastAsia="Times New Roman" w:hAnsi="Times New Roman" w:cs="Times New Roman"/>
                <w:color w:val="000000"/>
                <w:lang w:val="es-CR" w:eastAsia="es-CR"/>
              </w:rPr>
              <w:t>31</w:t>
            </w:r>
            <w:r w:rsidR="00B36C5B">
              <w:rPr>
                <w:rFonts w:ascii="Times New Roman" w:eastAsia="Times New Roman" w:hAnsi="Times New Roman" w:cs="Times New Roman"/>
                <w:color w:val="000000"/>
                <w:lang w:val="es-CR" w:eastAsia="es-CR"/>
              </w:rPr>
              <w:t xml:space="preserve"> de octubre </w:t>
            </w:r>
            <w:r w:rsidR="00C141E1" w:rsidRPr="002B039B">
              <w:rPr>
                <w:rFonts w:ascii="Times New Roman" w:eastAsia="Times New Roman" w:hAnsi="Times New Roman" w:cs="Times New Roman"/>
                <w:color w:val="000000"/>
                <w:lang w:val="es-CR" w:eastAsia="es-CR"/>
              </w:rPr>
              <w:t>2017</w:t>
            </w:r>
          </w:p>
        </w:tc>
        <w:tc>
          <w:tcPr>
            <w:tcW w:w="1299" w:type="dxa"/>
            <w:tcBorders>
              <w:top w:val="nil"/>
              <w:left w:val="nil"/>
              <w:bottom w:val="nil"/>
              <w:right w:val="nil"/>
            </w:tcBorders>
            <w:shd w:val="clear" w:color="auto" w:fill="auto"/>
            <w:noWrap/>
            <w:vAlign w:val="bottom"/>
            <w:hideMark/>
          </w:tcPr>
          <w:p w14:paraId="611756DD"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8,62</w:t>
            </w:r>
          </w:p>
        </w:tc>
        <w:tc>
          <w:tcPr>
            <w:tcW w:w="1197" w:type="dxa"/>
            <w:tcBorders>
              <w:top w:val="nil"/>
              <w:left w:val="nil"/>
              <w:bottom w:val="nil"/>
              <w:right w:val="nil"/>
            </w:tcBorders>
            <w:shd w:val="clear" w:color="auto" w:fill="auto"/>
            <w:noWrap/>
            <w:vAlign w:val="bottom"/>
            <w:hideMark/>
          </w:tcPr>
          <w:p w14:paraId="576C3E24"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9,97</w:t>
            </w:r>
          </w:p>
        </w:tc>
        <w:tc>
          <w:tcPr>
            <w:tcW w:w="1532" w:type="dxa"/>
            <w:tcBorders>
              <w:top w:val="nil"/>
              <w:left w:val="nil"/>
              <w:bottom w:val="nil"/>
              <w:right w:val="nil"/>
            </w:tcBorders>
            <w:shd w:val="clear" w:color="auto" w:fill="auto"/>
            <w:noWrap/>
            <w:vAlign w:val="bottom"/>
            <w:hideMark/>
          </w:tcPr>
          <w:p w14:paraId="6E98CD75"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8,81</w:t>
            </w:r>
          </w:p>
        </w:tc>
        <w:tc>
          <w:tcPr>
            <w:tcW w:w="1766" w:type="dxa"/>
            <w:tcBorders>
              <w:top w:val="nil"/>
              <w:left w:val="nil"/>
              <w:bottom w:val="nil"/>
              <w:right w:val="nil"/>
            </w:tcBorders>
            <w:shd w:val="clear" w:color="auto" w:fill="auto"/>
            <w:noWrap/>
            <w:vAlign w:val="bottom"/>
            <w:hideMark/>
          </w:tcPr>
          <w:p w14:paraId="770EEE4C"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12,19</w:t>
            </w:r>
          </w:p>
        </w:tc>
        <w:tc>
          <w:tcPr>
            <w:tcW w:w="1172" w:type="dxa"/>
            <w:tcBorders>
              <w:top w:val="nil"/>
              <w:left w:val="nil"/>
              <w:bottom w:val="nil"/>
              <w:right w:val="nil"/>
            </w:tcBorders>
            <w:shd w:val="clear" w:color="auto" w:fill="auto"/>
            <w:noWrap/>
            <w:vAlign w:val="bottom"/>
            <w:hideMark/>
          </w:tcPr>
          <w:p w14:paraId="12D8CFED"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6,33</w:t>
            </w:r>
          </w:p>
        </w:tc>
      </w:tr>
      <w:tr w:rsidR="00C141E1" w:rsidRPr="002B039B" w14:paraId="6B4D4737" w14:textId="77777777" w:rsidTr="00F82C3D">
        <w:trPr>
          <w:trHeight w:val="300"/>
        </w:trPr>
        <w:tc>
          <w:tcPr>
            <w:tcW w:w="2274" w:type="dxa"/>
            <w:tcBorders>
              <w:top w:val="nil"/>
              <w:left w:val="nil"/>
              <w:bottom w:val="nil"/>
              <w:right w:val="nil"/>
            </w:tcBorders>
            <w:shd w:val="clear" w:color="auto" w:fill="auto"/>
            <w:noWrap/>
            <w:vAlign w:val="bottom"/>
            <w:hideMark/>
          </w:tcPr>
          <w:p w14:paraId="70CA677D" w14:textId="6DEC0B8F" w:rsidR="00C141E1" w:rsidRPr="002B039B" w:rsidRDefault="00B36C5B" w:rsidP="0040090D">
            <w:pPr>
              <w:spacing w:after="0" w:line="240" w:lineRule="auto"/>
              <w:rPr>
                <w:rFonts w:ascii="Times New Roman" w:eastAsia="Times New Roman" w:hAnsi="Times New Roman" w:cs="Times New Roman"/>
                <w:color w:val="000000"/>
                <w:lang w:val="es-CR" w:eastAsia="es-CR"/>
              </w:rPr>
            </w:pPr>
            <w:r>
              <w:rPr>
                <w:rFonts w:ascii="Times New Roman" w:eastAsia="Times New Roman" w:hAnsi="Times New Roman" w:cs="Times New Roman"/>
                <w:color w:val="000000"/>
                <w:lang w:val="es-CR" w:eastAsia="es-CR"/>
              </w:rPr>
              <w:t xml:space="preserve">30 de noviembre </w:t>
            </w:r>
            <w:r w:rsidR="00C141E1" w:rsidRPr="002B039B">
              <w:rPr>
                <w:rFonts w:ascii="Times New Roman" w:eastAsia="Times New Roman" w:hAnsi="Times New Roman" w:cs="Times New Roman"/>
                <w:color w:val="000000"/>
                <w:lang w:val="es-CR" w:eastAsia="es-CR"/>
              </w:rPr>
              <w:t>2017</w:t>
            </w:r>
          </w:p>
        </w:tc>
        <w:tc>
          <w:tcPr>
            <w:tcW w:w="1299" w:type="dxa"/>
            <w:tcBorders>
              <w:top w:val="nil"/>
              <w:left w:val="nil"/>
              <w:bottom w:val="nil"/>
              <w:right w:val="nil"/>
            </w:tcBorders>
            <w:shd w:val="clear" w:color="auto" w:fill="auto"/>
            <w:noWrap/>
            <w:vAlign w:val="bottom"/>
            <w:hideMark/>
          </w:tcPr>
          <w:p w14:paraId="1FF10BCA"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8,54</w:t>
            </w:r>
          </w:p>
        </w:tc>
        <w:tc>
          <w:tcPr>
            <w:tcW w:w="1197" w:type="dxa"/>
            <w:tcBorders>
              <w:top w:val="nil"/>
              <w:left w:val="nil"/>
              <w:bottom w:val="nil"/>
              <w:right w:val="nil"/>
            </w:tcBorders>
            <w:shd w:val="clear" w:color="auto" w:fill="auto"/>
            <w:noWrap/>
            <w:vAlign w:val="bottom"/>
            <w:hideMark/>
          </w:tcPr>
          <w:p w14:paraId="7D5E1514"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9,55</w:t>
            </w:r>
          </w:p>
        </w:tc>
        <w:tc>
          <w:tcPr>
            <w:tcW w:w="1532" w:type="dxa"/>
            <w:tcBorders>
              <w:top w:val="nil"/>
              <w:left w:val="nil"/>
              <w:bottom w:val="nil"/>
              <w:right w:val="nil"/>
            </w:tcBorders>
            <w:shd w:val="clear" w:color="auto" w:fill="auto"/>
            <w:noWrap/>
            <w:vAlign w:val="bottom"/>
            <w:hideMark/>
          </w:tcPr>
          <w:p w14:paraId="1D5B9229"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8,82</w:t>
            </w:r>
          </w:p>
        </w:tc>
        <w:tc>
          <w:tcPr>
            <w:tcW w:w="1766" w:type="dxa"/>
            <w:tcBorders>
              <w:top w:val="nil"/>
              <w:left w:val="nil"/>
              <w:bottom w:val="nil"/>
              <w:right w:val="nil"/>
            </w:tcBorders>
            <w:shd w:val="clear" w:color="auto" w:fill="auto"/>
            <w:noWrap/>
            <w:vAlign w:val="bottom"/>
            <w:hideMark/>
          </w:tcPr>
          <w:p w14:paraId="5D02E5F7"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12,15</w:t>
            </w:r>
          </w:p>
        </w:tc>
        <w:tc>
          <w:tcPr>
            <w:tcW w:w="1172" w:type="dxa"/>
            <w:tcBorders>
              <w:top w:val="nil"/>
              <w:left w:val="nil"/>
              <w:bottom w:val="nil"/>
              <w:right w:val="nil"/>
            </w:tcBorders>
            <w:shd w:val="clear" w:color="auto" w:fill="auto"/>
            <w:noWrap/>
            <w:vAlign w:val="bottom"/>
            <w:hideMark/>
          </w:tcPr>
          <w:p w14:paraId="533D21FA"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6,35</w:t>
            </w:r>
          </w:p>
        </w:tc>
      </w:tr>
      <w:tr w:rsidR="00C141E1" w:rsidRPr="002B039B" w14:paraId="307A9BE2" w14:textId="77777777" w:rsidTr="00F82C3D">
        <w:trPr>
          <w:trHeight w:val="315"/>
        </w:trPr>
        <w:tc>
          <w:tcPr>
            <w:tcW w:w="2274" w:type="dxa"/>
            <w:tcBorders>
              <w:top w:val="nil"/>
              <w:left w:val="nil"/>
              <w:bottom w:val="single" w:sz="8" w:space="0" w:color="auto"/>
              <w:right w:val="nil"/>
            </w:tcBorders>
            <w:shd w:val="clear" w:color="auto" w:fill="auto"/>
            <w:noWrap/>
            <w:vAlign w:val="bottom"/>
            <w:hideMark/>
          </w:tcPr>
          <w:p w14:paraId="0EB1E931" w14:textId="352BF57A" w:rsidR="00C141E1" w:rsidRPr="002B039B" w:rsidRDefault="00132019" w:rsidP="0040090D">
            <w:pPr>
              <w:spacing w:after="0" w:line="240" w:lineRule="auto"/>
              <w:rPr>
                <w:rFonts w:ascii="Times New Roman" w:eastAsia="Times New Roman" w:hAnsi="Times New Roman" w:cs="Times New Roman"/>
                <w:color w:val="000000"/>
                <w:lang w:val="es-CR" w:eastAsia="es-CR"/>
              </w:rPr>
            </w:pPr>
            <w:r>
              <w:rPr>
                <w:rFonts w:ascii="Times New Roman" w:eastAsia="Times New Roman" w:hAnsi="Times New Roman" w:cs="Times New Roman"/>
                <w:color w:val="000000"/>
                <w:lang w:val="es-CR" w:eastAsia="es-CR"/>
              </w:rPr>
              <w:t>31</w:t>
            </w:r>
            <w:r w:rsidR="00B36C5B">
              <w:rPr>
                <w:rFonts w:ascii="Times New Roman" w:eastAsia="Times New Roman" w:hAnsi="Times New Roman" w:cs="Times New Roman"/>
                <w:color w:val="000000"/>
                <w:lang w:val="es-CR" w:eastAsia="es-CR"/>
              </w:rPr>
              <w:t xml:space="preserve"> de diciembre 2</w:t>
            </w:r>
            <w:r w:rsidR="00C141E1" w:rsidRPr="002B039B">
              <w:rPr>
                <w:rFonts w:ascii="Times New Roman" w:eastAsia="Times New Roman" w:hAnsi="Times New Roman" w:cs="Times New Roman"/>
                <w:color w:val="000000"/>
                <w:lang w:val="es-CR" w:eastAsia="es-CR"/>
              </w:rPr>
              <w:t>017</w:t>
            </w:r>
          </w:p>
        </w:tc>
        <w:tc>
          <w:tcPr>
            <w:tcW w:w="1299" w:type="dxa"/>
            <w:tcBorders>
              <w:top w:val="nil"/>
              <w:left w:val="nil"/>
              <w:bottom w:val="single" w:sz="8" w:space="0" w:color="auto"/>
              <w:right w:val="nil"/>
            </w:tcBorders>
            <w:shd w:val="clear" w:color="auto" w:fill="auto"/>
            <w:noWrap/>
            <w:vAlign w:val="bottom"/>
            <w:hideMark/>
          </w:tcPr>
          <w:p w14:paraId="5A4BB8F8"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8,53</w:t>
            </w:r>
          </w:p>
        </w:tc>
        <w:tc>
          <w:tcPr>
            <w:tcW w:w="1197" w:type="dxa"/>
            <w:tcBorders>
              <w:top w:val="nil"/>
              <w:left w:val="nil"/>
              <w:bottom w:val="single" w:sz="8" w:space="0" w:color="auto"/>
              <w:right w:val="nil"/>
            </w:tcBorders>
            <w:shd w:val="clear" w:color="auto" w:fill="auto"/>
            <w:noWrap/>
            <w:vAlign w:val="bottom"/>
            <w:hideMark/>
          </w:tcPr>
          <w:p w14:paraId="2603D677"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9,14</w:t>
            </w:r>
          </w:p>
        </w:tc>
        <w:tc>
          <w:tcPr>
            <w:tcW w:w="1532" w:type="dxa"/>
            <w:tcBorders>
              <w:top w:val="nil"/>
              <w:left w:val="nil"/>
              <w:bottom w:val="single" w:sz="8" w:space="0" w:color="auto"/>
              <w:right w:val="nil"/>
            </w:tcBorders>
            <w:shd w:val="clear" w:color="auto" w:fill="auto"/>
            <w:noWrap/>
            <w:vAlign w:val="bottom"/>
            <w:hideMark/>
          </w:tcPr>
          <w:p w14:paraId="7C475AEF"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8,89</w:t>
            </w:r>
          </w:p>
        </w:tc>
        <w:tc>
          <w:tcPr>
            <w:tcW w:w="1766" w:type="dxa"/>
            <w:tcBorders>
              <w:top w:val="nil"/>
              <w:left w:val="nil"/>
              <w:bottom w:val="single" w:sz="8" w:space="0" w:color="auto"/>
              <w:right w:val="nil"/>
            </w:tcBorders>
            <w:shd w:val="clear" w:color="auto" w:fill="auto"/>
            <w:noWrap/>
            <w:vAlign w:val="bottom"/>
            <w:hideMark/>
          </w:tcPr>
          <w:p w14:paraId="58787C82"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12,14</w:t>
            </w:r>
          </w:p>
        </w:tc>
        <w:tc>
          <w:tcPr>
            <w:tcW w:w="1172" w:type="dxa"/>
            <w:tcBorders>
              <w:top w:val="nil"/>
              <w:left w:val="nil"/>
              <w:bottom w:val="single" w:sz="8" w:space="0" w:color="auto"/>
              <w:right w:val="nil"/>
            </w:tcBorders>
            <w:shd w:val="clear" w:color="auto" w:fill="auto"/>
            <w:noWrap/>
            <w:vAlign w:val="bottom"/>
            <w:hideMark/>
          </w:tcPr>
          <w:p w14:paraId="214D6078" w14:textId="77777777" w:rsidR="00C141E1" w:rsidRPr="002B039B" w:rsidRDefault="00C141E1" w:rsidP="00B36C5B">
            <w:pPr>
              <w:spacing w:after="0" w:line="240" w:lineRule="auto"/>
              <w:jc w:val="right"/>
              <w:rPr>
                <w:rFonts w:ascii="Times New Roman" w:eastAsia="Times New Roman" w:hAnsi="Times New Roman" w:cs="Times New Roman"/>
                <w:color w:val="000000"/>
                <w:lang w:val="es-CR" w:eastAsia="es-CR"/>
              </w:rPr>
            </w:pPr>
            <w:r w:rsidRPr="002B039B">
              <w:rPr>
                <w:rFonts w:ascii="Times New Roman" w:eastAsia="Times New Roman" w:hAnsi="Times New Roman" w:cs="Times New Roman"/>
                <w:color w:val="000000"/>
                <w:lang w:val="es-CR" w:eastAsia="es-CR"/>
              </w:rPr>
              <w:t>6,49</w:t>
            </w:r>
          </w:p>
        </w:tc>
      </w:tr>
    </w:tbl>
    <w:p w14:paraId="3DF419B7" w14:textId="04312C1A" w:rsidR="00696871" w:rsidRPr="002B039B" w:rsidRDefault="00696871" w:rsidP="0040090D">
      <w:pPr>
        <w:spacing w:after="0"/>
        <w:rPr>
          <w:rFonts w:ascii="Times New Roman" w:hAnsi="Times New Roman" w:cs="Times New Roman"/>
        </w:rPr>
      </w:pPr>
    </w:p>
    <w:p w14:paraId="4F40EA74" w14:textId="482D5008" w:rsidR="003967D9" w:rsidRDefault="003967D9" w:rsidP="0040090D">
      <w:pPr>
        <w:spacing w:after="0"/>
        <w:rPr>
          <w:rFonts w:ascii="Times New Roman" w:hAnsi="Times New Roman" w:cs="Times New Roman"/>
          <w:lang w:val="es-CR"/>
        </w:rPr>
      </w:pPr>
    </w:p>
    <w:p w14:paraId="0D642BE2" w14:textId="77777777" w:rsidR="00DE7BF7" w:rsidRPr="002B039B" w:rsidRDefault="00DE7BF7" w:rsidP="0040090D">
      <w:pPr>
        <w:spacing w:after="0"/>
        <w:rPr>
          <w:rFonts w:ascii="Times New Roman" w:hAnsi="Times New Roman" w:cs="Times New Roman"/>
          <w:lang w:val="es-CR"/>
        </w:rPr>
      </w:pPr>
    </w:p>
    <w:p w14:paraId="693952A1" w14:textId="7BFE7BC3" w:rsidR="007E46D9" w:rsidRPr="003B7B9E" w:rsidRDefault="00832676" w:rsidP="003B7B9E">
      <w:pPr>
        <w:pStyle w:val="Ttulo1"/>
      </w:pPr>
      <w:bookmarkStart w:id="37" w:name="_Toc505348339"/>
      <w:bookmarkStart w:id="38" w:name="_Toc506207749"/>
      <w:bookmarkStart w:id="39" w:name="_Toc506212330"/>
      <w:bookmarkStart w:id="40" w:name="_Toc509221829"/>
      <w:r w:rsidRPr="003B7B9E">
        <w:t>Libre transferencia</w:t>
      </w:r>
      <w:bookmarkEnd w:id="37"/>
      <w:bookmarkEnd w:id="38"/>
      <w:bookmarkEnd w:id="39"/>
      <w:bookmarkEnd w:id="40"/>
    </w:p>
    <w:p w14:paraId="2F212091" w14:textId="64FF4E3B" w:rsidR="00467734" w:rsidRPr="00CF6ECF" w:rsidRDefault="00832676" w:rsidP="0040090D">
      <w:pPr>
        <w:pStyle w:val="Prrafodelista"/>
        <w:numPr>
          <w:ilvl w:val="0"/>
          <w:numId w:val="4"/>
        </w:numPr>
        <w:spacing w:after="0"/>
        <w:ind w:left="0"/>
        <w:jc w:val="both"/>
        <w:rPr>
          <w:rFonts w:ascii="Times New Roman" w:hAnsi="Times New Roman" w:cs="Times New Roman"/>
        </w:rPr>
      </w:pPr>
      <w:r w:rsidRPr="002B039B">
        <w:rPr>
          <w:rFonts w:ascii="Times New Roman" w:hAnsi="Times New Roman" w:cs="Times New Roman"/>
        </w:rPr>
        <w:t xml:space="preserve">La libre </w:t>
      </w:r>
      <w:r w:rsidRPr="002B039B">
        <w:rPr>
          <w:rFonts w:ascii="Times New Roman" w:hAnsi="Times New Roman" w:cs="Times New Roman"/>
          <w:lang w:val="es-CR"/>
        </w:rPr>
        <w:t>transferencia</w:t>
      </w:r>
      <w:r w:rsidRPr="002B039B">
        <w:rPr>
          <w:rFonts w:ascii="Times New Roman" w:hAnsi="Times New Roman" w:cs="Times New Roman"/>
        </w:rPr>
        <w:t xml:space="preserve"> </w:t>
      </w:r>
      <w:r w:rsidR="00337483" w:rsidRPr="002B039B">
        <w:rPr>
          <w:rFonts w:ascii="Times New Roman" w:hAnsi="Times New Roman" w:cs="Times New Roman"/>
        </w:rPr>
        <w:t>ha</w:t>
      </w:r>
      <w:r w:rsidRPr="002B039B">
        <w:rPr>
          <w:rFonts w:ascii="Times New Roman" w:hAnsi="Times New Roman" w:cs="Times New Roman"/>
        </w:rPr>
        <w:t xml:space="preserve"> </w:t>
      </w:r>
      <w:r w:rsidR="00337483" w:rsidRPr="002B039B">
        <w:rPr>
          <w:rFonts w:ascii="Times New Roman" w:hAnsi="Times New Roman" w:cs="Times New Roman"/>
        </w:rPr>
        <w:t>aumentado</w:t>
      </w:r>
      <w:r w:rsidRPr="002B039B">
        <w:rPr>
          <w:rFonts w:ascii="Times New Roman" w:hAnsi="Times New Roman" w:cs="Times New Roman"/>
        </w:rPr>
        <w:t xml:space="preserve"> </w:t>
      </w:r>
      <w:r w:rsidR="00337483" w:rsidRPr="002B039B">
        <w:rPr>
          <w:rFonts w:ascii="Times New Roman" w:hAnsi="Times New Roman" w:cs="Times New Roman"/>
        </w:rPr>
        <w:t xml:space="preserve">y ha alcanzado los 60.000 movimientos al año. Aun así, el monto se mantiene muy por debajo </w:t>
      </w:r>
      <w:r w:rsidR="00773AFC">
        <w:rPr>
          <w:rFonts w:ascii="Times New Roman" w:hAnsi="Times New Roman" w:cs="Times New Roman"/>
        </w:rPr>
        <w:t>de la cantidad</w:t>
      </w:r>
      <w:r w:rsidR="00337483" w:rsidRPr="002B039B">
        <w:rPr>
          <w:rFonts w:ascii="Times New Roman" w:hAnsi="Times New Roman" w:cs="Times New Roman"/>
        </w:rPr>
        <w:t xml:space="preserve"> de movimientos observados antes del 2013</w:t>
      </w:r>
      <w:r w:rsidR="00266605">
        <w:rPr>
          <w:rFonts w:ascii="Times New Roman" w:hAnsi="Times New Roman" w:cs="Times New Roman"/>
        </w:rPr>
        <w:t>.</w:t>
      </w:r>
      <w:r w:rsidR="00332150" w:rsidRPr="002B039B">
        <w:rPr>
          <w:rFonts w:ascii="Times New Roman" w:hAnsi="Times New Roman" w:cs="Times New Roman"/>
        </w:rPr>
        <w:t xml:space="preserve"> </w:t>
      </w:r>
      <w:r w:rsidR="00337483" w:rsidRPr="002B039B">
        <w:rPr>
          <w:rFonts w:ascii="Times New Roman" w:hAnsi="Times New Roman" w:cs="Times New Roman"/>
        </w:rPr>
        <w:t xml:space="preserve"> </w:t>
      </w:r>
    </w:p>
    <w:p w14:paraId="248FC39A" w14:textId="77777777" w:rsidR="003B7B9E" w:rsidRDefault="003B7B9E" w:rsidP="0040090D">
      <w:pPr>
        <w:spacing w:after="0"/>
        <w:jc w:val="both"/>
        <w:rPr>
          <w:rFonts w:ascii="Times New Roman" w:hAnsi="Times New Roman" w:cs="Times New Roman"/>
        </w:rPr>
      </w:pPr>
    </w:p>
    <w:p w14:paraId="60F34253" w14:textId="77777777" w:rsidR="00467734" w:rsidRPr="002B039B" w:rsidRDefault="00467734" w:rsidP="0040090D">
      <w:pPr>
        <w:spacing w:after="0"/>
        <w:jc w:val="both"/>
        <w:rPr>
          <w:rFonts w:ascii="Times New Roman" w:hAnsi="Times New Roman" w:cs="Times New Roman"/>
        </w:rPr>
      </w:pPr>
    </w:p>
    <w:p w14:paraId="19ABE434" w14:textId="0C76F225" w:rsidR="00CF73B8" w:rsidRPr="002B039B" w:rsidRDefault="00CF73B8" w:rsidP="0040090D">
      <w:pPr>
        <w:spacing w:after="0"/>
        <w:rPr>
          <w:rFonts w:ascii="Times New Roman" w:hAnsi="Times New Roman" w:cs="Times New Roman"/>
          <w:b/>
          <w:bCs/>
        </w:rPr>
      </w:pPr>
      <w:r w:rsidRPr="002B039B">
        <w:rPr>
          <w:rFonts w:ascii="Times New Roman" w:hAnsi="Times New Roman" w:cs="Times New Roman"/>
          <w:b/>
          <w:bCs/>
        </w:rPr>
        <w:t xml:space="preserve">                                                                                  </w:t>
      </w:r>
      <w:r w:rsidR="00AD4CF4">
        <w:rPr>
          <w:rFonts w:ascii="Times New Roman" w:hAnsi="Times New Roman" w:cs="Times New Roman"/>
          <w:b/>
          <w:bCs/>
          <w:sz w:val="24"/>
        </w:rPr>
        <w:t>Gráfico 6</w:t>
      </w:r>
    </w:p>
    <w:p w14:paraId="7F8EF1F4" w14:textId="647F50D7" w:rsidR="00D01515" w:rsidRPr="002B039B" w:rsidRDefault="006B14AD" w:rsidP="0040090D">
      <w:pPr>
        <w:pStyle w:val="Prrafodelista"/>
        <w:spacing w:after="0"/>
        <w:ind w:left="0"/>
        <w:jc w:val="center"/>
        <w:rPr>
          <w:rFonts w:ascii="Times New Roman" w:hAnsi="Times New Roman" w:cs="Times New Roman"/>
        </w:rPr>
      </w:pPr>
      <w:r w:rsidRPr="006B14AD">
        <w:rPr>
          <w:noProof/>
        </w:rPr>
        <w:drawing>
          <wp:inline distT="0" distB="0" distL="0" distR="0" wp14:anchorId="034D4205" wp14:editId="39D1258E">
            <wp:extent cx="6390640" cy="403034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90640" cy="4030345"/>
                    </a:xfrm>
                    <a:prstGeom prst="rect">
                      <a:avLst/>
                    </a:prstGeom>
                  </pic:spPr>
                </pic:pic>
              </a:graphicData>
            </a:graphic>
          </wp:inline>
        </w:drawing>
      </w:r>
    </w:p>
    <w:p w14:paraId="6BABA3E7" w14:textId="29D59DF6" w:rsidR="00BB05B1" w:rsidRDefault="00BB05B1" w:rsidP="0040090D">
      <w:pPr>
        <w:pStyle w:val="Prrafodelista"/>
        <w:spacing w:after="0"/>
        <w:ind w:left="0"/>
        <w:jc w:val="both"/>
        <w:rPr>
          <w:rFonts w:ascii="Times New Roman" w:hAnsi="Times New Roman" w:cs="Times New Roman"/>
        </w:rPr>
      </w:pPr>
    </w:p>
    <w:p w14:paraId="0319AE27" w14:textId="52574AD8" w:rsidR="00467734" w:rsidRPr="002B039B" w:rsidRDefault="00467734" w:rsidP="0040090D">
      <w:pPr>
        <w:pStyle w:val="Prrafodelista"/>
        <w:spacing w:after="0"/>
        <w:ind w:left="0"/>
        <w:jc w:val="both"/>
        <w:rPr>
          <w:rFonts w:ascii="Times New Roman" w:hAnsi="Times New Roman" w:cs="Times New Roman"/>
        </w:rPr>
      </w:pPr>
    </w:p>
    <w:p w14:paraId="158811F9" w14:textId="154BF6A5" w:rsidR="00E90C61" w:rsidRPr="002B039B" w:rsidRDefault="00E90C61" w:rsidP="0040090D">
      <w:pPr>
        <w:pStyle w:val="Prrafodelista"/>
        <w:spacing w:after="0"/>
        <w:ind w:left="0"/>
        <w:jc w:val="both"/>
        <w:rPr>
          <w:rFonts w:ascii="Times New Roman" w:hAnsi="Times New Roman" w:cs="Times New Roman"/>
        </w:rPr>
      </w:pPr>
      <w:bookmarkStart w:id="41" w:name="_Toc505348340"/>
      <w:bookmarkStart w:id="42" w:name="_Toc506207750"/>
      <w:bookmarkStart w:id="43" w:name="_Toc506212331"/>
    </w:p>
    <w:p w14:paraId="528EA7ED" w14:textId="421EBDAD" w:rsidR="00467734" w:rsidRPr="00467734" w:rsidRDefault="00764214" w:rsidP="003B7B9E">
      <w:pPr>
        <w:pStyle w:val="Ttulo1"/>
      </w:pPr>
      <w:bookmarkStart w:id="44" w:name="_Toc505348341"/>
      <w:bookmarkStart w:id="45" w:name="_Toc506207751"/>
      <w:bookmarkStart w:id="46" w:name="_Toc506212332"/>
      <w:bookmarkStart w:id="47" w:name="_Toc509221830"/>
      <w:bookmarkEnd w:id="41"/>
      <w:bookmarkEnd w:id="42"/>
      <w:bookmarkEnd w:id="43"/>
      <w:r w:rsidRPr="002B039B">
        <w:t>Pensionados</w:t>
      </w:r>
      <w:bookmarkEnd w:id="44"/>
      <w:bookmarkEnd w:id="45"/>
      <w:bookmarkEnd w:id="46"/>
      <w:bookmarkEnd w:id="47"/>
      <w:r w:rsidRPr="002B039B">
        <w:t xml:space="preserve"> </w:t>
      </w:r>
    </w:p>
    <w:p w14:paraId="0A7B94D1" w14:textId="580D5935" w:rsidR="000D1F7E" w:rsidRPr="003B7B9E" w:rsidRDefault="000D1F7E" w:rsidP="003B7B9E">
      <w:pPr>
        <w:pStyle w:val="Ttulo2"/>
      </w:pPr>
      <w:bookmarkStart w:id="48" w:name="_Toc505348342"/>
      <w:bookmarkStart w:id="49" w:name="_Toc506207752"/>
      <w:bookmarkStart w:id="50" w:name="_Toc506212333"/>
      <w:bookmarkStart w:id="51" w:name="_Toc509221831"/>
      <w:r w:rsidRPr="003B7B9E">
        <w:t xml:space="preserve">Pensionados </w:t>
      </w:r>
      <w:r w:rsidR="00083E97" w:rsidRPr="003B7B9E">
        <w:t>ROP</w:t>
      </w:r>
      <w:bookmarkEnd w:id="48"/>
      <w:bookmarkEnd w:id="49"/>
      <w:bookmarkEnd w:id="50"/>
      <w:bookmarkEnd w:id="51"/>
    </w:p>
    <w:p w14:paraId="6E40CBE0" w14:textId="1B0E0816" w:rsidR="000D1F7E" w:rsidRDefault="004D459E" w:rsidP="0040090D">
      <w:pPr>
        <w:pStyle w:val="Prrafodelista"/>
        <w:numPr>
          <w:ilvl w:val="0"/>
          <w:numId w:val="4"/>
        </w:numPr>
        <w:spacing w:after="0"/>
        <w:ind w:left="0"/>
        <w:jc w:val="both"/>
        <w:rPr>
          <w:rFonts w:ascii="Times New Roman" w:hAnsi="Times New Roman" w:cs="Times New Roman"/>
        </w:rPr>
      </w:pPr>
      <w:r w:rsidRPr="002B039B">
        <w:rPr>
          <w:rFonts w:ascii="Times New Roman" w:hAnsi="Times New Roman" w:cs="Times New Roman"/>
        </w:rPr>
        <w:t xml:space="preserve">El número de pensionados </w:t>
      </w:r>
      <w:r w:rsidR="00661B82" w:rsidRPr="002B039B">
        <w:rPr>
          <w:rFonts w:ascii="Times New Roman" w:hAnsi="Times New Roman" w:cs="Times New Roman"/>
        </w:rPr>
        <w:t xml:space="preserve">ha venido aumentando año a año. </w:t>
      </w:r>
      <w:r w:rsidR="004E1415" w:rsidRPr="002B039B">
        <w:rPr>
          <w:rFonts w:ascii="Times New Roman" w:hAnsi="Times New Roman" w:cs="Times New Roman"/>
        </w:rPr>
        <w:t xml:space="preserve">Se presentan las tres categorías: retiro total, retiro programado y retiro permanente. </w:t>
      </w:r>
    </w:p>
    <w:p w14:paraId="0458EDB1" w14:textId="77777777" w:rsidR="000F3F65" w:rsidRPr="002B039B" w:rsidRDefault="000F3F65" w:rsidP="000F3F65">
      <w:pPr>
        <w:pStyle w:val="Prrafodelista"/>
        <w:spacing w:after="0"/>
        <w:ind w:left="0"/>
        <w:jc w:val="both"/>
        <w:rPr>
          <w:rFonts w:ascii="Times New Roman" w:hAnsi="Times New Roman" w:cs="Times New Roman"/>
        </w:rPr>
      </w:pPr>
    </w:p>
    <w:p w14:paraId="3E5778CC" w14:textId="29CD26D7" w:rsidR="004E1415" w:rsidRDefault="004E1415" w:rsidP="0040090D">
      <w:pPr>
        <w:pStyle w:val="Prrafodelista"/>
        <w:numPr>
          <w:ilvl w:val="0"/>
          <w:numId w:val="4"/>
        </w:numPr>
        <w:spacing w:after="0"/>
        <w:ind w:left="0"/>
        <w:jc w:val="both"/>
        <w:rPr>
          <w:rFonts w:ascii="Times New Roman" w:hAnsi="Times New Roman" w:cs="Times New Roman"/>
        </w:rPr>
      </w:pPr>
      <w:r w:rsidRPr="002B039B">
        <w:rPr>
          <w:rFonts w:ascii="Times New Roman" w:hAnsi="Times New Roman" w:cs="Times New Roman"/>
        </w:rPr>
        <w:t>El primer tipo de retiro alcanzó en el último año los 13</w:t>
      </w:r>
      <w:r w:rsidR="00E90C61">
        <w:rPr>
          <w:rFonts w:ascii="Times New Roman" w:hAnsi="Times New Roman" w:cs="Times New Roman"/>
        </w:rPr>
        <w:t xml:space="preserve"> </w:t>
      </w:r>
      <w:r w:rsidRPr="002B039B">
        <w:rPr>
          <w:rFonts w:ascii="Times New Roman" w:hAnsi="Times New Roman" w:cs="Times New Roman"/>
        </w:rPr>
        <w:t>440</w:t>
      </w:r>
      <w:r w:rsidR="00D168F4" w:rsidRPr="002B039B">
        <w:rPr>
          <w:rFonts w:ascii="Times New Roman" w:hAnsi="Times New Roman" w:cs="Times New Roman"/>
        </w:rPr>
        <w:t xml:space="preserve"> pensionados, un 5,36% más que </w:t>
      </w:r>
      <w:r w:rsidR="005A06F3">
        <w:rPr>
          <w:rFonts w:ascii="Times New Roman" w:hAnsi="Times New Roman" w:cs="Times New Roman"/>
        </w:rPr>
        <w:t xml:space="preserve">durante </w:t>
      </w:r>
      <w:r w:rsidRPr="002B039B">
        <w:rPr>
          <w:rFonts w:ascii="Times New Roman" w:hAnsi="Times New Roman" w:cs="Times New Roman"/>
        </w:rPr>
        <w:t>el 2016.</w:t>
      </w:r>
    </w:p>
    <w:p w14:paraId="5575D209" w14:textId="77777777" w:rsidR="000F3F65" w:rsidRPr="000F3F65" w:rsidRDefault="000F3F65" w:rsidP="000F3F65">
      <w:pPr>
        <w:pStyle w:val="Prrafodelista"/>
        <w:rPr>
          <w:rFonts w:ascii="Times New Roman" w:hAnsi="Times New Roman" w:cs="Times New Roman"/>
        </w:rPr>
      </w:pPr>
    </w:p>
    <w:p w14:paraId="190DA638" w14:textId="364B87BD" w:rsidR="004E1415" w:rsidRDefault="00B14592" w:rsidP="0040090D">
      <w:pPr>
        <w:pStyle w:val="Prrafodelista"/>
        <w:numPr>
          <w:ilvl w:val="0"/>
          <w:numId w:val="4"/>
        </w:numPr>
        <w:spacing w:after="0"/>
        <w:ind w:left="0"/>
        <w:jc w:val="both"/>
        <w:rPr>
          <w:rFonts w:ascii="Times New Roman" w:hAnsi="Times New Roman" w:cs="Times New Roman"/>
        </w:rPr>
      </w:pPr>
      <w:r w:rsidRPr="002B039B">
        <w:rPr>
          <w:rFonts w:ascii="Times New Roman" w:hAnsi="Times New Roman" w:cs="Times New Roman"/>
        </w:rPr>
        <w:t xml:space="preserve">Los </w:t>
      </w:r>
      <w:r w:rsidR="005A06F3">
        <w:rPr>
          <w:rFonts w:ascii="Times New Roman" w:hAnsi="Times New Roman" w:cs="Times New Roman"/>
        </w:rPr>
        <w:t>retiros programados crecieron 1,</w:t>
      </w:r>
      <w:r w:rsidRPr="002B039B">
        <w:rPr>
          <w:rFonts w:ascii="Times New Roman" w:hAnsi="Times New Roman" w:cs="Times New Roman"/>
        </w:rPr>
        <w:t>55 veces con res</w:t>
      </w:r>
      <w:r w:rsidR="005A06F3">
        <w:rPr>
          <w:rFonts w:ascii="Times New Roman" w:hAnsi="Times New Roman" w:cs="Times New Roman"/>
        </w:rPr>
        <w:t xml:space="preserve">pecto al 2016, alcanzando los 1 </w:t>
      </w:r>
      <w:r w:rsidR="00D168F4" w:rsidRPr="002B039B">
        <w:rPr>
          <w:rFonts w:ascii="Times New Roman" w:hAnsi="Times New Roman" w:cs="Times New Roman"/>
        </w:rPr>
        <w:t>4</w:t>
      </w:r>
      <w:r w:rsidRPr="002B039B">
        <w:rPr>
          <w:rFonts w:ascii="Times New Roman" w:hAnsi="Times New Roman" w:cs="Times New Roman"/>
        </w:rPr>
        <w:t xml:space="preserve">49 retiros en esta modalidad. Por su parte, </w:t>
      </w:r>
      <w:r w:rsidR="00CF37EE" w:rsidRPr="002B039B">
        <w:rPr>
          <w:rFonts w:ascii="Times New Roman" w:hAnsi="Times New Roman" w:cs="Times New Roman"/>
        </w:rPr>
        <w:t>la renta perman</w:t>
      </w:r>
      <w:r w:rsidR="005A06F3">
        <w:rPr>
          <w:rFonts w:ascii="Times New Roman" w:hAnsi="Times New Roman" w:cs="Times New Roman"/>
        </w:rPr>
        <w:t>ente creció 55%</w:t>
      </w:r>
      <w:r w:rsidR="00EA23E8">
        <w:rPr>
          <w:rFonts w:ascii="Times New Roman" w:hAnsi="Times New Roman" w:cs="Times New Roman"/>
        </w:rPr>
        <w:t>, totalizando</w:t>
      </w:r>
      <w:r w:rsidR="005A06F3">
        <w:rPr>
          <w:rFonts w:ascii="Times New Roman" w:hAnsi="Times New Roman" w:cs="Times New Roman"/>
        </w:rPr>
        <w:t xml:space="preserve"> 1 </w:t>
      </w:r>
      <w:r w:rsidR="00CF37EE" w:rsidRPr="002B039B">
        <w:rPr>
          <w:rFonts w:ascii="Times New Roman" w:hAnsi="Times New Roman" w:cs="Times New Roman"/>
        </w:rPr>
        <w:t xml:space="preserve">524 </w:t>
      </w:r>
      <w:r w:rsidR="00807EDD">
        <w:rPr>
          <w:rFonts w:ascii="Times New Roman" w:hAnsi="Times New Roman" w:cs="Times New Roman"/>
        </w:rPr>
        <w:t>pensionados.</w:t>
      </w:r>
    </w:p>
    <w:p w14:paraId="41C46E6E" w14:textId="02E7CC1D" w:rsidR="00807EDD" w:rsidRDefault="00807EDD" w:rsidP="00807EDD">
      <w:pPr>
        <w:pStyle w:val="Prrafodelista"/>
        <w:spacing w:after="0"/>
        <w:ind w:left="0"/>
        <w:jc w:val="both"/>
        <w:rPr>
          <w:rFonts w:ascii="Times New Roman" w:hAnsi="Times New Roman" w:cs="Times New Roman"/>
        </w:rPr>
      </w:pPr>
    </w:p>
    <w:p w14:paraId="00D44231" w14:textId="34CB7498" w:rsidR="000F3F65" w:rsidRDefault="000F3F65" w:rsidP="00807EDD">
      <w:pPr>
        <w:pStyle w:val="Prrafodelista"/>
        <w:spacing w:after="0"/>
        <w:ind w:left="0"/>
        <w:jc w:val="both"/>
        <w:rPr>
          <w:rFonts w:ascii="Times New Roman" w:hAnsi="Times New Roman" w:cs="Times New Roman"/>
        </w:rPr>
      </w:pPr>
    </w:p>
    <w:p w14:paraId="7C44C5A7" w14:textId="48C4BABD" w:rsidR="00997E39" w:rsidRDefault="00997E39" w:rsidP="00807EDD">
      <w:pPr>
        <w:pStyle w:val="Prrafodelista"/>
        <w:spacing w:after="0"/>
        <w:ind w:left="0"/>
        <w:jc w:val="both"/>
        <w:rPr>
          <w:rFonts w:ascii="Times New Roman" w:hAnsi="Times New Roman" w:cs="Times New Roman"/>
        </w:rPr>
      </w:pPr>
    </w:p>
    <w:p w14:paraId="3E3CBFC6" w14:textId="77777777" w:rsidR="00997E39" w:rsidRDefault="00997E39" w:rsidP="00807EDD">
      <w:pPr>
        <w:pStyle w:val="Prrafodelista"/>
        <w:spacing w:after="0"/>
        <w:ind w:left="0"/>
        <w:jc w:val="both"/>
        <w:rPr>
          <w:rFonts w:ascii="Times New Roman" w:hAnsi="Times New Roman" w:cs="Times New Roman"/>
        </w:rPr>
      </w:pPr>
    </w:p>
    <w:p w14:paraId="43D58289" w14:textId="23B83A67" w:rsidR="00CF73B8" w:rsidRPr="002B039B" w:rsidRDefault="00CF73B8" w:rsidP="0040090D">
      <w:pPr>
        <w:spacing w:after="0"/>
        <w:jc w:val="center"/>
        <w:rPr>
          <w:rFonts w:ascii="Times New Roman" w:hAnsi="Times New Roman" w:cs="Times New Roman"/>
          <w:b/>
          <w:bCs/>
        </w:rPr>
      </w:pPr>
      <w:r w:rsidRPr="002B039B">
        <w:rPr>
          <w:rFonts w:ascii="Times New Roman" w:hAnsi="Times New Roman" w:cs="Times New Roman"/>
          <w:b/>
          <w:bCs/>
        </w:rPr>
        <w:t xml:space="preserve">Cuadro </w:t>
      </w:r>
      <w:r w:rsidR="00FF5D52">
        <w:rPr>
          <w:rFonts w:ascii="Times New Roman" w:hAnsi="Times New Roman" w:cs="Times New Roman"/>
          <w:b/>
          <w:bCs/>
        </w:rPr>
        <w:t>8</w:t>
      </w:r>
      <w:r w:rsidRPr="002B039B">
        <w:rPr>
          <w:rFonts w:ascii="Times New Roman" w:hAnsi="Times New Roman" w:cs="Times New Roman"/>
          <w:b/>
          <w:bCs/>
        </w:rPr>
        <w:t>:</w:t>
      </w:r>
    </w:p>
    <w:p w14:paraId="70FDAAD1" w14:textId="1F801441" w:rsidR="00CF73B8" w:rsidRPr="002B039B" w:rsidRDefault="00CF73B8" w:rsidP="0040090D">
      <w:pPr>
        <w:spacing w:after="0"/>
        <w:jc w:val="center"/>
        <w:rPr>
          <w:rFonts w:ascii="Times New Roman" w:hAnsi="Times New Roman" w:cs="Times New Roman"/>
          <w:b/>
          <w:bCs/>
        </w:rPr>
      </w:pPr>
      <w:r w:rsidRPr="002B039B">
        <w:rPr>
          <w:rFonts w:ascii="Times New Roman" w:hAnsi="Times New Roman" w:cs="Times New Roman"/>
          <w:b/>
          <w:bCs/>
        </w:rPr>
        <w:t>Pensionados del ROP</w:t>
      </w:r>
    </w:p>
    <w:p w14:paraId="2D065C4F" w14:textId="74B600F0" w:rsidR="00650060" w:rsidRPr="002B039B" w:rsidRDefault="00C937FF" w:rsidP="0040090D">
      <w:pPr>
        <w:spacing w:after="0"/>
        <w:rPr>
          <w:rFonts w:ascii="Times New Roman" w:hAnsi="Times New Roman" w:cs="Times New Roman"/>
          <w:sz w:val="24"/>
        </w:rPr>
      </w:pPr>
      <w:r w:rsidRPr="00C937FF">
        <w:rPr>
          <w:noProof/>
        </w:rPr>
        <w:drawing>
          <wp:inline distT="0" distB="0" distL="0" distR="0" wp14:anchorId="7D70B771" wp14:editId="2251F44C">
            <wp:extent cx="6390640" cy="233249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0640" cy="2332495"/>
                    </a:xfrm>
                    <a:prstGeom prst="rect">
                      <a:avLst/>
                    </a:prstGeom>
                    <a:noFill/>
                    <a:ln>
                      <a:noFill/>
                    </a:ln>
                  </pic:spPr>
                </pic:pic>
              </a:graphicData>
            </a:graphic>
          </wp:inline>
        </w:drawing>
      </w:r>
    </w:p>
    <w:p w14:paraId="6FC50AEA" w14:textId="10BE1DE4" w:rsidR="00764214" w:rsidRPr="002B039B" w:rsidRDefault="00764214" w:rsidP="0040090D">
      <w:pPr>
        <w:spacing w:after="0"/>
        <w:rPr>
          <w:rFonts w:ascii="Times New Roman" w:hAnsi="Times New Roman" w:cs="Times New Roman"/>
          <w:sz w:val="24"/>
        </w:rPr>
      </w:pPr>
    </w:p>
    <w:p w14:paraId="688D692D" w14:textId="06273702" w:rsidR="00083E97" w:rsidRPr="003B7B9E" w:rsidRDefault="00083E97" w:rsidP="003B7B9E">
      <w:pPr>
        <w:pStyle w:val="Ttulo2"/>
      </w:pPr>
      <w:bookmarkStart w:id="52" w:name="_Toc505348343"/>
      <w:bookmarkStart w:id="53" w:name="_Toc506207753"/>
      <w:bookmarkStart w:id="54" w:name="_Toc506212334"/>
      <w:bookmarkStart w:id="55" w:name="_Toc509221832"/>
      <w:r w:rsidRPr="003B7B9E">
        <w:t>Pensiones regímenes básicos especiales mayores a 1,5 millones de colones</w:t>
      </w:r>
      <w:bookmarkEnd w:id="52"/>
      <w:bookmarkEnd w:id="53"/>
      <w:bookmarkEnd w:id="54"/>
      <w:bookmarkEnd w:id="55"/>
    </w:p>
    <w:p w14:paraId="5F866A43" w14:textId="77777777" w:rsidR="00C57C7D" w:rsidRDefault="00083E97" w:rsidP="0099447B">
      <w:pPr>
        <w:pStyle w:val="Prrafodelista"/>
        <w:numPr>
          <w:ilvl w:val="0"/>
          <w:numId w:val="4"/>
        </w:numPr>
        <w:spacing w:after="0"/>
        <w:ind w:left="0"/>
        <w:jc w:val="both"/>
        <w:rPr>
          <w:rFonts w:ascii="Times New Roman" w:hAnsi="Times New Roman" w:cs="Times New Roman"/>
        </w:rPr>
      </w:pPr>
      <w:r w:rsidRPr="00625525">
        <w:rPr>
          <w:rFonts w:ascii="Times New Roman" w:hAnsi="Times New Roman" w:cs="Times New Roman"/>
        </w:rPr>
        <w:t>En los regímenes básicos especia</w:t>
      </w:r>
      <w:r w:rsidR="00A6718E" w:rsidRPr="00625525">
        <w:rPr>
          <w:rFonts w:ascii="Times New Roman" w:hAnsi="Times New Roman" w:cs="Times New Roman"/>
        </w:rPr>
        <w:t>les (para pensiones mayores a 1,5 millones de colones mensuales</w:t>
      </w:r>
      <w:r w:rsidRPr="00625525">
        <w:rPr>
          <w:rFonts w:ascii="Times New Roman" w:hAnsi="Times New Roman" w:cs="Times New Roman"/>
        </w:rPr>
        <w:t>), se presenta una concentración en las pensiones de 2 millones</w:t>
      </w:r>
      <w:r w:rsidR="00C57C7D">
        <w:rPr>
          <w:rFonts w:ascii="Times New Roman" w:hAnsi="Times New Roman" w:cs="Times New Roman"/>
        </w:rPr>
        <w:t>.</w:t>
      </w:r>
    </w:p>
    <w:p w14:paraId="10DF46D7" w14:textId="5FEEFB2E" w:rsidR="001813D4" w:rsidRPr="00625525" w:rsidRDefault="00A6718E" w:rsidP="00C57C7D">
      <w:pPr>
        <w:pStyle w:val="Prrafodelista"/>
        <w:spacing w:after="0"/>
        <w:ind w:left="0"/>
        <w:jc w:val="both"/>
        <w:rPr>
          <w:rFonts w:ascii="Times New Roman" w:hAnsi="Times New Roman" w:cs="Times New Roman"/>
        </w:rPr>
      </w:pPr>
      <w:r w:rsidRPr="00625525">
        <w:rPr>
          <w:rFonts w:ascii="Times New Roman" w:hAnsi="Times New Roman" w:cs="Times New Roman"/>
        </w:rPr>
        <w:t>En el caso del Magisterio Nacional</w:t>
      </w:r>
      <w:r w:rsidR="00625525" w:rsidRPr="00625525">
        <w:rPr>
          <w:rFonts w:ascii="Times New Roman" w:hAnsi="Times New Roman" w:cs="Times New Roman"/>
        </w:rPr>
        <w:t xml:space="preserve"> </w:t>
      </w:r>
      <w:r w:rsidR="00083E97" w:rsidRPr="00625525">
        <w:rPr>
          <w:rFonts w:ascii="Times New Roman" w:hAnsi="Times New Roman" w:cs="Times New Roman"/>
        </w:rPr>
        <w:t xml:space="preserve">el monto promedio </w:t>
      </w:r>
      <w:r w:rsidR="00625525" w:rsidRPr="00625525">
        <w:rPr>
          <w:rFonts w:ascii="Times New Roman" w:hAnsi="Times New Roman" w:cs="Times New Roman"/>
        </w:rPr>
        <w:t>alcanzó</w:t>
      </w:r>
      <w:r w:rsidRPr="00625525">
        <w:rPr>
          <w:rFonts w:ascii="Times New Roman" w:hAnsi="Times New Roman" w:cs="Times New Roman"/>
        </w:rPr>
        <w:t xml:space="preserve"> 2,</w:t>
      </w:r>
      <w:r w:rsidR="00083E97" w:rsidRPr="00625525">
        <w:rPr>
          <w:rFonts w:ascii="Times New Roman" w:hAnsi="Times New Roman" w:cs="Times New Roman"/>
        </w:rPr>
        <w:t>4 millones</w:t>
      </w:r>
      <w:r w:rsidR="00625525" w:rsidRPr="00625525">
        <w:rPr>
          <w:rFonts w:ascii="Times New Roman" w:hAnsi="Times New Roman" w:cs="Times New Roman"/>
        </w:rPr>
        <w:t xml:space="preserve"> de colones.</w:t>
      </w:r>
    </w:p>
    <w:p w14:paraId="14F2E908" w14:textId="0056289B" w:rsidR="001813D4" w:rsidRDefault="001813D4" w:rsidP="001813D4">
      <w:pPr>
        <w:spacing w:after="0"/>
        <w:jc w:val="both"/>
        <w:rPr>
          <w:rFonts w:ascii="Times New Roman" w:hAnsi="Times New Roman" w:cs="Times New Roman"/>
        </w:rPr>
      </w:pPr>
    </w:p>
    <w:p w14:paraId="04608320" w14:textId="5D89F3A5" w:rsidR="001813D4" w:rsidRDefault="001813D4" w:rsidP="001813D4">
      <w:pPr>
        <w:spacing w:after="0"/>
        <w:jc w:val="both"/>
        <w:rPr>
          <w:rFonts w:ascii="Times New Roman" w:hAnsi="Times New Roman" w:cs="Times New Roman"/>
        </w:rPr>
      </w:pPr>
    </w:p>
    <w:p w14:paraId="3F09E437" w14:textId="3645A9F5" w:rsidR="00CF73B8" w:rsidRPr="002B039B" w:rsidRDefault="00CF73B8" w:rsidP="0040090D">
      <w:pPr>
        <w:spacing w:after="0"/>
        <w:rPr>
          <w:rFonts w:ascii="Times New Roman" w:hAnsi="Times New Roman" w:cs="Times New Roman"/>
          <w:b/>
          <w:bCs/>
          <w:sz w:val="20"/>
        </w:rPr>
      </w:pPr>
      <w:r w:rsidRPr="002B039B">
        <w:rPr>
          <w:rFonts w:ascii="Times New Roman" w:hAnsi="Times New Roman" w:cs="Times New Roman"/>
          <w:b/>
          <w:bCs/>
          <w:sz w:val="20"/>
        </w:rPr>
        <w:t xml:space="preserve">                                                                                               </w:t>
      </w:r>
      <w:r w:rsidRPr="002B039B">
        <w:rPr>
          <w:rFonts w:ascii="Times New Roman" w:hAnsi="Times New Roman" w:cs="Times New Roman"/>
          <w:b/>
          <w:bCs/>
        </w:rPr>
        <w:t>Gráfico 7</w:t>
      </w:r>
    </w:p>
    <w:p w14:paraId="54ED7F59" w14:textId="2F74F06E" w:rsidR="00932593" w:rsidRPr="002B039B" w:rsidRDefault="00E61FCF" w:rsidP="0040090D">
      <w:pPr>
        <w:spacing w:after="0"/>
        <w:jc w:val="center"/>
        <w:rPr>
          <w:rFonts w:ascii="Times New Roman" w:hAnsi="Times New Roman" w:cs="Times New Roman"/>
          <w:sz w:val="24"/>
        </w:rPr>
      </w:pPr>
      <w:r w:rsidRPr="002B039B">
        <w:rPr>
          <w:rFonts w:ascii="Times New Roman" w:hAnsi="Times New Roman" w:cs="Times New Roman"/>
          <w:noProof/>
        </w:rPr>
        <w:drawing>
          <wp:inline distT="0" distB="0" distL="0" distR="0" wp14:anchorId="32E8950A" wp14:editId="6694E813">
            <wp:extent cx="5569010" cy="2886323"/>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87638" cy="2895978"/>
                    </a:xfrm>
                    <a:prstGeom prst="rect">
                      <a:avLst/>
                    </a:prstGeom>
                  </pic:spPr>
                </pic:pic>
              </a:graphicData>
            </a:graphic>
          </wp:inline>
        </w:drawing>
      </w:r>
    </w:p>
    <w:p w14:paraId="156C7101" w14:textId="45E2E8E0" w:rsidR="000F3F65" w:rsidRDefault="00C168C1" w:rsidP="0040090D">
      <w:pPr>
        <w:pStyle w:val="Prrafodelista"/>
        <w:spacing w:after="0"/>
        <w:ind w:left="0"/>
        <w:jc w:val="both"/>
        <w:rPr>
          <w:rFonts w:ascii="Times New Roman" w:hAnsi="Times New Roman" w:cs="Times New Roman"/>
          <w:color w:val="00B050"/>
        </w:rPr>
      </w:pPr>
      <w:r w:rsidRPr="002B039B">
        <w:rPr>
          <w:rFonts w:ascii="Times New Roman" w:hAnsi="Times New Roman" w:cs="Times New Roman"/>
          <w:color w:val="00B050"/>
        </w:rPr>
        <w:t xml:space="preserve">  </w:t>
      </w:r>
    </w:p>
    <w:p w14:paraId="74242CA6" w14:textId="529AB061" w:rsidR="000F3F65" w:rsidRDefault="000F3F65" w:rsidP="0040090D">
      <w:pPr>
        <w:pStyle w:val="Prrafodelista"/>
        <w:spacing w:after="0"/>
        <w:ind w:left="0"/>
        <w:jc w:val="both"/>
        <w:rPr>
          <w:rFonts w:ascii="Times New Roman" w:hAnsi="Times New Roman" w:cs="Times New Roman"/>
          <w:color w:val="00B050"/>
        </w:rPr>
      </w:pPr>
    </w:p>
    <w:p w14:paraId="136D5B79" w14:textId="4A371615" w:rsidR="00C57C7D" w:rsidRDefault="00C57C7D" w:rsidP="0040090D">
      <w:pPr>
        <w:pStyle w:val="Prrafodelista"/>
        <w:spacing w:after="0"/>
        <w:ind w:left="0"/>
        <w:jc w:val="both"/>
        <w:rPr>
          <w:rFonts w:ascii="Times New Roman" w:hAnsi="Times New Roman" w:cs="Times New Roman"/>
          <w:color w:val="00B050"/>
        </w:rPr>
      </w:pPr>
    </w:p>
    <w:p w14:paraId="3E56EFAE" w14:textId="5F429C24" w:rsidR="00C57C7D" w:rsidRDefault="00C57C7D" w:rsidP="0040090D">
      <w:pPr>
        <w:pStyle w:val="Prrafodelista"/>
        <w:spacing w:after="0"/>
        <w:ind w:left="0"/>
        <w:jc w:val="both"/>
        <w:rPr>
          <w:rFonts w:ascii="Times New Roman" w:hAnsi="Times New Roman" w:cs="Times New Roman"/>
          <w:color w:val="00B050"/>
        </w:rPr>
      </w:pPr>
    </w:p>
    <w:p w14:paraId="196CEDC4" w14:textId="487AB15C" w:rsidR="00C57C7D" w:rsidRDefault="00C57C7D" w:rsidP="0040090D">
      <w:pPr>
        <w:pStyle w:val="Prrafodelista"/>
        <w:spacing w:after="0"/>
        <w:ind w:left="0"/>
        <w:jc w:val="both"/>
        <w:rPr>
          <w:rFonts w:ascii="Times New Roman" w:hAnsi="Times New Roman" w:cs="Times New Roman"/>
          <w:color w:val="00B050"/>
        </w:rPr>
      </w:pPr>
    </w:p>
    <w:p w14:paraId="25F2F0CA" w14:textId="2EB0FC56" w:rsidR="00C57C7D" w:rsidRDefault="00C57C7D" w:rsidP="0040090D">
      <w:pPr>
        <w:pStyle w:val="Prrafodelista"/>
        <w:spacing w:after="0"/>
        <w:ind w:left="0"/>
        <w:jc w:val="both"/>
        <w:rPr>
          <w:rFonts w:ascii="Times New Roman" w:hAnsi="Times New Roman" w:cs="Times New Roman"/>
          <w:color w:val="00B050"/>
        </w:rPr>
      </w:pPr>
    </w:p>
    <w:p w14:paraId="56CD3E84" w14:textId="77777777" w:rsidR="00C57C7D" w:rsidRPr="002B039B" w:rsidRDefault="00C57C7D" w:rsidP="0040090D">
      <w:pPr>
        <w:pStyle w:val="Prrafodelista"/>
        <w:spacing w:after="0"/>
        <w:ind w:left="0"/>
        <w:jc w:val="both"/>
        <w:rPr>
          <w:rFonts w:ascii="Times New Roman" w:hAnsi="Times New Roman" w:cs="Times New Roman"/>
          <w:color w:val="00B050"/>
        </w:rPr>
      </w:pPr>
    </w:p>
    <w:p w14:paraId="02974B91" w14:textId="6E1784AC" w:rsidR="00306C23" w:rsidRPr="003B7B9E" w:rsidRDefault="00CF73B8" w:rsidP="00083E97">
      <w:pPr>
        <w:spacing w:after="0"/>
        <w:jc w:val="center"/>
        <w:rPr>
          <w:rFonts w:ascii="Times New Roman" w:hAnsi="Times New Roman" w:cs="Times New Roman"/>
          <w:b/>
          <w:color w:val="000000" w:themeColor="text1"/>
        </w:rPr>
      </w:pPr>
      <w:r w:rsidRPr="003B7B9E">
        <w:rPr>
          <w:rFonts w:ascii="Times New Roman" w:hAnsi="Times New Roman" w:cs="Times New Roman"/>
          <w:b/>
          <w:color w:val="000000" w:themeColor="text1"/>
        </w:rPr>
        <w:lastRenderedPageBreak/>
        <w:t xml:space="preserve">Cuadro </w:t>
      </w:r>
      <w:r w:rsidR="00FF5D52">
        <w:rPr>
          <w:rFonts w:ascii="Times New Roman" w:hAnsi="Times New Roman" w:cs="Times New Roman"/>
          <w:b/>
          <w:color w:val="000000" w:themeColor="text1"/>
        </w:rPr>
        <w:t>9</w:t>
      </w:r>
      <w:r w:rsidRPr="003B7B9E">
        <w:rPr>
          <w:rFonts w:ascii="Times New Roman" w:hAnsi="Times New Roman" w:cs="Times New Roman"/>
          <w:b/>
          <w:color w:val="000000" w:themeColor="text1"/>
        </w:rPr>
        <w:t>:</w:t>
      </w:r>
    </w:p>
    <w:p w14:paraId="25E71681" w14:textId="664D97F3" w:rsidR="003967D9" w:rsidRPr="00467734" w:rsidRDefault="003967D9" w:rsidP="00083E97">
      <w:pPr>
        <w:spacing w:after="0"/>
        <w:jc w:val="center"/>
        <w:rPr>
          <w:rFonts w:ascii="Times New Roman" w:hAnsi="Times New Roman" w:cs="Times New Roman"/>
          <w:b/>
          <w:color w:val="000000" w:themeColor="text1"/>
        </w:rPr>
      </w:pPr>
      <w:r w:rsidRPr="00467734">
        <w:rPr>
          <w:rFonts w:ascii="Times New Roman" w:hAnsi="Times New Roman" w:cs="Times New Roman"/>
          <w:b/>
          <w:color w:val="000000" w:themeColor="text1"/>
        </w:rPr>
        <w:t>Detalle monto y cantidad de pensionados</w:t>
      </w:r>
      <w:r w:rsidR="007E4882">
        <w:rPr>
          <w:rFonts w:ascii="Times New Roman" w:hAnsi="Times New Roman" w:cs="Times New Roman"/>
          <w:b/>
          <w:color w:val="000000" w:themeColor="text1"/>
        </w:rPr>
        <w:t xml:space="preserve"> con pensiones mayores a 1,5 millones</w:t>
      </w:r>
      <w:r w:rsidRPr="00467734">
        <w:rPr>
          <w:rFonts w:ascii="Times New Roman" w:hAnsi="Times New Roman" w:cs="Times New Roman"/>
          <w:b/>
          <w:color w:val="000000" w:themeColor="text1"/>
        </w:rPr>
        <w:t xml:space="preserve"> </w:t>
      </w:r>
    </w:p>
    <w:p w14:paraId="2D572CEE" w14:textId="6D754490" w:rsidR="003967D9" w:rsidRPr="00467734" w:rsidRDefault="003967D9" w:rsidP="00083E97">
      <w:pPr>
        <w:spacing w:after="0"/>
        <w:jc w:val="center"/>
        <w:rPr>
          <w:rFonts w:ascii="Times New Roman" w:hAnsi="Times New Roman" w:cs="Times New Roman"/>
          <w:b/>
          <w:color w:val="000000" w:themeColor="text1"/>
        </w:rPr>
      </w:pPr>
      <w:r w:rsidRPr="00467734">
        <w:rPr>
          <w:rFonts w:ascii="Times New Roman" w:hAnsi="Times New Roman" w:cs="Times New Roman"/>
          <w:b/>
          <w:color w:val="000000" w:themeColor="text1"/>
        </w:rPr>
        <w:t>(</w:t>
      </w:r>
      <w:r w:rsidR="00BF60AF">
        <w:rPr>
          <w:rFonts w:ascii="Times New Roman" w:hAnsi="Times New Roman" w:cs="Times New Roman"/>
          <w:b/>
          <w:color w:val="000000" w:themeColor="text1"/>
        </w:rPr>
        <w:t>colones/</w:t>
      </w:r>
      <w:r w:rsidRPr="00467734">
        <w:rPr>
          <w:rFonts w:ascii="Times New Roman" w:hAnsi="Times New Roman" w:cs="Times New Roman"/>
          <w:b/>
          <w:color w:val="000000" w:themeColor="text1"/>
        </w:rPr>
        <w:t>noviembre 2017)</w:t>
      </w:r>
    </w:p>
    <w:tbl>
      <w:tblPr>
        <w:tblW w:w="9456" w:type="dxa"/>
        <w:tblInd w:w="70" w:type="dxa"/>
        <w:tblCellMar>
          <w:left w:w="70" w:type="dxa"/>
          <w:right w:w="70" w:type="dxa"/>
        </w:tblCellMar>
        <w:tblLook w:val="04A0" w:firstRow="1" w:lastRow="0" w:firstColumn="1" w:lastColumn="0" w:noHBand="0" w:noVBand="1"/>
      </w:tblPr>
      <w:tblGrid>
        <w:gridCol w:w="2946"/>
        <w:gridCol w:w="1590"/>
        <w:gridCol w:w="1650"/>
        <w:gridCol w:w="2118"/>
        <w:gridCol w:w="1152"/>
      </w:tblGrid>
      <w:tr w:rsidR="003967D9" w:rsidRPr="00467734" w14:paraId="4B72303C" w14:textId="77777777" w:rsidTr="003967D9">
        <w:trPr>
          <w:trHeight w:val="178"/>
        </w:trPr>
        <w:tc>
          <w:tcPr>
            <w:tcW w:w="2946" w:type="dxa"/>
            <w:tcBorders>
              <w:top w:val="single" w:sz="4" w:space="0" w:color="auto"/>
              <w:left w:val="nil"/>
              <w:bottom w:val="nil"/>
              <w:right w:val="nil"/>
            </w:tcBorders>
            <w:noWrap/>
            <w:vAlign w:val="bottom"/>
            <w:hideMark/>
          </w:tcPr>
          <w:p w14:paraId="7466C7DF" w14:textId="77777777" w:rsidR="003967D9" w:rsidRPr="00467734" w:rsidRDefault="003967D9" w:rsidP="0040090D">
            <w:pPr>
              <w:spacing w:after="0" w:line="240" w:lineRule="auto"/>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 </w:t>
            </w:r>
          </w:p>
        </w:tc>
        <w:tc>
          <w:tcPr>
            <w:tcW w:w="5358" w:type="dxa"/>
            <w:gridSpan w:val="3"/>
            <w:tcBorders>
              <w:top w:val="single" w:sz="4" w:space="0" w:color="auto"/>
              <w:left w:val="nil"/>
              <w:bottom w:val="single" w:sz="4" w:space="0" w:color="auto"/>
              <w:right w:val="nil"/>
            </w:tcBorders>
            <w:noWrap/>
            <w:vAlign w:val="bottom"/>
            <w:hideMark/>
          </w:tcPr>
          <w:p w14:paraId="260EABBA" w14:textId="77777777" w:rsidR="003967D9" w:rsidRPr="00467734" w:rsidRDefault="003967D9" w:rsidP="0040090D">
            <w:pPr>
              <w:spacing w:after="0" w:line="240" w:lineRule="auto"/>
              <w:jc w:val="center"/>
              <w:rPr>
                <w:rFonts w:ascii="Times New Roman" w:eastAsia="Times New Roman" w:hAnsi="Times New Roman" w:cs="Times New Roman"/>
                <w:b/>
                <w:color w:val="000000" w:themeColor="text1"/>
                <w:lang w:val="es-CR" w:eastAsia="es-CR"/>
              </w:rPr>
            </w:pPr>
            <w:r w:rsidRPr="00467734">
              <w:rPr>
                <w:rFonts w:ascii="Times New Roman" w:eastAsia="Times New Roman" w:hAnsi="Times New Roman" w:cs="Times New Roman"/>
                <w:b/>
                <w:color w:val="000000" w:themeColor="text1"/>
                <w:lang w:val="es-CR" w:eastAsia="es-CR"/>
              </w:rPr>
              <w:t>Saldo</w:t>
            </w:r>
          </w:p>
        </w:tc>
        <w:tc>
          <w:tcPr>
            <w:tcW w:w="1152" w:type="dxa"/>
            <w:tcBorders>
              <w:top w:val="single" w:sz="4" w:space="0" w:color="auto"/>
              <w:left w:val="nil"/>
              <w:bottom w:val="nil"/>
              <w:right w:val="nil"/>
            </w:tcBorders>
            <w:noWrap/>
            <w:vAlign w:val="bottom"/>
            <w:hideMark/>
          </w:tcPr>
          <w:p w14:paraId="1BDEBFD6" w14:textId="77777777" w:rsidR="003967D9" w:rsidRPr="00467734" w:rsidRDefault="003967D9" w:rsidP="0040090D">
            <w:pPr>
              <w:spacing w:after="0" w:line="240" w:lineRule="auto"/>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 </w:t>
            </w:r>
          </w:p>
        </w:tc>
      </w:tr>
      <w:tr w:rsidR="003967D9" w:rsidRPr="00467734" w14:paraId="416AC63E" w14:textId="77777777" w:rsidTr="003967D9">
        <w:trPr>
          <w:trHeight w:val="178"/>
        </w:trPr>
        <w:tc>
          <w:tcPr>
            <w:tcW w:w="2946" w:type="dxa"/>
            <w:tcBorders>
              <w:top w:val="nil"/>
              <w:left w:val="nil"/>
              <w:bottom w:val="single" w:sz="4" w:space="0" w:color="auto"/>
              <w:right w:val="nil"/>
            </w:tcBorders>
            <w:noWrap/>
            <w:vAlign w:val="bottom"/>
            <w:hideMark/>
          </w:tcPr>
          <w:p w14:paraId="76B1502D" w14:textId="77777777" w:rsidR="003967D9" w:rsidRPr="00467734" w:rsidRDefault="003967D9" w:rsidP="0040090D">
            <w:pPr>
              <w:spacing w:after="0"/>
              <w:rPr>
                <w:rFonts w:ascii="Times New Roman" w:eastAsia="Times New Roman" w:hAnsi="Times New Roman" w:cs="Times New Roman"/>
                <w:color w:val="000000" w:themeColor="text1"/>
                <w:sz w:val="20"/>
                <w:lang w:val="es-CR" w:eastAsia="es-CR"/>
              </w:rPr>
            </w:pPr>
          </w:p>
        </w:tc>
        <w:tc>
          <w:tcPr>
            <w:tcW w:w="1590" w:type="dxa"/>
            <w:tcBorders>
              <w:top w:val="single" w:sz="4" w:space="0" w:color="auto"/>
              <w:left w:val="nil"/>
              <w:bottom w:val="single" w:sz="4" w:space="0" w:color="auto"/>
              <w:right w:val="nil"/>
            </w:tcBorders>
            <w:noWrap/>
            <w:vAlign w:val="bottom"/>
            <w:hideMark/>
          </w:tcPr>
          <w:p w14:paraId="0B5DBB26" w14:textId="77777777" w:rsidR="003967D9" w:rsidRPr="00467734" w:rsidRDefault="003967D9" w:rsidP="00E90C61">
            <w:pPr>
              <w:spacing w:after="0" w:line="240" w:lineRule="auto"/>
              <w:jc w:val="center"/>
              <w:rPr>
                <w:rFonts w:ascii="Times New Roman" w:eastAsia="Times New Roman" w:hAnsi="Times New Roman" w:cs="Times New Roman"/>
                <w:b/>
                <w:color w:val="000000" w:themeColor="text1"/>
                <w:sz w:val="20"/>
                <w:lang w:val="es-CR" w:eastAsia="es-CR"/>
              </w:rPr>
            </w:pPr>
            <w:r w:rsidRPr="00467734">
              <w:rPr>
                <w:rFonts w:ascii="Times New Roman" w:eastAsia="Times New Roman" w:hAnsi="Times New Roman" w:cs="Times New Roman"/>
                <w:b/>
                <w:color w:val="000000" w:themeColor="text1"/>
                <w:sz w:val="20"/>
                <w:lang w:val="es-CR" w:eastAsia="es-CR"/>
              </w:rPr>
              <w:t>Mínimo</w:t>
            </w:r>
          </w:p>
        </w:tc>
        <w:tc>
          <w:tcPr>
            <w:tcW w:w="1650" w:type="dxa"/>
            <w:tcBorders>
              <w:top w:val="single" w:sz="4" w:space="0" w:color="auto"/>
              <w:left w:val="nil"/>
              <w:bottom w:val="single" w:sz="4" w:space="0" w:color="auto"/>
              <w:right w:val="nil"/>
            </w:tcBorders>
            <w:noWrap/>
            <w:vAlign w:val="bottom"/>
            <w:hideMark/>
          </w:tcPr>
          <w:p w14:paraId="25E14A64" w14:textId="77777777" w:rsidR="003967D9" w:rsidRPr="00467734" w:rsidRDefault="003967D9" w:rsidP="00E90C61">
            <w:pPr>
              <w:spacing w:after="0" w:line="240" w:lineRule="auto"/>
              <w:jc w:val="center"/>
              <w:rPr>
                <w:rFonts w:ascii="Times New Roman" w:eastAsia="Times New Roman" w:hAnsi="Times New Roman" w:cs="Times New Roman"/>
                <w:b/>
                <w:color w:val="000000" w:themeColor="text1"/>
                <w:sz w:val="20"/>
                <w:lang w:val="es-CR" w:eastAsia="es-CR"/>
              </w:rPr>
            </w:pPr>
            <w:r w:rsidRPr="00467734">
              <w:rPr>
                <w:rFonts w:ascii="Times New Roman" w:eastAsia="Times New Roman" w:hAnsi="Times New Roman" w:cs="Times New Roman"/>
                <w:b/>
                <w:color w:val="000000" w:themeColor="text1"/>
                <w:sz w:val="20"/>
                <w:lang w:val="es-CR" w:eastAsia="es-CR"/>
              </w:rPr>
              <w:t>Promedio</w:t>
            </w:r>
          </w:p>
        </w:tc>
        <w:tc>
          <w:tcPr>
            <w:tcW w:w="2118" w:type="dxa"/>
            <w:tcBorders>
              <w:top w:val="single" w:sz="4" w:space="0" w:color="auto"/>
              <w:left w:val="nil"/>
              <w:bottom w:val="single" w:sz="4" w:space="0" w:color="auto"/>
              <w:right w:val="nil"/>
            </w:tcBorders>
            <w:noWrap/>
            <w:vAlign w:val="bottom"/>
            <w:hideMark/>
          </w:tcPr>
          <w:p w14:paraId="4EEFB0E6" w14:textId="77777777" w:rsidR="003967D9" w:rsidRPr="00467734" w:rsidRDefault="003967D9" w:rsidP="00E90C61">
            <w:pPr>
              <w:spacing w:after="0" w:line="240" w:lineRule="auto"/>
              <w:jc w:val="center"/>
              <w:rPr>
                <w:rFonts w:ascii="Times New Roman" w:eastAsia="Times New Roman" w:hAnsi="Times New Roman" w:cs="Times New Roman"/>
                <w:b/>
                <w:color w:val="000000" w:themeColor="text1"/>
                <w:sz w:val="20"/>
                <w:lang w:val="es-CR" w:eastAsia="es-CR"/>
              </w:rPr>
            </w:pPr>
            <w:r w:rsidRPr="00467734">
              <w:rPr>
                <w:rFonts w:ascii="Times New Roman" w:eastAsia="Times New Roman" w:hAnsi="Times New Roman" w:cs="Times New Roman"/>
                <w:b/>
                <w:color w:val="000000" w:themeColor="text1"/>
                <w:sz w:val="20"/>
                <w:lang w:val="es-CR" w:eastAsia="es-CR"/>
              </w:rPr>
              <w:t>Máximo</w:t>
            </w:r>
          </w:p>
        </w:tc>
        <w:tc>
          <w:tcPr>
            <w:tcW w:w="1152" w:type="dxa"/>
            <w:tcBorders>
              <w:top w:val="nil"/>
              <w:left w:val="nil"/>
              <w:bottom w:val="single" w:sz="4" w:space="0" w:color="auto"/>
              <w:right w:val="nil"/>
            </w:tcBorders>
            <w:noWrap/>
            <w:vAlign w:val="bottom"/>
            <w:hideMark/>
          </w:tcPr>
          <w:p w14:paraId="5C6247D6" w14:textId="7696E836" w:rsidR="003967D9" w:rsidRPr="00467734" w:rsidRDefault="003967D9" w:rsidP="00E90C61">
            <w:pPr>
              <w:spacing w:after="0" w:line="240" w:lineRule="auto"/>
              <w:jc w:val="center"/>
              <w:rPr>
                <w:rFonts w:ascii="Times New Roman" w:eastAsia="Times New Roman" w:hAnsi="Times New Roman" w:cs="Times New Roman"/>
                <w:b/>
                <w:color w:val="000000" w:themeColor="text1"/>
                <w:sz w:val="20"/>
                <w:lang w:val="es-CR" w:eastAsia="es-CR"/>
              </w:rPr>
            </w:pPr>
            <w:r w:rsidRPr="00467734">
              <w:rPr>
                <w:rFonts w:ascii="Times New Roman" w:eastAsia="Times New Roman" w:hAnsi="Times New Roman" w:cs="Times New Roman"/>
                <w:b/>
                <w:color w:val="000000" w:themeColor="text1"/>
                <w:sz w:val="20"/>
                <w:lang w:val="es-CR" w:eastAsia="es-CR"/>
              </w:rPr>
              <w:t>Cantidad</w:t>
            </w:r>
          </w:p>
        </w:tc>
      </w:tr>
      <w:tr w:rsidR="003967D9" w:rsidRPr="00467734" w14:paraId="56F1CD27" w14:textId="77777777" w:rsidTr="003967D9">
        <w:trPr>
          <w:trHeight w:val="178"/>
        </w:trPr>
        <w:tc>
          <w:tcPr>
            <w:tcW w:w="2946" w:type="dxa"/>
            <w:tcBorders>
              <w:top w:val="single" w:sz="4" w:space="0" w:color="auto"/>
              <w:left w:val="nil"/>
              <w:bottom w:val="nil"/>
              <w:right w:val="nil"/>
            </w:tcBorders>
            <w:noWrap/>
            <w:vAlign w:val="bottom"/>
            <w:hideMark/>
          </w:tcPr>
          <w:p w14:paraId="384408C6" w14:textId="77777777" w:rsidR="003967D9" w:rsidRPr="00467734" w:rsidRDefault="003967D9" w:rsidP="0040090D">
            <w:pPr>
              <w:spacing w:after="0" w:line="240" w:lineRule="auto"/>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Poder Judicial</w:t>
            </w:r>
          </w:p>
        </w:tc>
        <w:tc>
          <w:tcPr>
            <w:tcW w:w="1590" w:type="dxa"/>
            <w:tcBorders>
              <w:top w:val="single" w:sz="4" w:space="0" w:color="auto"/>
              <w:left w:val="nil"/>
              <w:bottom w:val="nil"/>
              <w:right w:val="nil"/>
            </w:tcBorders>
            <w:noWrap/>
            <w:vAlign w:val="bottom"/>
            <w:hideMark/>
          </w:tcPr>
          <w:p w14:paraId="25115C03" w14:textId="165754A8" w:rsidR="003967D9" w:rsidRPr="00467734" w:rsidRDefault="003967D9" w:rsidP="00E90C61">
            <w:pPr>
              <w:spacing w:after="0" w:line="240" w:lineRule="auto"/>
              <w:jc w:val="center"/>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1</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508</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343</w:t>
            </w:r>
          </w:p>
        </w:tc>
        <w:tc>
          <w:tcPr>
            <w:tcW w:w="1650" w:type="dxa"/>
            <w:tcBorders>
              <w:top w:val="single" w:sz="4" w:space="0" w:color="auto"/>
              <w:left w:val="nil"/>
              <w:bottom w:val="nil"/>
              <w:right w:val="nil"/>
            </w:tcBorders>
            <w:noWrap/>
            <w:vAlign w:val="bottom"/>
            <w:hideMark/>
          </w:tcPr>
          <w:p w14:paraId="2603AEE4" w14:textId="2F578062" w:rsidR="003967D9" w:rsidRPr="00467734" w:rsidRDefault="003967D9" w:rsidP="00E90C61">
            <w:pPr>
              <w:spacing w:after="0" w:line="240" w:lineRule="auto"/>
              <w:jc w:val="center"/>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3</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057</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735</w:t>
            </w:r>
          </w:p>
        </w:tc>
        <w:tc>
          <w:tcPr>
            <w:tcW w:w="2118" w:type="dxa"/>
            <w:tcBorders>
              <w:top w:val="single" w:sz="4" w:space="0" w:color="auto"/>
              <w:left w:val="nil"/>
              <w:bottom w:val="nil"/>
              <w:right w:val="nil"/>
            </w:tcBorders>
            <w:noWrap/>
            <w:vAlign w:val="bottom"/>
            <w:hideMark/>
          </w:tcPr>
          <w:p w14:paraId="76592576" w14:textId="4AE4F0CA" w:rsidR="003967D9" w:rsidRPr="00467734" w:rsidRDefault="003967D9" w:rsidP="00E90C61">
            <w:pPr>
              <w:spacing w:after="0" w:line="240" w:lineRule="auto"/>
              <w:jc w:val="center"/>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9</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925</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149</w:t>
            </w:r>
          </w:p>
        </w:tc>
        <w:tc>
          <w:tcPr>
            <w:tcW w:w="1152" w:type="dxa"/>
            <w:tcBorders>
              <w:top w:val="single" w:sz="4" w:space="0" w:color="auto"/>
              <w:left w:val="nil"/>
              <w:bottom w:val="nil"/>
              <w:right w:val="nil"/>
            </w:tcBorders>
            <w:noWrap/>
            <w:vAlign w:val="bottom"/>
            <w:hideMark/>
          </w:tcPr>
          <w:p w14:paraId="54FF0864" w14:textId="4BF65045" w:rsidR="003967D9" w:rsidRPr="00467734" w:rsidRDefault="003967D9" w:rsidP="00E90C61">
            <w:pPr>
              <w:spacing w:after="0" w:line="240" w:lineRule="auto"/>
              <w:jc w:val="center"/>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1</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114</w:t>
            </w:r>
          </w:p>
        </w:tc>
      </w:tr>
      <w:tr w:rsidR="003967D9" w:rsidRPr="00467734" w14:paraId="4C7EA97C" w14:textId="77777777" w:rsidTr="003967D9">
        <w:trPr>
          <w:trHeight w:val="178"/>
        </w:trPr>
        <w:tc>
          <w:tcPr>
            <w:tcW w:w="2946" w:type="dxa"/>
            <w:noWrap/>
            <w:vAlign w:val="bottom"/>
            <w:hideMark/>
          </w:tcPr>
          <w:p w14:paraId="15582F6E" w14:textId="77777777" w:rsidR="003967D9" w:rsidRPr="00467734" w:rsidRDefault="003967D9" w:rsidP="0040090D">
            <w:pPr>
              <w:spacing w:after="0" w:line="240" w:lineRule="auto"/>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Dirección Nacional de Pensiones</w:t>
            </w:r>
          </w:p>
        </w:tc>
        <w:tc>
          <w:tcPr>
            <w:tcW w:w="1590" w:type="dxa"/>
            <w:noWrap/>
            <w:vAlign w:val="bottom"/>
            <w:hideMark/>
          </w:tcPr>
          <w:p w14:paraId="732055C4" w14:textId="43724D92" w:rsidR="003967D9" w:rsidRPr="00467734" w:rsidRDefault="003967D9" w:rsidP="00E90C61">
            <w:pPr>
              <w:spacing w:after="0" w:line="240" w:lineRule="auto"/>
              <w:jc w:val="center"/>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1</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500</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046</w:t>
            </w:r>
          </w:p>
        </w:tc>
        <w:tc>
          <w:tcPr>
            <w:tcW w:w="1650" w:type="dxa"/>
            <w:noWrap/>
            <w:vAlign w:val="bottom"/>
            <w:hideMark/>
          </w:tcPr>
          <w:p w14:paraId="3A8732FE" w14:textId="1316A01A" w:rsidR="003967D9" w:rsidRPr="00467734" w:rsidRDefault="003967D9" w:rsidP="00E90C61">
            <w:pPr>
              <w:spacing w:after="0" w:line="240" w:lineRule="auto"/>
              <w:jc w:val="center"/>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2</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715</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034</w:t>
            </w:r>
          </w:p>
        </w:tc>
        <w:tc>
          <w:tcPr>
            <w:tcW w:w="2118" w:type="dxa"/>
            <w:noWrap/>
            <w:vAlign w:val="bottom"/>
            <w:hideMark/>
          </w:tcPr>
          <w:p w14:paraId="6FBC1E9A" w14:textId="6608B28D" w:rsidR="003967D9" w:rsidRPr="00467734" w:rsidRDefault="003967D9" w:rsidP="00E90C61">
            <w:pPr>
              <w:spacing w:after="0" w:line="240" w:lineRule="auto"/>
              <w:jc w:val="center"/>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13</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685</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804</w:t>
            </w:r>
          </w:p>
        </w:tc>
        <w:tc>
          <w:tcPr>
            <w:tcW w:w="1152" w:type="dxa"/>
            <w:noWrap/>
            <w:vAlign w:val="bottom"/>
            <w:hideMark/>
          </w:tcPr>
          <w:p w14:paraId="1EEEDC1B" w14:textId="76B6B265" w:rsidR="003967D9" w:rsidRPr="00467734" w:rsidRDefault="003967D9" w:rsidP="00E90C61">
            <w:pPr>
              <w:spacing w:after="0" w:line="240" w:lineRule="auto"/>
              <w:jc w:val="center"/>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1</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702</w:t>
            </w:r>
          </w:p>
        </w:tc>
      </w:tr>
      <w:tr w:rsidR="003967D9" w:rsidRPr="00467734" w14:paraId="2E580EAB" w14:textId="77777777" w:rsidTr="003967D9">
        <w:trPr>
          <w:trHeight w:val="178"/>
        </w:trPr>
        <w:tc>
          <w:tcPr>
            <w:tcW w:w="2946" w:type="dxa"/>
            <w:tcBorders>
              <w:top w:val="nil"/>
              <w:left w:val="nil"/>
              <w:bottom w:val="single" w:sz="4" w:space="0" w:color="auto"/>
              <w:right w:val="nil"/>
            </w:tcBorders>
            <w:noWrap/>
            <w:vAlign w:val="bottom"/>
            <w:hideMark/>
          </w:tcPr>
          <w:p w14:paraId="3238E44C" w14:textId="77777777" w:rsidR="003967D9" w:rsidRPr="00467734" w:rsidRDefault="003967D9" w:rsidP="0040090D">
            <w:pPr>
              <w:spacing w:after="0" w:line="240" w:lineRule="auto"/>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Magisterio Nacional</w:t>
            </w:r>
          </w:p>
        </w:tc>
        <w:tc>
          <w:tcPr>
            <w:tcW w:w="1590" w:type="dxa"/>
            <w:tcBorders>
              <w:top w:val="nil"/>
              <w:left w:val="nil"/>
              <w:bottom w:val="single" w:sz="4" w:space="0" w:color="auto"/>
              <w:right w:val="nil"/>
            </w:tcBorders>
            <w:noWrap/>
            <w:vAlign w:val="bottom"/>
            <w:hideMark/>
          </w:tcPr>
          <w:p w14:paraId="4B9B00D0" w14:textId="59E6D177" w:rsidR="003967D9" w:rsidRPr="00467734" w:rsidRDefault="003967D9" w:rsidP="00E90C61">
            <w:pPr>
              <w:spacing w:after="0" w:line="240" w:lineRule="auto"/>
              <w:jc w:val="center"/>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1</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500</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001</w:t>
            </w:r>
          </w:p>
        </w:tc>
        <w:tc>
          <w:tcPr>
            <w:tcW w:w="1650" w:type="dxa"/>
            <w:tcBorders>
              <w:top w:val="nil"/>
              <w:left w:val="nil"/>
              <w:bottom w:val="single" w:sz="4" w:space="0" w:color="auto"/>
              <w:right w:val="nil"/>
            </w:tcBorders>
            <w:noWrap/>
            <w:vAlign w:val="bottom"/>
            <w:hideMark/>
          </w:tcPr>
          <w:p w14:paraId="147B172A" w14:textId="06FE96FA" w:rsidR="003967D9" w:rsidRPr="00467734" w:rsidRDefault="003967D9" w:rsidP="00E90C61">
            <w:pPr>
              <w:spacing w:after="0" w:line="240" w:lineRule="auto"/>
              <w:jc w:val="center"/>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2</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444</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472</w:t>
            </w:r>
          </w:p>
        </w:tc>
        <w:tc>
          <w:tcPr>
            <w:tcW w:w="2118" w:type="dxa"/>
            <w:tcBorders>
              <w:top w:val="nil"/>
              <w:left w:val="nil"/>
              <w:bottom w:val="single" w:sz="4" w:space="0" w:color="auto"/>
              <w:right w:val="nil"/>
            </w:tcBorders>
            <w:noWrap/>
            <w:vAlign w:val="bottom"/>
            <w:hideMark/>
          </w:tcPr>
          <w:p w14:paraId="51345370" w14:textId="6FF2B901" w:rsidR="003967D9" w:rsidRPr="00467734" w:rsidRDefault="003967D9" w:rsidP="00E90C61">
            <w:pPr>
              <w:spacing w:after="0" w:line="240" w:lineRule="auto"/>
              <w:jc w:val="center"/>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11</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939</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007</w:t>
            </w:r>
          </w:p>
        </w:tc>
        <w:tc>
          <w:tcPr>
            <w:tcW w:w="1152" w:type="dxa"/>
            <w:tcBorders>
              <w:top w:val="nil"/>
              <w:left w:val="nil"/>
              <w:bottom w:val="single" w:sz="4" w:space="0" w:color="auto"/>
              <w:right w:val="nil"/>
            </w:tcBorders>
            <w:noWrap/>
            <w:vAlign w:val="bottom"/>
            <w:hideMark/>
          </w:tcPr>
          <w:p w14:paraId="5F71DDD5" w14:textId="4DB04071" w:rsidR="003967D9" w:rsidRPr="00467734" w:rsidRDefault="003967D9" w:rsidP="00E90C61">
            <w:pPr>
              <w:spacing w:after="0" w:line="240" w:lineRule="auto"/>
              <w:jc w:val="center"/>
              <w:rPr>
                <w:rFonts w:ascii="Times New Roman" w:eastAsia="Times New Roman" w:hAnsi="Times New Roman" w:cs="Times New Roman"/>
                <w:color w:val="000000" w:themeColor="text1"/>
                <w:sz w:val="20"/>
                <w:lang w:val="es-CR" w:eastAsia="es-CR"/>
              </w:rPr>
            </w:pPr>
            <w:r w:rsidRPr="00467734">
              <w:rPr>
                <w:rFonts w:ascii="Times New Roman" w:eastAsia="Times New Roman" w:hAnsi="Times New Roman" w:cs="Times New Roman"/>
                <w:color w:val="000000" w:themeColor="text1"/>
                <w:sz w:val="20"/>
                <w:lang w:val="es-CR" w:eastAsia="es-CR"/>
              </w:rPr>
              <w:t>6</w:t>
            </w:r>
            <w:r w:rsidR="00E90C61">
              <w:rPr>
                <w:rFonts w:ascii="Times New Roman" w:eastAsia="Times New Roman" w:hAnsi="Times New Roman" w:cs="Times New Roman"/>
                <w:color w:val="000000" w:themeColor="text1"/>
                <w:sz w:val="20"/>
                <w:lang w:val="es-CR" w:eastAsia="es-CR"/>
              </w:rPr>
              <w:t xml:space="preserve"> </w:t>
            </w:r>
            <w:r w:rsidRPr="00467734">
              <w:rPr>
                <w:rFonts w:ascii="Times New Roman" w:eastAsia="Times New Roman" w:hAnsi="Times New Roman" w:cs="Times New Roman"/>
                <w:color w:val="000000" w:themeColor="text1"/>
                <w:sz w:val="20"/>
                <w:lang w:val="es-CR" w:eastAsia="es-CR"/>
              </w:rPr>
              <w:t>873</w:t>
            </w:r>
          </w:p>
        </w:tc>
      </w:tr>
    </w:tbl>
    <w:p w14:paraId="03378B3E" w14:textId="7C33A69D" w:rsidR="003967D9" w:rsidRPr="002B039B" w:rsidRDefault="003967D9" w:rsidP="0040090D">
      <w:pPr>
        <w:spacing w:after="0"/>
        <w:rPr>
          <w:rFonts w:ascii="Times New Roman" w:hAnsi="Times New Roman" w:cs="Times New Roman"/>
        </w:rPr>
      </w:pPr>
    </w:p>
    <w:p w14:paraId="648BD7C8" w14:textId="77777777" w:rsidR="008F3E53" w:rsidRPr="002B039B" w:rsidRDefault="008F3E53" w:rsidP="0040090D">
      <w:pPr>
        <w:spacing w:after="0"/>
        <w:rPr>
          <w:rFonts w:ascii="Times New Roman" w:hAnsi="Times New Roman" w:cs="Times New Roman"/>
        </w:rPr>
      </w:pPr>
    </w:p>
    <w:p w14:paraId="2113905B" w14:textId="08CACF55" w:rsidR="00A92B42" w:rsidRPr="003B7B9E" w:rsidRDefault="004D3CF9" w:rsidP="003B7B9E">
      <w:pPr>
        <w:pStyle w:val="Ttulo1"/>
      </w:pPr>
      <w:bookmarkStart w:id="56" w:name="_Toc505348344"/>
      <w:bookmarkStart w:id="57" w:name="_Toc506207754"/>
      <w:bookmarkStart w:id="58" w:name="_Toc506212335"/>
      <w:bookmarkStart w:id="59" w:name="_Toc509221833"/>
      <w:r>
        <w:t>Invalidez, Vejez y M</w:t>
      </w:r>
      <w:r w:rsidR="00A92B42" w:rsidRPr="003B7B9E">
        <w:t>uerte, CCSS-Mesa de Diálogo</w:t>
      </w:r>
      <w:bookmarkEnd w:id="56"/>
      <w:bookmarkEnd w:id="57"/>
      <w:bookmarkEnd w:id="58"/>
      <w:bookmarkEnd w:id="59"/>
    </w:p>
    <w:p w14:paraId="2B5C7AE3" w14:textId="0996B58B" w:rsidR="0052465D" w:rsidRPr="002B039B" w:rsidRDefault="00A92B42" w:rsidP="0040090D">
      <w:pPr>
        <w:pStyle w:val="Prrafodelista"/>
        <w:numPr>
          <w:ilvl w:val="0"/>
          <w:numId w:val="4"/>
        </w:numPr>
        <w:spacing w:after="0"/>
        <w:ind w:left="0"/>
        <w:jc w:val="both"/>
        <w:rPr>
          <w:rFonts w:ascii="Times New Roman" w:hAnsi="Times New Roman" w:cs="Times New Roman"/>
        </w:rPr>
      </w:pPr>
      <w:r w:rsidRPr="002B039B">
        <w:rPr>
          <w:rFonts w:ascii="Times New Roman" w:hAnsi="Times New Roman" w:cs="Times New Roman"/>
        </w:rPr>
        <w:t xml:space="preserve">La </w:t>
      </w:r>
      <w:r w:rsidR="00DF6B5B" w:rsidRPr="002B039B">
        <w:rPr>
          <w:rFonts w:ascii="Times New Roman" w:hAnsi="Times New Roman" w:cs="Times New Roman"/>
        </w:rPr>
        <w:t xml:space="preserve">Mesa de Diálogo realizó recomendaciones que, en su mayoría, son administrativas o de gestión, y sólo requieren la aprobación de </w:t>
      </w:r>
      <w:r w:rsidR="004D3CF9">
        <w:rPr>
          <w:rFonts w:ascii="Times New Roman" w:hAnsi="Times New Roman" w:cs="Times New Roman"/>
        </w:rPr>
        <w:t xml:space="preserve">la Junta Directiva </w:t>
      </w:r>
      <w:r w:rsidR="00DF6B5B" w:rsidRPr="002B039B">
        <w:rPr>
          <w:rFonts w:ascii="Times New Roman" w:hAnsi="Times New Roman" w:cs="Times New Roman"/>
        </w:rPr>
        <w:t xml:space="preserve">de la CCSS para gestionarlas; en tanto para otras se requieren cambios en la legislación, </w:t>
      </w:r>
      <w:r w:rsidR="004D3CF9">
        <w:rPr>
          <w:rFonts w:ascii="Times New Roman" w:hAnsi="Times New Roman" w:cs="Times New Roman"/>
        </w:rPr>
        <w:t>que se deben</w:t>
      </w:r>
      <w:r w:rsidR="00DF6B5B" w:rsidRPr="002B039B">
        <w:rPr>
          <w:rFonts w:ascii="Times New Roman" w:hAnsi="Times New Roman" w:cs="Times New Roman"/>
        </w:rPr>
        <w:t xml:space="preserve"> aprobar en la Asamblea Legislativa. </w:t>
      </w:r>
    </w:p>
    <w:p w14:paraId="7FA0C1C2" w14:textId="77777777" w:rsidR="009A01EB" w:rsidRPr="002B039B" w:rsidRDefault="009A01EB" w:rsidP="0040090D">
      <w:pPr>
        <w:pStyle w:val="Prrafodelista"/>
        <w:spacing w:after="0"/>
        <w:ind w:left="0"/>
        <w:jc w:val="both"/>
        <w:rPr>
          <w:rFonts w:ascii="Times New Roman" w:hAnsi="Times New Roman" w:cs="Times New Roman"/>
        </w:rPr>
      </w:pPr>
    </w:p>
    <w:p w14:paraId="240854A2" w14:textId="4004F364" w:rsidR="00DF6B5B" w:rsidRPr="002B039B" w:rsidRDefault="00DF6B5B" w:rsidP="0040090D">
      <w:pPr>
        <w:pStyle w:val="Prrafodelista"/>
        <w:numPr>
          <w:ilvl w:val="0"/>
          <w:numId w:val="4"/>
        </w:numPr>
        <w:spacing w:after="0"/>
        <w:ind w:left="0"/>
        <w:jc w:val="both"/>
        <w:rPr>
          <w:rFonts w:ascii="Times New Roman" w:hAnsi="Times New Roman" w:cs="Times New Roman"/>
        </w:rPr>
      </w:pPr>
      <w:r w:rsidRPr="002B039B">
        <w:rPr>
          <w:rFonts w:ascii="Times New Roman" w:hAnsi="Times New Roman" w:cs="Times New Roman"/>
        </w:rPr>
        <w:t xml:space="preserve">Entre las consensuadas, a criterio de la SUPEN, las cinco que más afectan los parámetros actuariales son: </w:t>
      </w:r>
    </w:p>
    <w:p w14:paraId="18FA1D65" w14:textId="77777777" w:rsidR="0052465D" w:rsidRPr="002B039B" w:rsidRDefault="0052465D" w:rsidP="0040090D">
      <w:pPr>
        <w:pStyle w:val="Prrafodelista"/>
        <w:spacing w:after="0"/>
        <w:ind w:left="0"/>
        <w:jc w:val="both"/>
        <w:rPr>
          <w:rFonts w:ascii="Times New Roman" w:hAnsi="Times New Roman" w:cs="Times New Roman"/>
        </w:rPr>
      </w:pPr>
    </w:p>
    <w:p w14:paraId="6EA3837F" w14:textId="7912A91D" w:rsidR="00DF6B5B" w:rsidRPr="002B039B" w:rsidRDefault="00DF6B5B" w:rsidP="0040090D">
      <w:pPr>
        <w:pStyle w:val="Prrafodelista"/>
        <w:numPr>
          <w:ilvl w:val="0"/>
          <w:numId w:val="20"/>
        </w:numPr>
        <w:spacing w:after="0"/>
        <w:jc w:val="both"/>
        <w:rPr>
          <w:rFonts w:ascii="Times New Roman" w:hAnsi="Times New Roman" w:cs="Times New Roman"/>
        </w:rPr>
      </w:pPr>
      <w:r w:rsidRPr="002B039B">
        <w:rPr>
          <w:rFonts w:ascii="Times New Roman" w:hAnsi="Times New Roman" w:cs="Times New Roman"/>
        </w:rPr>
        <w:t xml:space="preserve">Ajustar </w:t>
      </w:r>
      <w:r w:rsidRPr="002B039B">
        <w:rPr>
          <w:rFonts w:ascii="Times New Roman" w:hAnsi="Times New Roman" w:cs="Times New Roman"/>
          <w:lang w:val="es-CR"/>
        </w:rPr>
        <w:t>los</w:t>
      </w:r>
      <w:r w:rsidRPr="002B039B">
        <w:rPr>
          <w:rFonts w:ascii="Times New Roman" w:hAnsi="Times New Roman" w:cs="Times New Roman"/>
        </w:rPr>
        <w:t xml:space="preserve"> escalones previstos en la reforma del 2005, para que se realicen los aumentos cada 3 años a partir del 2020. Se requiere modificar el artículo 33 y el Transitorio XI el Reglamento del Seguro de Invalidez, Vejez y Muerte de la Caja Costarricense de Seguro Social mediante acuerdo de Junta Directiva de esa Institución.</w:t>
      </w:r>
    </w:p>
    <w:p w14:paraId="11F88544" w14:textId="6B384F77" w:rsidR="00DF6B5B" w:rsidRPr="002B039B" w:rsidRDefault="00DF6B5B" w:rsidP="0040090D">
      <w:pPr>
        <w:pStyle w:val="Prrafodelista"/>
        <w:numPr>
          <w:ilvl w:val="0"/>
          <w:numId w:val="20"/>
        </w:numPr>
        <w:spacing w:after="0"/>
        <w:jc w:val="both"/>
        <w:rPr>
          <w:rFonts w:ascii="Times New Roman" w:hAnsi="Times New Roman" w:cs="Times New Roman"/>
        </w:rPr>
      </w:pPr>
      <w:r w:rsidRPr="002B039B">
        <w:rPr>
          <w:rFonts w:ascii="Times New Roman" w:hAnsi="Times New Roman" w:cs="Times New Roman"/>
        </w:rPr>
        <w:t xml:space="preserve">Trasladar el 0,25% de la contribución patronal del Banco Popular y de Desarrollo Comunal al IVM, que </w:t>
      </w:r>
      <w:r w:rsidRPr="002B039B">
        <w:rPr>
          <w:rFonts w:ascii="Times New Roman" w:hAnsi="Times New Roman" w:cs="Times New Roman"/>
          <w:lang w:val="es-CR"/>
        </w:rPr>
        <w:t>requiere</w:t>
      </w:r>
      <w:r w:rsidRPr="002B039B">
        <w:rPr>
          <w:rFonts w:ascii="Times New Roman" w:hAnsi="Times New Roman" w:cs="Times New Roman"/>
        </w:rPr>
        <w:t xml:space="preserve"> modificar la Ley Orgánica del Banco Popular y de Desarrollo Comunal, N°.4351 de 11 de julio de 1969.</w:t>
      </w:r>
    </w:p>
    <w:p w14:paraId="061D4B5D" w14:textId="397F9AB1" w:rsidR="00DF6B5B" w:rsidRPr="002B039B" w:rsidRDefault="00DF6B5B" w:rsidP="0040090D">
      <w:pPr>
        <w:pStyle w:val="Prrafodelista"/>
        <w:numPr>
          <w:ilvl w:val="0"/>
          <w:numId w:val="20"/>
        </w:numPr>
        <w:spacing w:after="0"/>
        <w:jc w:val="both"/>
        <w:rPr>
          <w:rFonts w:ascii="Times New Roman" w:hAnsi="Times New Roman" w:cs="Times New Roman"/>
        </w:rPr>
      </w:pPr>
      <w:r w:rsidRPr="002B039B">
        <w:rPr>
          <w:rFonts w:ascii="Times New Roman" w:hAnsi="Times New Roman" w:cs="Times New Roman"/>
        </w:rPr>
        <w:t>Transferir anualmente a partir de</w:t>
      </w:r>
      <w:r w:rsidR="004D3CF9">
        <w:rPr>
          <w:rFonts w:ascii="Times New Roman" w:hAnsi="Times New Roman" w:cs="Times New Roman"/>
        </w:rPr>
        <w:t>l</w:t>
      </w:r>
      <w:r w:rsidRPr="002B039B">
        <w:rPr>
          <w:rFonts w:ascii="Times New Roman" w:hAnsi="Times New Roman" w:cs="Times New Roman"/>
        </w:rPr>
        <w:t xml:space="preserve"> 2018, 60 mil millones de colones, ajustados por inflación de los ingresos previstos en la Ley N°.5662 del Fondo de Desarrollo Social y Asignaciones Familiares (FODESAF), que requiere modificar dicha Ley</w:t>
      </w:r>
    </w:p>
    <w:p w14:paraId="2CE0D11B" w14:textId="690CE75C" w:rsidR="00DF6B5B" w:rsidRPr="002B039B" w:rsidRDefault="00DF6B5B" w:rsidP="0040090D">
      <w:pPr>
        <w:pStyle w:val="Prrafodelista"/>
        <w:numPr>
          <w:ilvl w:val="0"/>
          <w:numId w:val="20"/>
        </w:numPr>
        <w:spacing w:after="0"/>
        <w:jc w:val="both"/>
        <w:rPr>
          <w:rFonts w:ascii="Times New Roman" w:hAnsi="Times New Roman" w:cs="Times New Roman"/>
        </w:rPr>
      </w:pPr>
      <w:r w:rsidRPr="002B039B">
        <w:rPr>
          <w:rFonts w:ascii="Times New Roman" w:hAnsi="Times New Roman" w:cs="Times New Roman"/>
        </w:rPr>
        <w:t>Obtener un 4,8% como meta de rendimiento real anual de las inversiones del IVM.</w:t>
      </w:r>
    </w:p>
    <w:p w14:paraId="47C2B3A1" w14:textId="2ABCFC5B" w:rsidR="00DF6B5B" w:rsidRPr="002B039B" w:rsidRDefault="00DF6B5B" w:rsidP="0040090D">
      <w:pPr>
        <w:pStyle w:val="Prrafodelista"/>
        <w:numPr>
          <w:ilvl w:val="0"/>
          <w:numId w:val="20"/>
        </w:numPr>
        <w:spacing w:after="0"/>
        <w:jc w:val="both"/>
        <w:rPr>
          <w:rFonts w:ascii="Times New Roman" w:hAnsi="Times New Roman" w:cs="Times New Roman"/>
        </w:rPr>
      </w:pPr>
      <w:r w:rsidRPr="002B039B">
        <w:rPr>
          <w:rFonts w:ascii="Times New Roman" w:hAnsi="Times New Roman" w:cs="Times New Roman"/>
        </w:rPr>
        <w:t xml:space="preserve">Modificar el porcentaje de cuantía adicional para que empiece a partir de las 300 cuotas (25 años </w:t>
      </w:r>
      <w:r w:rsidRPr="002B039B">
        <w:rPr>
          <w:rFonts w:ascii="Times New Roman" w:hAnsi="Times New Roman" w:cs="Times New Roman"/>
          <w:lang w:val="es-CR"/>
        </w:rPr>
        <w:t>cotizados</w:t>
      </w:r>
      <w:r w:rsidRPr="002B039B">
        <w:rPr>
          <w:rFonts w:ascii="Times New Roman" w:hAnsi="Times New Roman" w:cs="Times New Roman"/>
        </w:rPr>
        <w:t>). Se debe modificar el Reglamento del Seguro de Invalidez, Vejez y Muerte de la Caja Costarricense de Seguro Social mediante acuerdo de Junta Directiva de esa Institución.</w:t>
      </w:r>
    </w:p>
    <w:p w14:paraId="1371F185" w14:textId="77777777" w:rsidR="00DF6B5B" w:rsidRPr="002B039B" w:rsidRDefault="00DF6B5B" w:rsidP="0040090D">
      <w:pPr>
        <w:spacing w:after="0"/>
        <w:rPr>
          <w:rFonts w:ascii="Times New Roman" w:hAnsi="Times New Roman" w:cs="Times New Roman"/>
          <w:sz w:val="24"/>
        </w:rPr>
      </w:pPr>
    </w:p>
    <w:p w14:paraId="569D8C9E" w14:textId="3DE5C62E" w:rsidR="00D1543B" w:rsidRPr="006547EA" w:rsidRDefault="00D1543B" w:rsidP="003F15B5">
      <w:pPr>
        <w:tabs>
          <w:tab w:val="left" w:pos="1056"/>
        </w:tabs>
        <w:spacing w:after="0"/>
        <w:jc w:val="both"/>
        <w:rPr>
          <w:rFonts w:ascii="Times New Roman" w:hAnsi="Times New Roman" w:cs="Times New Roman"/>
          <w:sz w:val="24"/>
          <w:szCs w:val="24"/>
        </w:rPr>
      </w:pPr>
    </w:p>
    <w:sectPr w:rsidR="00D1543B" w:rsidRPr="006547EA" w:rsidSect="00D053BF">
      <w:footerReference w:type="default" r:id="rId25"/>
      <w:pgSz w:w="12240" w:h="15840"/>
      <w:pgMar w:top="720" w:right="1183"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29A6E" w14:textId="77777777" w:rsidR="004D4753" w:rsidRDefault="004D4753" w:rsidP="00081470">
      <w:pPr>
        <w:spacing w:after="0" w:line="240" w:lineRule="auto"/>
      </w:pPr>
      <w:r>
        <w:separator/>
      </w:r>
    </w:p>
  </w:endnote>
  <w:endnote w:type="continuationSeparator" w:id="0">
    <w:p w14:paraId="292BC1E5" w14:textId="77777777" w:rsidR="004D4753" w:rsidRDefault="004D4753" w:rsidP="00081470">
      <w:pPr>
        <w:spacing w:after="0" w:line="240" w:lineRule="auto"/>
      </w:pPr>
      <w:r>
        <w:continuationSeparator/>
      </w:r>
    </w:p>
  </w:endnote>
  <w:endnote w:type="continuationNotice" w:id="1">
    <w:p w14:paraId="16906473" w14:textId="77777777" w:rsidR="004D4753" w:rsidRDefault="004D4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82683"/>
      <w:docPartObj>
        <w:docPartGallery w:val="Page Numbers (Bottom of Page)"/>
        <w:docPartUnique/>
      </w:docPartObj>
    </w:sdtPr>
    <w:sdtEndPr/>
    <w:sdtContent>
      <w:p w14:paraId="2A36E703" w14:textId="7AACD627" w:rsidR="004D4753" w:rsidRDefault="004D4753">
        <w:pPr>
          <w:pStyle w:val="Piedepgina"/>
          <w:jc w:val="center"/>
        </w:pPr>
        <w:r>
          <w:fldChar w:fldCharType="begin"/>
        </w:r>
        <w:r>
          <w:instrText>PAGE   \* MERGEFORMAT</w:instrText>
        </w:r>
        <w:r>
          <w:fldChar w:fldCharType="separate"/>
        </w:r>
        <w:r w:rsidR="00742B4D">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2999" w14:textId="77777777" w:rsidR="004D4753" w:rsidRDefault="004D4753" w:rsidP="00081470">
      <w:pPr>
        <w:spacing w:after="0" w:line="240" w:lineRule="auto"/>
      </w:pPr>
      <w:r>
        <w:separator/>
      </w:r>
    </w:p>
  </w:footnote>
  <w:footnote w:type="continuationSeparator" w:id="0">
    <w:p w14:paraId="3BCB03D7" w14:textId="77777777" w:rsidR="004D4753" w:rsidRDefault="004D4753" w:rsidP="00081470">
      <w:pPr>
        <w:spacing w:after="0" w:line="240" w:lineRule="auto"/>
      </w:pPr>
      <w:r>
        <w:continuationSeparator/>
      </w:r>
    </w:p>
  </w:footnote>
  <w:footnote w:type="continuationNotice" w:id="1">
    <w:p w14:paraId="3848C4E7" w14:textId="77777777" w:rsidR="004D4753" w:rsidRDefault="004D47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4EE"/>
    <w:multiLevelType w:val="hybridMultilevel"/>
    <w:tmpl w:val="27F8C5EA"/>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8AD02EE"/>
    <w:multiLevelType w:val="hybridMultilevel"/>
    <w:tmpl w:val="0792C83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09FD63AF"/>
    <w:multiLevelType w:val="hybridMultilevel"/>
    <w:tmpl w:val="F5E8476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0B8822E2"/>
    <w:multiLevelType w:val="hybridMultilevel"/>
    <w:tmpl w:val="04E88B06"/>
    <w:lvl w:ilvl="0" w:tplc="FE4C7070">
      <w:start w:val="1"/>
      <w:numFmt w:val="decimal"/>
      <w:lvlText w:val="%1."/>
      <w:lvlJc w:val="left"/>
      <w:pPr>
        <w:ind w:left="360" w:hanging="360"/>
      </w:pPr>
      <w:rPr>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CCB0AD9"/>
    <w:multiLevelType w:val="hybridMultilevel"/>
    <w:tmpl w:val="BC1621C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15A64299"/>
    <w:multiLevelType w:val="hybridMultilevel"/>
    <w:tmpl w:val="4CAE1632"/>
    <w:lvl w:ilvl="0" w:tplc="140A0001">
      <w:start w:val="1"/>
      <w:numFmt w:val="bullet"/>
      <w:lvlText w:val=""/>
      <w:lvlJc w:val="left"/>
      <w:pPr>
        <w:ind w:left="1571" w:hanging="360"/>
      </w:pPr>
      <w:rPr>
        <w:rFonts w:ascii="Symbol" w:hAnsi="Symbol"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6" w15:restartNumberingAfterBreak="0">
    <w:nsid w:val="15D83357"/>
    <w:multiLevelType w:val="hybridMultilevel"/>
    <w:tmpl w:val="81F4E1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7E44A9E"/>
    <w:multiLevelType w:val="hybridMultilevel"/>
    <w:tmpl w:val="CBF4F308"/>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19A8000A"/>
    <w:multiLevelType w:val="hybridMultilevel"/>
    <w:tmpl w:val="57EC90E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2070119C"/>
    <w:multiLevelType w:val="hybridMultilevel"/>
    <w:tmpl w:val="8DAA2BE4"/>
    <w:lvl w:ilvl="0" w:tplc="D88E57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FC79AF"/>
    <w:multiLevelType w:val="hybridMultilevel"/>
    <w:tmpl w:val="F66E93C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082045"/>
    <w:multiLevelType w:val="hybridMultilevel"/>
    <w:tmpl w:val="0C961F90"/>
    <w:lvl w:ilvl="0" w:tplc="140A000F">
      <w:start w:val="1"/>
      <w:numFmt w:val="decimal"/>
      <w:lvlText w:val="%1."/>
      <w:lvlJc w:val="left"/>
      <w:pPr>
        <w:ind w:left="2880" w:hanging="360"/>
      </w:pPr>
    </w:lvl>
    <w:lvl w:ilvl="1" w:tplc="140A0019">
      <w:start w:val="1"/>
      <w:numFmt w:val="lowerLetter"/>
      <w:lvlText w:val="%2."/>
      <w:lvlJc w:val="left"/>
      <w:pPr>
        <w:ind w:left="3600" w:hanging="360"/>
      </w:pPr>
    </w:lvl>
    <w:lvl w:ilvl="2" w:tplc="140A001B">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12" w15:restartNumberingAfterBreak="0">
    <w:nsid w:val="32A94C1B"/>
    <w:multiLevelType w:val="hybridMultilevel"/>
    <w:tmpl w:val="E86E4A96"/>
    <w:lvl w:ilvl="0" w:tplc="C28275F0">
      <w:start w:val="6"/>
      <w:numFmt w:val="bullet"/>
      <w:lvlText w:val=""/>
      <w:lvlJc w:val="left"/>
      <w:pPr>
        <w:ind w:left="405" w:hanging="360"/>
      </w:pPr>
      <w:rPr>
        <w:rFonts w:ascii="Symbol" w:eastAsiaTheme="minorHAnsi" w:hAnsi="Symbol" w:cstheme="minorBidi" w:hint="default"/>
      </w:rPr>
    </w:lvl>
    <w:lvl w:ilvl="1" w:tplc="140A0003" w:tentative="1">
      <w:start w:val="1"/>
      <w:numFmt w:val="bullet"/>
      <w:lvlText w:val="o"/>
      <w:lvlJc w:val="left"/>
      <w:pPr>
        <w:ind w:left="1125" w:hanging="360"/>
      </w:pPr>
      <w:rPr>
        <w:rFonts w:ascii="Courier New" w:hAnsi="Courier New" w:cs="Courier New" w:hint="default"/>
      </w:rPr>
    </w:lvl>
    <w:lvl w:ilvl="2" w:tplc="140A0005" w:tentative="1">
      <w:start w:val="1"/>
      <w:numFmt w:val="bullet"/>
      <w:lvlText w:val=""/>
      <w:lvlJc w:val="left"/>
      <w:pPr>
        <w:ind w:left="1845" w:hanging="360"/>
      </w:pPr>
      <w:rPr>
        <w:rFonts w:ascii="Wingdings" w:hAnsi="Wingdings" w:hint="default"/>
      </w:rPr>
    </w:lvl>
    <w:lvl w:ilvl="3" w:tplc="140A0001" w:tentative="1">
      <w:start w:val="1"/>
      <w:numFmt w:val="bullet"/>
      <w:lvlText w:val=""/>
      <w:lvlJc w:val="left"/>
      <w:pPr>
        <w:ind w:left="2565" w:hanging="360"/>
      </w:pPr>
      <w:rPr>
        <w:rFonts w:ascii="Symbol" w:hAnsi="Symbol" w:hint="default"/>
      </w:rPr>
    </w:lvl>
    <w:lvl w:ilvl="4" w:tplc="140A0003" w:tentative="1">
      <w:start w:val="1"/>
      <w:numFmt w:val="bullet"/>
      <w:lvlText w:val="o"/>
      <w:lvlJc w:val="left"/>
      <w:pPr>
        <w:ind w:left="3285" w:hanging="360"/>
      </w:pPr>
      <w:rPr>
        <w:rFonts w:ascii="Courier New" w:hAnsi="Courier New" w:cs="Courier New" w:hint="default"/>
      </w:rPr>
    </w:lvl>
    <w:lvl w:ilvl="5" w:tplc="140A0005" w:tentative="1">
      <w:start w:val="1"/>
      <w:numFmt w:val="bullet"/>
      <w:lvlText w:val=""/>
      <w:lvlJc w:val="left"/>
      <w:pPr>
        <w:ind w:left="4005" w:hanging="360"/>
      </w:pPr>
      <w:rPr>
        <w:rFonts w:ascii="Wingdings" w:hAnsi="Wingdings" w:hint="default"/>
      </w:rPr>
    </w:lvl>
    <w:lvl w:ilvl="6" w:tplc="140A0001" w:tentative="1">
      <w:start w:val="1"/>
      <w:numFmt w:val="bullet"/>
      <w:lvlText w:val=""/>
      <w:lvlJc w:val="left"/>
      <w:pPr>
        <w:ind w:left="4725" w:hanging="360"/>
      </w:pPr>
      <w:rPr>
        <w:rFonts w:ascii="Symbol" w:hAnsi="Symbol" w:hint="default"/>
      </w:rPr>
    </w:lvl>
    <w:lvl w:ilvl="7" w:tplc="140A0003" w:tentative="1">
      <w:start w:val="1"/>
      <w:numFmt w:val="bullet"/>
      <w:lvlText w:val="o"/>
      <w:lvlJc w:val="left"/>
      <w:pPr>
        <w:ind w:left="5445" w:hanging="360"/>
      </w:pPr>
      <w:rPr>
        <w:rFonts w:ascii="Courier New" w:hAnsi="Courier New" w:cs="Courier New" w:hint="default"/>
      </w:rPr>
    </w:lvl>
    <w:lvl w:ilvl="8" w:tplc="140A0005" w:tentative="1">
      <w:start w:val="1"/>
      <w:numFmt w:val="bullet"/>
      <w:lvlText w:val=""/>
      <w:lvlJc w:val="left"/>
      <w:pPr>
        <w:ind w:left="6165" w:hanging="360"/>
      </w:pPr>
      <w:rPr>
        <w:rFonts w:ascii="Wingdings" w:hAnsi="Wingdings" w:hint="default"/>
      </w:rPr>
    </w:lvl>
  </w:abstractNum>
  <w:abstractNum w:abstractNumId="13" w15:restartNumberingAfterBreak="0">
    <w:nsid w:val="37FD3054"/>
    <w:multiLevelType w:val="hybridMultilevel"/>
    <w:tmpl w:val="F1C48C68"/>
    <w:lvl w:ilvl="0" w:tplc="140A000F">
      <w:start w:val="1"/>
      <w:numFmt w:val="decimal"/>
      <w:lvlText w:val="%1."/>
      <w:lvlJc w:val="left"/>
      <w:pPr>
        <w:ind w:left="360" w:hanging="360"/>
      </w:pPr>
    </w:lvl>
    <w:lvl w:ilvl="1" w:tplc="0A2EEF66">
      <w:start w:val="1"/>
      <w:numFmt w:val="lowerLetter"/>
      <w:lvlText w:val="%2."/>
      <w:lvlJc w:val="left"/>
      <w:pPr>
        <w:ind w:left="1080" w:hanging="360"/>
      </w:pPr>
      <w:rPr>
        <w:b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AF34F26"/>
    <w:multiLevelType w:val="hybridMultilevel"/>
    <w:tmpl w:val="6CA21DCC"/>
    <w:lvl w:ilvl="0" w:tplc="140A0001">
      <w:start w:val="1"/>
      <w:numFmt w:val="bullet"/>
      <w:lvlText w:val=""/>
      <w:lvlJc w:val="left"/>
      <w:pPr>
        <w:ind w:left="360" w:hanging="360"/>
      </w:pPr>
      <w:rPr>
        <w:rFonts w:ascii="Symbol" w:hAnsi="Symbol"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B142B1D"/>
    <w:multiLevelType w:val="hybridMultilevel"/>
    <w:tmpl w:val="4A028916"/>
    <w:lvl w:ilvl="0" w:tplc="AEFA63EE">
      <w:start w:val="1"/>
      <w:numFmt w:val="bullet"/>
      <w:lvlText w:val="•"/>
      <w:lvlJc w:val="left"/>
      <w:pPr>
        <w:tabs>
          <w:tab w:val="num" w:pos="720"/>
        </w:tabs>
        <w:ind w:left="720" w:hanging="360"/>
      </w:pPr>
      <w:rPr>
        <w:rFonts w:ascii="Arial" w:hAnsi="Arial" w:hint="default"/>
      </w:rPr>
    </w:lvl>
    <w:lvl w:ilvl="1" w:tplc="FFE82AE4" w:tentative="1">
      <w:start w:val="1"/>
      <w:numFmt w:val="bullet"/>
      <w:lvlText w:val="•"/>
      <w:lvlJc w:val="left"/>
      <w:pPr>
        <w:tabs>
          <w:tab w:val="num" w:pos="1440"/>
        </w:tabs>
        <w:ind w:left="1440" w:hanging="360"/>
      </w:pPr>
      <w:rPr>
        <w:rFonts w:ascii="Arial" w:hAnsi="Arial" w:hint="default"/>
      </w:rPr>
    </w:lvl>
    <w:lvl w:ilvl="2" w:tplc="CA6AC8FC" w:tentative="1">
      <w:start w:val="1"/>
      <w:numFmt w:val="bullet"/>
      <w:lvlText w:val="•"/>
      <w:lvlJc w:val="left"/>
      <w:pPr>
        <w:tabs>
          <w:tab w:val="num" w:pos="2160"/>
        </w:tabs>
        <w:ind w:left="2160" w:hanging="360"/>
      </w:pPr>
      <w:rPr>
        <w:rFonts w:ascii="Arial" w:hAnsi="Arial" w:hint="default"/>
      </w:rPr>
    </w:lvl>
    <w:lvl w:ilvl="3" w:tplc="0E8A1556" w:tentative="1">
      <w:start w:val="1"/>
      <w:numFmt w:val="bullet"/>
      <w:lvlText w:val="•"/>
      <w:lvlJc w:val="left"/>
      <w:pPr>
        <w:tabs>
          <w:tab w:val="num" w:pos="2880"/>
        </w:tabs>
        <w:ind w:left="2880" w:hanging="360"/>
      </w:pPr>
      <w:rPr>
        <w:rFonts w:ascii="Arial" w:hAnsi="Arial" w:hint="default"/>
      </w:rPr>
    </w:lvl>
    <w:lvl w:ilvl="4" w:tplc="E6DE694A" w:tentative="1">
      <w:start w:val="1"/>
      <w:numFmt w:val="bullet"/>
      <w:lvlText w:val="•"/>
      <w:lvlJc w:val="left"/>
      <w:pPr>
        <w:tabs>
          <w:tab w:val="num" w:pos="3600"/>
        </w:tabs>
        <w:ind w:left="3600" w:hanging="360"/>
      </w:pPr>
      <w:rPr>
        <w:rFonts w:ascii="Arial" w:hAnsi="Arial" w:hint="default"/>
      </w:rPr>
    </w:lvl>
    <w:lvl w:ilvl="5" w:tplc="D166C98A" w:tentative="1">
      <w:start w:val="1"/>
      <w:numFmt w:val="bullet"/>
      <w:lvlText w:val="•"/>
      <w:lvlJc w:val="left"/>
      <w:pPr>
        <w:tabs>
          <w:tab w:val="num" w:pos="4320"/>
        </w:tabs>
        <w:ind w:left="4320" w:hanging="360"/>
      </w:pPr>
      <w:rPr>
        <w:rFonts w:ascii="Arial" w:hAnsi="Arial" w:hint="default"/>
      </w:rPr>
    </w:lvl>
    <w:lvl w:ilvl="6" w:tplc="30AEF756" w:tentative="1">
      <w:start w:val="1"/>
      <w:numFmt w:val="bullet"/>
      <w:lvlText w:val="•"/>
      <w:lvlJc w:val="left"/>
      <w:pPr>
        <w:tabs>
          <w:tab w:val="num" w:pos="5040"/>
        </w:tabs>
        <w:ind w:left="5040" w:hanging="360"/>
      </w:pPr>
      <w:rPr>
        <w:rFonts w:ascii="Arial" w:hAnsi="Arial" w:hint="default"/>
      </w:rPr>
    </w:lvl>
    <w:lvl w:ilvl="7" w:tplc="59DA9A9C" w:tentative="1">
      <w:start w:val="1"/>
      <w:numFmt w:val="bullet"/>
      <w:lvlText w:val="•"/>
      <w:lvlJc w:val="left"/>
      <w:pPr>
        <w:tabs>
          <w:tab w:val="num" w:pos="5760"/>
        </w:tabs>
        <w:ind w:left="5760" w:hanging="360"/>
      </w:pPr>
      <w:rPr>
        <w:rFonts w:ascii="Arial" w:hAnsi="Arial" w:hint="default"/>
      </w:rPr>
    </w:lvl>
    <w:lvl w:ilvl="8" w:tplc="EE3AD4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764C89"/>
    <w:multiLevelType w:val="hybridMultilevel"/>
    <w:tmpl w:val="DEC0F34C"/>
    <w:lvl w:ilvl="0" w:tplc="140A000D">
      <w:start w:val="1"/>
      <w:numFmt w:val="bullet"/>
      <w:lvlText w:val=""/>
      <w:lvlJc w:val="left"/>
      <w:pPr>
        <w:ind w:left="1004" w:hanging="360"/>
      </w:pPr>
      <w:rPr>
        <w:rFonts w:ascii="Wingdings" w:hAnsi="Wingding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7" w15:restartNumberingAfterBreak="0">
    <w:nsid w:val="3EEA6648"/>
    <w:multiLevelType w:val="hybridMultilevel"/>
    <w:tmpl w:val="3AC61178"/>
    <w:lvl w:ilvl="0" w:tplc="6C08F7C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6962266"/>
    <w:multiLevelType w:val="hybridMultilevel"/>
    <w:tmpl w:val="97C0055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A903544"/>
    <w:multiLevelType w:val="hybridMultilevel"/>
    <w:tmpl w:val="438A6E94"/>
    <w:lvl w:ilvl="0" w:tplc="C1A8EC6E">
      <w:start w:val="1"/>
      <w:numFmt w:val="bullet"/>
      <w:lvlText w:val="•"/>
      <w:lvlJc w:val="left"/>
      <w:pPr>
        <w:tabs>
          <w:tab w:val="num" w:pos="720"/>
        </w:tabs>
        <w:ind w:left="720" w:hanging="360"/>
      </w:pPr>
      <w:rPr>
        <w:rFonts w:ascii="Arial" w:hAnsi="Arial" w:hint="default"/>
      </w:rPr>
    </w:lvl>
    <w:lvl w:ilvl="1" w:tplc="FA5A118E" w:tentative="1">
      <w:start w:val="1"/>
      <w:numFmt w:val="bullet"/>
      <w:lvlText w:val="•"/>
      <w:lvlJc w:val="left"/>
      <w:pPr>
        <w:tabs>
          <w:tab w:val="num" w:pos="1440"/>
        </w:tabs>
        <w:ind w:left="1440" w:hanging="360"/>
      </w:pPr>
      <w:rPr>
        <w:rFonts w:ascii="Arial" w:hAnsi="Arial" w:hint="default"/>
      </w:rPr>
    </w:lvl>
    <w:lvl w:ilvl="2" w:tplc="F74E0B74" w:tentative="1">
      <w:start w:val="1"/>
      <w:numFmt w:val="bullet"/>
      <w:lvlText w:val="•"/>
      <w:lvlJc w:val="left"/>
      <w:pPr>
        <w:tabs>
          <w:tab w:val="num" w:pos="2160"/>
        </w:tabs>
        <w:ind w:left="2160" w:hanging="360"/>
      </w:pPr>
      <w:rPr>
        <w:rFonts w:ascii="Arial" w:hAnsi="Arial" w:hint="default"/>
      </w:rPr>
    </w:lvl>
    <w:lvl w:ilvl="3" w:tplc="C87AA2FC" w:tentative="1">
      <w:start w:val="1"/>
      <w:numFmt w:val="bullet"/>
      <w:lvlText w:val="•"/>
      <w:lvlJc w:val="left"/>
      <w:pPr>
        <w:tabs>
          <w:tab w:val="num" w:pos="2880"/>
        </w:tabs>
        <w:ind w:left="2880" w:hanging="360"/>
      </w:pPr>
      <w:rPr>
        <w:rFonts w:ascii="Arial" w:hAnsi="Arial" w:hint="default"/>
      </w:rPr>
    </w:lvl>
    <w:lvl w:ilvl="4" w:tplc="4D7C2256" w:tentative="1">
      <w:start w:val="1"/>
      <w:numFmt w:val="bullet"/>
      <w:lvlText w:val="•"/>
      <w:lvlJc w:val="left"/>
      <w:pPr>
        <w:tabs>
          <w:tab w:val="num" w:pos="3600"/>
        </w:tabs>
        <w:ind w:left="3600" w:hanging="360"/>
      </w:pPr>
      <w:rPr>
        <w:rFonts w:ascii="Arial" w:hAnsi="Arial" w:hint="default"/>
      </w:rPr>
    </w:lvl>
    <w:lvl w:ilvl="5" w:tplc="8DF8D5BE" w:tentative="1">
      <w:start w:val="1"/>
      <w:numFmt w:val="bullet"/>
      <w:lvlText w:val="•"/>
      <w:lvlJc w:val="left"/>
      <w:pPr>
        <w:tabs>
          <w:tab w:val="num" w:pos="4320"/>
        </w:tabs>
        <w:ind w:left="4320" w:hanging="360"/>
      </w:pPr>
      <w:rPr>
        <w:rFonts w:ascii="Arial" w:hAnsi="Arial" w:hint="default"/>
      </w:rPr>
    </w:lvl>
    <w:lvl w:ilvl="6" w:tplc="87B4674E" w:tentative="1">
      <w:start w:val="1"/>
      <w:numFmt w:val="bullet"/>
      <w:lvlText w:val="•"/>
      <w:lvlJc w:val="left"/>
      <w:pPr>
        <w:tabs>
          <w:tab w:val="num" w:pos="5040"/>
        </w:tabs>
        <w:ind w:left="5040" w:hanging="360"/>
      </w:pPr>
      <w:rPr>
        <w:rFonts w:ascii="Arial" w:hAnsi="Arial" w:hint="default"/>
      </w:rPr>
    </w:lvl>
    <w:lvl w:ilvl="7" w:tplc="8C90DDEC" w:tentative="1">
      <w:start w:val="1"/>
      <w:numFmt w:val="bullet"/>
      <w:lvlText w:val="•"/>
      <w:lvlJc w:val="left"/>
      <w:pPr>
        <w:tabs>
          <w:tab w:val="num" w:pos="5760"/>
        </w:tabs>
        <w:ind w:left="5760" w:hanging="360"/>
      </w:pPr>
      <w:rPr>
        <w:rFonts w:ascii="Arial" w:hAnsi="Arial" w:hint="default"/>
      </w:rPr>
    </w:lvl>
    <w:lvl w:ilvl="8" w:tplc="48BEFC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230DBD"/>
    <w:multiLevelType w:val="hybridMultilevel"/>
    <w:tmpl w:val="8F6C93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D655F14"/>
    <w:multiLevelType w:val="hybridMultilevel"/>
    <w:tmpl w:val="85E4EEB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A890CB0"/>
    <w:multiLevelType w:val="hybridMultilevel"/>
    <w:tmpl w:val="657CE3AE"/>
    <w:lvl w:ilvl="0" w:tplc="0C0A0019">
      <w:start w:val="1"/>
      <w:numFmt w:val="low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3" w15:restartNumberingAfterBreak="0">
    <w:nsid w:val="5D4E437C"/>
    <w:multiLevelType w:val="hybridMultilevel"/>
    <w:tmpl w:val="5A9ECAAC"/>
    <w:lvl w:ilvl="0" w:tplc="140A0019">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4" w15:restartNumberingAfterBreak="0">
    <w:nsid w:val="60E153BE"/>
    <w:multiLevelType w:val="hybridMultilevel"/>
    <w:tmpl w:val="EA78938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5" w15:restartNumberingAfterBreak="0">
    <w:nsid w:val="67126EB4"/>
    <w:multiLevelType w:val="hybridMultilevel"/>
    <w:tmpl w:val="7960B5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E8246E6"/>
    <w:multiLevelType w:val="hybridMultilevel"/>
    <w:tmpl w:val="2DB839C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6F5F6A05"/>
    <w:multiLevelType w:val="hybridMultilevel"/>
    <w:tmpl w:val="3E966322"/>
    <w:lvl w:ilvl="0" w:tplc="140A0001">
      <w:start w:val="1"/>
      <w:numFmt w:val="bullet"/>
      <w:lvlText w:val=""/>
      <w:lvlJc w:val="left"/>
      <w:pPr>
        <w:ind w:left="1068" w:hanging="360"/>
      </w:pPr>
      <w:rPr>
        <w:rFonts w:ascii="Symbol" w:hAnsi="Symbol"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8" w15:restartNumberingAfterBreak="0">
    <w:nsid w:val="700B30EC"/>
    <w:multiLevelType w:val="hybridMultilevel"/>
    <w:tmpl w:val="3288E48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0180FB2"/>
    <w:multiLevelType w:val="hybridMultilevel"/>
    <w:tmpl w:val="ADC28D3C"/>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05421BB"/>
    <w:multiLevelType w:val="hybridMultilevel"/>
    <w:tmpl w:val="8BCED68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70AC4A67"/>
    <w:multiLevelType w:val="hybridMultilevel"/>
    <w:tmpl w:val="2BC6A44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2" w15:restartNumberingAfterBreak="0">
    <w:nsid w:val="71C60506"/>
    <w:multiLevelType w:val="hybridMultilevel"/>
    <w:tmpl w:val="C966F064"/>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77F36726"/>
    <w:multiLevelType w:val="hybridMultilevel"/>
    <w:tmpl w:val="FD1E2F5A"/>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7B4F4CC1"/>
    <w:multiLevelType w:val="hybridMultilevel"/>
    <w:tmpl w:val="A57645EC"/>
    <w:lvl w:ilvl="0" w:tplc="203056BA">
      <w:start w:val="856"/>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FFC499C"/>
    <w:multiLevelType w:val="hybridMultilevel"/>
    <w:tmpl w:val="6DC6E0D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3"/>
  </w:num>
  <w:num w:numId="2">
    <w:abstractNumId w:val="30"/>
  </w:num>
  <w:num w:numId="3">
    <w:abstractNumId w:val="35"/>
  </w:num>
  <w:num w:numId="4">
    <w:abstractNumId w:val="3"/>
  </w:num>
  <w:num w:numId="5">
    <w:abstractNumId w:val="33"/>
  </w:num>
  <w:num w:numId="6">
    <w:abstractNumId w:val="12"/>
  </w:num>
  <w:num w:numId="7">
    <w:abstractNumId w:val="34"/>
  </w:num>
  <w:num w:numId="8">
    <w:abstractNumId w:val="18"/>
  </w:num>
  <w:num w:numId="9">
    <w:abstractNumId w:val="6"/>
  </w:num>
  <w:num w:numId="10">
    <w:abstractNumId w:val="25"/>
  </w:num>
  <w:num w:numId="11">
    <w:abstractNumId w:val="28"/>
  </w:num>
  <w:num w:numId="12">
    <w:abstractNumId w:val="9"/>
  </w:num>
  <w:num w:numId="13">
    <w:abstractNumId w:val="23"/>
  </w:num>
  <w:num w:numId="14">
    <w:abstractNumId w:val="1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15"/>
  </w:num>
  <w:num w:numId="20">
    <w:abstractNumId w:val="27"/>
  </w:num>
  <w:num w:numId="21">
    <w:abstractNumId w:val="21"/>
  </w:num>
  <w:num w:numId="22">
    <w:abstractNumId w:val="22"/>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
  </w:num>
  <w:num w:numId="30">
    <w:abstractNumId w:val="20"/>
  </w:num>
  <w:num w:numId="31">
    <w:abstractNumId w:val="0"/>
  </w:num>
  <w:num w:numId="32">
    <w:abstractNumId w:val="29"/>
  </w:num>
  <w:num w:numId="33">
    <w:abstractNumId w:val="16"/>
  </w:num>
  <w:num w:numId="34">
    <w:abstractNumId w:val="31"/>
  </w:num>
  <w:num w:numId="35">
    <w:abstractNumId w:val="32"/>
  </w:num>
  <w:num w:numId="36">
    <w:abstractNumId w:val="8"/>
  </w:num>
  <w:num w:numId="3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autoHyphenation/>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60"/>
    <w:rsid w:val="00000198"/>
    <w:rsid w:val="0000443C"/>
    <w:rsid w:val="0000610F"/>
    <w:rsid w:val="000074A5"/>
    <w:rsid w:val="0000774F"/>
    <w:rsid w:val="000102FC"/>
    <w:rsid w:val="00014443"/>
    <w:rsid w:val="00015F11"/>
    <w:rsid w:val="0001622A"/>
    <w:rsid w:val="00016D35"/>
    <w:rsid w:val="00022675"/>
    <w:rsid w:val="00022C1D"/>
    <w:rsid w:val="00022F9D"/>
    <w:rsid w:val="000232CD"/>
    <w:rsid w:val="000252B1"/>
    <w:rsid w:val="00025D30"/>
    <w:rsid w:val="00026199"/>
    <w:rsid w:val="000271FD"/>
    <w:rsid w:val="00027413"/>
    <w:rsid w:val="000274D4"/>
    <w:rsid w:val="0003105B"/>
    <w:rsid w:val="0003279B"/>
    <w:rsid w:val="000327C1"/>
    <w:rsid w:val="00032E7E"/>
    <w:rsid w:val="000333F6"/>
    <w:rsid w:val="00033BAE"/>
    <w:rsid w:val="000345F4"/>
    <w:rsid w:val="00041126"/>
    <w:rsid w:val="00041D06"/>
    <w:rsid w:val="000434CA"/>
    <w:rsid w:val="00050D86"/>
    <w:rsid w:val="000511E4"/>
    <w:rsid w:val="000512C9"/>
    <w:rsid w:val="00052A16"/>
    <w:rsid w:val="00052FDE"/>
    <w:rsid w:val="00053E97"/>
    <w:rsid w:val="00054F06"/>
    <w:rsid w:val="00056B11"/>
    <w:rsid w:val="00056F0F"/>
    <w:rsid w:val="00060BE8"/>
    <w:rsid w:val="00060F6E"/>
    <w:rsid w:val="000614D6"/>
    <w:rsid w:val="00062271"/>
    <w:rsid w:val="000658B4"/>
    <w:rsid w:val="00065C51"/>
    <w:rsid w:val="00067AC7"/>
    <w:rsid w:val="00070879"/>
    <w:rsid w:val="00071977"/>
    <w:rsid w:val="00072DC4"/>
    <w:rsid w:val="000800EE"/>
    <w:rsid w:val="000803A6"/>
    <w:rsid w:val="0008065F"/>
    <w:rsid w:val="00080BB0"/>
    <w:rsid w:val="00081470"/>
    <w:rsid w:val="00083D40"/>
    <w:rsid w:val="00083E97"/>
    <w:rsid w:val="00084993"/>
    <w:rsid w:val="00085E49"/>
    <w:rsid w:val="00086922"/>
    <w:rsid w:val="0009006F"/>
    <w:rsid w:val="0009100B"/>
    <w:rsid w:val="000922B0"/>
    <w:rsid w:val="00096E89"/>
    <w:rsid w:val="00097EBB"/>
    <w:rsid w:val="000A06E4"/>
    <w:rsid w:val="000A0D86"/>
    <w:rsid w:val="000A343E"/>
    <w:rsid w:val="000B2ADE"/>
    <w:rsid w:val="000B411E"/>
    <w:rsid w:val="000B4B1D"/>
    <w:rsid w:val="000B5D8C"/>
    <w:rsid w:val="000C00B4"/>
    <w:rsid w:val="000C24FD"/>
    <w:rsid w:val="000C33DE"/>
    <w:rsid w:val="000C4597"/>
    <w:rsid w:val="000C466A"/>
    <w:rsid w:val="000C6854"/>
    <w:rsid w:val="000D062C"/>
    <w:rsid w:val="000D18EE"/>
    <w:rsid w:val="000D1F7E"/>
    <w:rsid w:val="000D2642"/>
    <w:rsid w:val="000D282B"/>
    <w:rsid w:val="000D322E"/>
    <w:rsid w:val="000D6235"/>
    <w:rsid w:val="000E0B57"/>
    <w:rsid w:val="000E538B"/>
    <w:rsid w:val="000F21F3"/>
    <w:rsid w:val="000F2F6E"/>
    <w:rsid w:val="000F30AE"/>
    <w:rsid w:val="000F3F65"/>
    <w:rsid w:val="000F413C"/>
    <w:rsid w:val="000F65AD"/>
    <w:rsid w:val="001000E8"/>
    <w:rsid w:val="0010023D"/>
    <w:rsid w:val="00101CDB"/>
    <w:rsid w:val="001025A6"/>
    <w:rsid w:val="001027B8"/>
    <w:rsid w:val="00102B98"/>
    <w:rsid w:val="001031FA"/>
    <w:rsid w:val="001044EA"/>
    <w:rsid w:val="00104861"/>
    <w:rsid w:val="00106918"/>
    <w:rsid w:val="00106EE4"/>
    <w:rsid w:val="00110689"/>
    <w:rsid w:val="00110808"/>
    <w:rsid w:val="00110DF9"/>
    <w:rsid w:val="00114132"/>
    <w:rsid w:val="00116A67"/>
    <w:rsid w:val="00120AE0"/>
    <w:rsid w:val="00120D36"/>
    <w:rsid w:val="00122100"/>
    <w:rsid w:val="0012296A"/>
    <w:rsid w:val="00123E6E"/>
    <w:rsid w:val="001246FC"/>
    <w:rsid w:val="00131849"/>
    <w:rsid w:val="00132019"/>
    <w:rsid w:val="00132D30"/>
    <w:rsid w:val="00133DE9"/>
    <w:rsid w:val="00137859"/>
    <w:rsid w:val="00141888"/>
    <w:rsid w:val="00144677"/>
    <w:rsid w:val="0015033E"/>
    <w:rsid w:val="001507CD"/>
    <w:rsid w:val="00155996"/>
    <w:rsid w:val="00156DBA"/>
    <w:rsid w:val="001575D4"/>
    <w:rsid w:val="001636EB"/>
    <w:rsid w:val="0016383F"/>
    <w:rsid w:val="00164B75"/>
    <w:rsid w:val="00166173"/>
    <w:rsid w:val="00166ACA"/>
    <w:rsid w:val="00166E7F"/>
    <w:rsid w:val="00170142"/>
    <w:rsid w:val="00170F7E"/>
    <w:rsid w:val="001716FF"/>
    <w:rsid w:val="00171A2D"/>
    <w:rsid w:val="00171A72"/>
    <w:rsid w:val="00171B95"/>
    <w:rsid w:val="00174659"/>
    <w:rsid w:val="00174FCB"/>
    <w:rsid w:val="001757CE"/>
    <w:rsid w:val="00180123"/>
    <w:rsid w:val="001813D4"/>
    <w:rsid w:val="0018298B"/>
    <w:rsid w:val="0018415C"/>
    <w:rsid w:val="0018432B"/>
    <w:rsid w:val="00185082"/>
    <w:rsid w:val="00187AD6"/>
    <w:rsid w:val="001930D1"/>
    <w:rsid w:val="0019705A"/>
    <w:rsid w:val="001A024C"/>
    <w:rsid w:val="001A089A"/>
    <w:rsid w:val="001A4823"/>
    <w:rsid w:val="001A7B42"/>
    <w:rsid w:val="001A7F94"/>
    <w:rsid w:val="001B45FA"/>
    <w:rsid w:val="001B5652"/>
    <w:rsid w:val="001B5790"/>
    <w:rsid w:val="001B5D58"/>
    <w:rsid w:val="001B6EEF"/>
    <w:rsid w:val="001B76DC"/>
    <w:rsid w:val="001C104F"/>
    <w:rsid w:val="001C1D31"/>
    <w:rsid w:val="001C5E6A"/>
    <w:rsid w:val="001C75D3"/>
    <w:rsid w:val="001D3578"/>
    <w:rsid w:val="001E1BFC"/>
    <w:rsid w:val="001E5576"/>
    <w:rsid w:val="001E5DF5"/>
    <w:rsid w:val="001E6CC4"/>
    <w:rsid w:val="001F2037"/>
    <w:rsid w:val="001F3EFD"/>
    <w:rsid w:val="001F6652"/>
    <w:rsid w:val="001F689A"/>
    <w:rsid w:val="001F6D56"/>
    <w:rsid w:val="002001B5"/>
    <w:rsid w:val="002015A2"/>
    <w:rsid w:val="00204267"/>
    <w:rsid w:val="00205DB3"/>
    <w:rsid w:val="00206C0A"/>
    <w:rsid w:val="002120CD"/>
    <w:rsid w:val="00212702"/>
    <w:rsid w:val="002140D0"/>
    <w:rsid w:val="002151E8"/>
    <w:rsid w:val="00215A0F"/>
    <w:rsid w:val="002164E2"/>
    <w:rsid w:val="00216DAB"/>
    <w:rsid w:val="00220685"/>
    <w:rsid w:val="00220C8F"/>
    <w:rsid w:val="00220E06"/>
    <w:rsid w:val="00221EE3"/>
    <w:rsid w:val="00222102"/>
    <w:rsid w:val="0022343C"/>
    <w:rsid w:val="00224860"/>
    <w:rsid w:val="00224DE2"/>
    <w:rsid w:val="002259FD"/>
    <w:rsid w:val="00225AA6"/>
    <w:rsid w:val="00226165"/>
    <w:rsid w:val="00230BDE"/>
    <w:rsid w:val="002325A2"/>
    <w:rsid w:val="0023324B"/>
    <w:rsid w:val="00233948"/>
    <w:rsid w:val="0023517C"/>
    <w:rsid w:val="002364B3"/>
    <w:rsid w:val="00240BBD"/>
    <w:rsid w:val="00244026"/>
    <w:rsid w:val="002446B3"/>
    <w:rsid w:val="00244C7C"/>
    <w:rsid w:val="00245667"/>
    <w:rsid w:val="0024669E"/>
    <w:rsid w:val="002510C1"/>
    <w:rsid w:val="0025247D"/>
    <w:rsid w:val="0025283C"/>
    <w:rsid w:val="00254A69"/>
    <w:rsid w:val="00255955"/>
    <w:rsid w:val="00255DA5"/>
    <w:rsid w:val="002565F5"/>
    <w:rsid w:val="00260CF6"/>
    <w:rsid w:val="00261470"/>
    <w:rsid w:val="00263730"/>
    <w:rsid w:val="00266605"/>
    <w:rsid w:val="0027115A"/>
    <w:rsid w:val="002719C0"/>
    <w:rsid w:val="00271E22"/>
    <w:rsid w:val="00272590"/>
    <w:rsid w:val="00273916"/>
    <w:rsid w:val="00273F69"/>
    <w:rsid w:val="0027448D"/>
    <w:rsid w:val="002769E4"/>
    <w:rsid w:val="00276B37"/>
    <w:rsid w:val="00276CEF"/>
    <w:rsid w:val="002802A5"/>
    <w:rsid w:val="00282A44"/>
    <w:rsid w:val="002867BC"/>
    <w:rsid w:val="00287205"/>
    <w:rsid w:val="002917CE"/>
    <w:rsid w:val="00292AFB"/>
    <w:rsid w:val="00293A6A"/>
    <w:rsid w:val="002944C9"/>
    <w:rsid w:val="00295B37"/>
    <w:rsid w:val="00296500"/>
    <w:rsid w:val="002A3ACC"/>
    <w:rsid w:val="002A701A"/>
    <w:rsid w:val="002A7D07"/>
    <w:rsid w:val="002B039B"/>
    <w:rsid w:val="002B39D1"/>
    <w:rsid w:val="002B3AD3"/>
    <w:rsid w:val="002B4103"/>
    <w:rsid w:val="002C196B"/>
    <w:rsid w:val="002C1E09"/>
    <w:rsid w:val="002C3562"/>
    <w:rsid w:val="002D0668"/>
    <w:rsid w:val="002D2A0F"/>
    <w:rsid w:val="002D330B"/>
    <w:rsid w:val="002D48CD"/>
    <w:rsid w:val="002D5B0E"/>
    <w:rsid w:val="002E2A7E"/>
    <w:rsid w:val="002E3157"/>
    <w:rsid w:val="002E63DD"/>
    <w:rsid w:val="002E7A97"/>
    <w:rsid w:val="002F0718"/>
    <w:rsid w:val="002F3A4D"/>
    <w:rsid w:val="002F4825"/>
    <w:rsid w:val="00303699"/>
    <w:rsid w:val="00303763"/>
    <w:rsid w:val="00306C23"/>
    <w:rsid w:val="00314A23"/>
    <w:rsid w:val="00316F90"/>
    <w:rsid w:val="00317250"/>
    <w:rsid w:val="00321FA3"/>
    <w:rsid w:val="00326BFA"/>
    <w:rsid w:val="00327DA7"/>
    <w:rsid w:val="00330022"/>
    <w:rsid w:val="003302A1"/>
    <w:rsid w:val="00330AAC"/>
    <w:rsid w:val="00331F65"/>
    <w:rsid w:val="00332150"/>
    <w:rsid w:val="0033378E"/>
    <w:rsid w:val="003341A4"/>
    <w:rsid w:val="00334512"/>
    <w:rsid w:val="00334BC4"/>
    <w:rsid w:val="00337483"/>
    <w:rsid w:val="00340D6D"/>
    <w:rsid w:val="00340DE0"/>
    <w:rsid w:val="00341A75"/>
    <w:rsid w:val="00343544"/>
    <w:rsid w:val="0034367C"/>
    <w:rsid w:val="00345E63"/>
    <w:rsid w:val="00346880"/>
    <w:rsid w:val="00347210"/>
    <w:rsid w:val="00352E99"/>
    <w:rsid w:val="0035353F"/>
    <w:rsid w:val="00353A30"/>
    <w:rsid w:val="00353AD2"/>
    <w:rsid w:val="00354AEE"/>
    <w:rsid w:val="003563A2"/>
    <w:rsid w:val="003578EF"/>
    <w:rsid w:val="00357946"/>
    <w:rsid w:val="0036017A"/>
    <w:rsid w:val="00360593"/>
    <w:rsid w:val="003607BD"/>
    <w:rsid w:val="00363690"/>
    <w:rsid w:val="00363D05"/>
    <w:rsid w:val="00364131"/>
    <w:rsid w:val="00364753"/>
    <w:rsid w:val="00364C3F"/>
    <w:rsid w:val="00365468"/>
    <w:rsid w:val="0036552D"/>
    <w:rsid w:val="00365D02"/>
    <w:rsid w:val="0036715D"/>
    <w:rsid w:val="00367A92"/>
    <w:rsid w:val="003708C9"/>
    <w:rsid w:val="003710FC"/>
    <w:rsid w:val="0037139A"/>
    <w:rsid w:val="00371980"/>
    <w:rsid w:val="0037268E"/>
    <w:rsid w:val="00373C01"/>
    <w:rsid w:val="0037529A"/>
    <w:rsid w:val="00375367"/>
    <w:rsid w:val="00375A8E"/>
    <w:rsid w:val="00376E84"/>
    <w:rsid w:val="00376FA1"/>
    <w:rsid w:val="003771FA"/>
    <w:rsid w:val="00381555"/>
    <w:rsid w:val="00381BEC"/>
    <w:rsid w:val="00381F09"/>
    <w:rsid w:val="00383433"/>
    <w:rsid w:val="00383A37"/>
    <w:rsid w:val="00386F06"/>
    <w:rsid w:val="00387393"/>
    <w:rsid w:val="003905BA"/>
    <w:rsid w:val="00391AD5"/>
    <w:rsid w:val="003926AC"/>
    <w:rsid w:val="00393B67"/>
    <w:rsid w:val="00394291"/>
    <w:rsid w:val="003967D9"/>
    <w:rsid w:val="00397CE7"/>
    <w:rsid w:val="003A10EA"/>
    <w:rsid w:val="003A26FF"/>
    <w:rsid w:val="003A7CEE"/>
    <w:rsid w:val="003B04D6"/>
    <w:rsid w:val="003B11E7"/>
    <w:rsid w:val="003B24BA"/>
    <w:rsid w:val="003B2705"/>
    <w:rsid w:val="003B35C2"/>
    <w:rsid w:val="003B50C3"/>
    <w:rsid w:val="003B5745"/>
    <w:rsid w:val="003B7B9E"/>
    <w:rsid w:val="003C2694"/>
    <w:rsid w:val="003C3870"/>
    <w:rsid w:val="003C41D8"/>
    <w:rsid w:val="003C5577"/>
    <w:rsid w:val="003C644F"/>
    <w:rsid w:val="003C729C"/>
    <w:rsid w:val="003C7707"/>
    <w:rsid w:val="003D0163"/>
    <w:rsid w:val="003D098C"/>
    <w:rsid w:val="003D2156"/>
    <w:rsid w:val="003D252F"/>
    <w:rsid w:val="003D327D"/>
    <w:rsid w:val="003D3CE0"/>
    <w:rsid w:val="003D3DE2"/>
    <w:rsid w:val="003D7C25"/>
    <w:rsid w:val="003E1DEF"/>
    <w:rsid w:val="003E267B"/>
    <w:rsid w:val="003E2BBF"/>
    <w:rsid w:val="003E2CA1"/>
    <w:rsid w:val="003E3E0B"/>
    <w:rsid w:val="003E4E6C"/>
    <w:rsid w:val="003E5243"/>
    <w:rsid w:val="003E6890"/>
    <w:rsid w:val="003F15B5"/>
    <w:rsid w:val="003F5DA8"/>
    <w:rsid w:val="0040090D"/>
    <w:rsid w:val="00401E1A"/>
    <w:rsid w:val="0040390E"/>
    <w:rsid w:val="004045D4"/>
    <w:rsid w:val="00404626"/>
    <w:rsid w:val="00405E5B"/>
    <w:rsid w:val="00407122"/>
    <w:rsid w:val="00407E6E"/>
    <w:rsid w:val="004128B2"/>
    <w:rsid w:val="004141F6"/>
    <w:rsid w:val="00415CCD"/>
    <w:rsid w:val="004177A4"/>
    <w:rsid w:val="00417DAE"/>
    <w:rsid w:val="00420660"/>
    <w:rsid w:val="004228BA"/>
    <w:rsid w:val="0042383B"/>
    <w:rsid w:val="0042564D"/>
    <w:rsid w:val="004263FF"/>
    <w:rsid w:val="00431270"/>
    <w:rsid w:val="00431A36"/>
    <w:rsid w:val="004321B9"/>
    <w:rsid w:val="00433EA5"/>
    <w:rsid w:val="0043423B"/>
    <w:rsid w:val="00435978"/>
    <w:rsid w:val="00436033"/>
    <w:rsid w:val="00437B6A"/>
    <w:rsid w:val="00437CCF"/>
    <w:rsid w:val="00440660"/>
    <w:rsid w:val="00441E5B"/>
    <w:rsid w:val="00444888"/>
    <w:rsid w:val="0044686A"/>
    <w:rsid w:val="004478E3"/>
    <w:rsid w:val="00450ED1"/>
    <w:rsid w:val="004519B0"/>
    <w:rsid w:val="00455840"/>
    <w:rsid w:val="00456029"/>
    <w:rsid w:val="00460610"/>
    <w:rsid w:val="004617DD"/>
    <w:rsid w:val="0046229A"/>
    <w:rsid w:val="0046479E"/>
    <w:rsid w:val="00464915"/>
    <w:rsid w:val="00466C8E"/>
    <w:rsid w:val="004672AB"/>
    <w:rsid w:val="00467734"/>
    <w:rsid w:val="00470CD4"/>
    <w:rsid w:val="0047125E"/>
    <w:rsid w:val="00473A10"/>
    <w:rsid w:val="004744C1"/>
    <w:rsid w:val="00474CDD"/>
    <w:rsid w:val="0047761D"/>
    <w:rsid w:val="0048366F"/>
    <w:rsid w:val="00483E74"/>
    <w:rsid w:val="0048792B"/>
    <w:rsid w:val="004920C2"/>
    <w:rsid w:val="00492821"/>
    <w:rsid w:val="00493579"/>
    <w:rsid w:val="00494193"/>
    <w:rsid w:val="00497712"/>
    <w:rsid w:val="004A1CE9"/>
    <w:rsid w:val="004A2BDA"/>
    <w:rsid w:val="004A6964"/>
    <w:rsid w:val="004B1084"/>
    <w:rsid w:val="004B255B"/>
    <w:rsid w:val="004B64C7"/>
    <w:rsid w:val="004C0D34"/>
    <w:rsid w:val="004C277C"/>
    <w:rsid w:val="004C4B7A"/>
    <w:rsid w:val="004C5B85"/>
    <w:rsid w:val="004C7597"/>
    <w:rsid w:val="004D2473"/>
    <w:rsid w:val="004D347B"/>
    <w:rsid w:val="004D354C"/>
    <w:rsid w:val="004D3CF9"/>
    <w:rsid w:val="004D459E"/>
    <w:rsid w:val="004D4753"/>
    <w:rsid w:val="004D477C"/>
    <w:rsid w:val="004D6882"/>
    <w:rsid w:val="004D6A1E"/>
    <w:rsid w:val="004D781F"/>
    <w:rsid w:val="004E1415"/>
    <w:rsid w:val="004E1C42"/>
    <w:rsid w:val="004E3D8F"/>
    <w:rsid w:val="004E48AA"/>
    <w:rsid w:val="004E5AB8"/>
    <w:rsid w:val="004E6C09"/>
    <w:rsid w:val="004F0DEB"/>
    <w:rsid w:val="004F37D7"/>
    <w:rsid w:val="004F6313"/>
    <w:rsid w:val="004F74AC"/>
    <w:rsid w:val="00500A11"/>
    <w:rsid w:val="00502195"/>
    <w:rsid w:val="00503746"/>
    <w:rsid w:val="00504751"/>
    <w:rsid w:val="00504B38"/>
    <w:rsid w:val="0050542F"/>
    <w:rsid w:val="00505A22"/>
    <w:rsid w:val="00506429"/>
    <w:rsid w:val="00507E74"/>
    <w:rsid w:val="00511F71"/>
    <w:rsid w:val="0051285B"/>
    <w:rsid w:val="005129DD"/>
    <w:rsid w:val="00516E0B"/>
    <w:rsid w:val="00517CC8"/>
    <w:rsid w:val="005207C4"/>
    <w:rsid w:val="00521918"/>
    <w:rsid w:val="00521F8A"/>
    <w:rsid w:val="0052465D"/>
    <w:rsid w:val="00524E0A"/>
    <w:rsid w:val="00525CB9"/>
    <w:rsid w:val="00526FAD"/>
    <w:rsid w:val="0052714D"/>
    <w:rsid w:val="005272F9"/>
    <w:rsid w:val="005328CA"/>
    <w:rsid w:val="0053370E"/>
    <w:rsid w:val="005338C5"/>
    <w:rsid w:val="00534301"/>
    <w:rsid w:val="00534427"/>
    <w:rsid w:val="00535BBF"/>
    <w:rsid w:val="0054078A"/>
    <w:rsid w:val="00541D21"/>
    <w:rsid w:val="00541D88"/>
    <w:rsid w:val="005502D3"/>
    <w:rsid w:val="00550EEE"/>
    <w:rsid w:val="00551192"/>
    <w:rsid w:val="00555061"/>
    <w:rsid w:val="00557631"/>
    <w:rsid w:val="00560DC9"/>
    <w:rsid w:val="00561558"/>
    <w:rsid w:val="0056271D"/>
    <w:rsid w:val="00564A2F"/>
    <w:rsid w:val="005671B3"/>
    <w:rsid w:val="00570935"/>
    <w:rsid w:val="00571C9A"/>
    <w:rsid w:val="00572CF0"/>
    <w:rsid w:val="00572EC6"/>
    <w:rsid w:val="005737DC"/>
    <w:rsid w:val="00573B76"/>
    <w:rsid w:val="005766DD"/>
    <w:rsid w:val="00577D7B"/>
    <w:rsid w:val="00577E8B"/>
    <w:rsid w:val="00580F83"/>
    <w:rsid w:val="005814B1"/>
    <w:rsid w:val="00582519"/>
    <w:rsid w:val="005825D2"/>
    <w:rsid w:val="0058352F"/>
    <w:rsid w:val="00583BE4"/>
    <w:rsid w:val="00583CA1"/>
    <w:rsid w:val="00586BE4"/>
    <w:rsid w:val="00587FB2"/>
    <w:rsid w:val="005907A1"/>
    <w:rsid w:val="005926F2"/>
    <w:rsid w:val="005964A0"/>
    <w:rsid w:val="00596E6A"/>
    <w:rsid w:val="005A06F3"/>
    <w:rsid w:val="005A3741"/>
    <w:rsid w:val="005A4DCE"/>
    <w:rsid w:val="005A5D9B"/>
    <w:rsid w:val="005A685D"/>
    <w:rsid w:val="005A7A80"/>
    <w:rsid w:val="005B10AA"/>
    <w:rsid w:val="005B3188"/>
    <w:rsid w:val="005B35AF"/>
    <w:rsid w:val="005B377F"/>
    <w:rsid w:val="005B40AE"/>
    <w:rsid w:val="005B5E29"/>
    <w:rsid w:val="005B772B"/>
    <w:rsid w:val="005B799E"/>
    <w:rsid w:val="005C072A"/>
    <w:rsid w:val="005C11AE"/>
    <w:rsid w:val="005C1976"/>
    <w:rsid w:val="005C2182"/>
    <w:rsid w:val="005C4683"/>
    <w:rsid w:val="005C6130"/>
    <w:rsid w:val="005C6476"/>
    <w:rsid w:val="005D14A9"/>
    <w:rsid w:val="005D1C6D"/>
    <w:rsid w:val="005D2805"/>
    <w:rsid w:val="005D5264"/>
    <w:rsid w:val="005D68CA"/>
    <w:rsid w:val="005D70F7"/>
    <w:rsid w:val="005D736B"/>
    <w:rsid w:val="005D755E"/>
    <w:rsid w:val="005E219B"/>
    <w:rsid w:val="005E3EF1"/>
    <w:rsid w:val="005E424E"/>
    <w:rsid w:val="005F24AE"/>
    <w:rsid w:val="005F29DF"/>
    <w:rsid w:val="005F3135"/>
    <w:rsid w:val="005F3B74"/>
    <w:rsid w:val="005F4D09"/>
    <w:rsid w:val="005F501E"/>
    <w:rsid w:val="005F544A"/>
    <w:rsid w:val="005F583B"/>
    <w:rsid w:val="006003D1"/>
    <w:rsid w:val="006016A6"/>
    <w:rsid w:val="00601AD4"/>
    <w:rsid w:val="006049FA"/>
    <w:rsid w:val="00606EF0"/>
    <w:rsid w:val="00616706"/>
    <w:rsid w:val="00616FB3"/>
    <w:rsid w:val="0061735F"/>
    <w:rsid w:val="0062407C"/>
    <w:rsid w:val="00625525"/>
    <w:rsid w:val="006305CE"/>
    <w:rsid w:val="00631E4B"/>
    <w:rsid w:val="0063408F"/>
    <w:rsid w:val="00634479"/>
    <w:rsid w:val="00634BDD"/>
    <w:rsid w:val="0063635E"/>
    <w:rsid w:val="006365AB"/>
    <w:rsid w:val="006405C2"/>
    <w:rsid w:val="006461D2"/>
    <w:rsid w:val="00647689"/>
    <w:rsid w:val="00647AF8"/>
    <w:rsid w:val="00650060"/>
    <w:rsid w:val="00652096"/>
    <w:rsid w:val="006547EA"/>
    <w:rsid w:val="006559C5"/>
    <w:rsid w:val="00655F30"/>
    <w:rsid w:val="00656F6B"/>
    <w:rsid w:val="006578A9"/>
    <w:rsid w:val="006610E8"/>
    <w:rsid w:val="00661B82"/>
    <w:rsid w:val="00662638"/>
    <w:rsid w:val="00662753"/>
    <w:rsid w:val="006648B8"/>
    <w:rsid w:val="00666A49"/>
    <w:rsid w:val="00666BBD"/>
    <w:rsid w:val="0066712D"/>
    <w:rsid w:val="00667A14"/>
    <w:rsid w:val="00670290"/>
    <w:rsid w:val="006703D3"/>
    <w:rsid w:val="0067184E"/>
    <w:rsid w:val="0067199C"/>
    <w:rsid w:val="006720A4"/>
    <w:rsid w:val="00672C8A"/>
    <w:rsid w:val="0067473C"/>
    <w:rsid w:val="00674767"/>
    <w:rsid w:val="00676149"/>
    <w:rsid w:val="006801E5"/>
    <w:rsid w:val="00680BF9"/>
    <w:rsid w:val="00682410"/>
    <w:rsid w:val="00682C79"/>
    <w:rsid w:val="00683A5B"/>
    <w:rsid w:val="006847AA"/>
    <w:rsid w:val="00686326"/>
    <w:rsid w:val="0068688B"/>
    <w:rsid w:val="00691C6F"/>
    <w:rsid w:val="00692532"/>
    <w:rsid w:val="00692B43"/>
    <w:rsid w:val="00693C1F"/>
    <w:rsid w:val="00693CF7"/>
    <w:rsid w:val="0069470C"/>
    <w:rsid w:val="0069491C"/>
    <w:rsid w:val="00695A4A"/>
    <w:rsid w:val="00695BDF"/>
    <w:rsid w:val="00696871"/>
    <w:rsid w:val="00696B64"/>
    <w:rsid w:val="006A0099"/>
    <w:rsid w:val="006A0C43"/>
    <w:rsid w:val="006A4789"/>
    <w:rsid w:val="006A5C6F"/>
    <w:rsid w:val="006B14AD"/>
    <w:rsid w:val="006B43FF"/>
    <w:rsid w:val="006B52FA"/>
    <w:rsid w:val="006B5EE6"/>
    <w:rsid w:val="006B76B9"/>
    <w:rsid w:val="006C0C7F"/>
    <w:rsid w:val="006C65D0"/>
    <w:rsid w:val="006C6C90"/>
    <w:rsid w:val="006C6DD9"/>
    <w:rsid w:val="006D03FF"/>
    <w:rsid w:val="006D217F"/>
    <w:rsid w:val="006D24E2"/>
    <w:rsid w:val="006D2BF8"/>
    <w:rsid w:val="006D435A"/>
    <w:rsid w:val="006D47C8"/>
    <w:rsid w:val="006D4D38"/>
    <w:rsid w:val="006D4FC4"/>
    <w:rsid w:val="006E09EA"/>
    <w:rsid w:val="006E0FFE"/>
    <w:rsid w:val="006E1FCE"/>
    <w:rsid w:val="006E485D"/>
    <w:rsid w:val="006E6D75"/>
    <w:rsid w:val="006E7116"/>
    <w:rsid w:val="006F2F17"/>
    <w:rsid w:val="006F4256"/>
    <w:rsid w:val="006F45B7"/>
    <w:rsid w:val="006F4ACA"/>
    <w:rsid w:val="006F4EFE"/>
    <w:rsid w:val="006F6060"/>
    <w:rsid w:val="006F668F"/>
    <w:rsid w:val="006F7B14"/>
    <w:rsid w:val="0070085E"/>
    <w:rsid w:val="00704776"/>
    <w:rsid w:val="00704D86"/>
    <w:rsid w:val="00710C1D"/>
    <w:rsid w:val="0071178D"/>
    <w:rsid w:val="00712BCF"/>
    <w:rsid w:val="00712D34"/>
    <w:rsid w:val="007131A9"/>
    <w:rsid w:val="00713B2A"/>
    <w:rsid w:val="00715669"/>
    <w:rsid w:val="0071572F"/>
    <w:rsid w:val="00716A65"/>
    <w:rsid w:val="00721503"/>
    <w:rsid w:val="00722FB7"/>
    <w:rsid w:val="00723E72"/>
    <w:rsid w:val="00724F59"/>
    <w:rsid w:val="00727A42"/>
    <w:rsid w:val="00731021"/>
    <w:rsid w:val="00731A75"/>
    <w:rsid w:val="00732D3D"/>
    <w:rsid w:val="00732D46"/>
    <w:rsid w:val="00735D7C"/>
    <w:rsid w:val="007361D7"/>
    <w:rsid w:val="00737930"/>
    <w:rsid w:val="00740396"/>
    <w:rsid w:val="007415F2"/>
    <w:rsid w:val="007429F2"/>
    <w:rsid w:val="00742B4D"/>
    <w:rsid w:val="007443EF"/>
    <w:rsid w:val="00746164"/>
    <w:rsid w:val="00746DA0"/>
    <w:rsid w:val="00753243"/>
    <w:rsid w:val="00753ABD"/>
    <w:rsid w:val="007565E7"/>
    <w:rsid w:val="00757A82"/>
    <w:rsid w:val="007610B5"/>
    <w:rsid w:val="00761A7B"/>
    <w:rsid w:val="00764214"/>
    <w:rsid w:val="00765D2F"/>
    <w:rsid w:val="007710FB"/>
    <w:rsid w:val="00771511"/>
    <w:rsid w:val="00771753"/>
    <w:rsid w:val="00772258"/>
    <w:rsid w:val="00772F91"/>
    <w:rsid w:val="00773AFC"/>
    <w:rsid w:val="00775DC7"/>
    <w:rsid w:val="00775F04"/>
    <w:rsid w:val="00776C6F"/>
    <w:rsid w:val="00781E3E"/>
    <w:rsid w:val="00783407"/>
    <w:rsid w:val="0078497E"/>
    <w:rsid w:val="00785814"/>
    <w:rsid w:val="007862F9"/>
    <w:rsid w:val="00786BCD"/>
    <w:rsid w:val="00790860"/>
    <w:rsid w:val="0079183D"/>
    <w:rsid w:val="00791BA5"/>
    <w:rsid w:val="00795925"/>
    <w:rsid w:val="00796920"/>
    <w:rsid w:val="00796A2A"/>
    <w:rsid w:val="007A0717"/>
    <w:rsid w:val="007A1C4B"/>
    <w:rsid w:val="007A2188"/>
    <w:rsid w:val="007A79D4"/>
    <w:rsid w:val="007B1C29"/>
    <w:rsid w:val="007B2FE2"/>
    <w:rsid w:val="007B6167"/>
    <w:rsid w:val="007B63CF"/>
    <w:rsid w:val="007B6FB3"/>
    <w:rsid w:val="007B7281"/>
    <w:rsid w:val="007C0A10"/>
    <w:rsid w:val="007C1F39"/>
    <w:rsid w:val="007C3A59"/>
    <w:rsid w:val="007C7191"/>
    <w:rsid w:val="007D0E82"/>
    <w:rsid w:val="007D210C"/>
    <w:rsid w:val="007D2F2F"/>
    <w:rsid w:val="007D4030"/>
    <w:rsid w:val="007E140A"/>
    <w:rsid w:val="007E1A57"/>
    <w:rsid w:val="007E35BD"/>
    <w:rsid w:val="007E46D9"/>
    <w:rsid w:val="007E4882"/>
    <w:rsid w:val="007E5C2F"/>
    <w:rsid w:val="007F2FE3"/>
    <w:rsid w:val="007F351F"/>
    <w:rsid w:val="007F48C7"/>
    <w:rsid w:val="007F6129"/>
    <w:rsid w:val="007F712D"/>
    <w:rsid w:val="008034E4"/>
    <w:rsid w:val="00803C20"/>
    <w:rsid w:val="0080521A"/>
    <w:rsid w:val="00807EDD"/>
    <w:rsid w:val="008108AF"/>
    <w:rsid w:val="0081151C"/>
    <w:rsid w:val="00811850"/>
    <w:rsid w:val="00812DD1"/>
    <w:rsid w:val="00814400"/>
    <w:rsid w:val="0081715C"/>
    <w:rsid w:val="00817CC5"/>
    <w:rsid w:val="00821E10"/>
    <w:rsid w:val="008230A1"/>
    <w:rsid w:val="00823DA4"/>
    <w:rsid w:val="00825267"/>
    <w:rsid w:val="00827E45"/>
    <w:rsid w:val="00830110"/>
    <w:rsid w:val="0083065B"/>
    <w:rsid w:val="008323FA"/>
    <w:rsid w:val="00832676"/>
    <w:rsid w:val="0083690D"/>
    <w:rsid w:val="00837BC6"/>
    <w:rsid w:val="00840235"/>
    <w:rsid w:val="008407B7"/>
    <w:rsid w:val="008411CC"/>
    <w:rsid w:val="008414C0"/>
    <w:rsid w:val="00841F05"/>
    <w:rsid w:val="00843246"/>
    <w:rsid w:val="0084335D"/>
    <w:rsid w:val="00844144"/>
    <w:rsid w:val="0084435A"/>
    <w:rsid w:val="00845C51"/>
    <w:rsid w:val="0085283D"/>
    <w:rsid w:val="008528F3"/>
    <w:rsid w:val="008529FF"/>
    <w:rsid w:val="00853346"/>
    <w:rsid w:val="0085537E"/>
    <w:rsid w:val="00856992"/>
    <w:rsid w:val="00856D7A"/>
    <w:rsid w:val="00860D37"/>
    <w:rsid w:val="00863B44"/>
    <w:rsid w:val="00865B3B"/>
    <w:rsid w:val="00867A1A"/>
    <w:rsid w:val="008704DE"/>
    <w:rsid w:val="008713D4"/>
    <w:rsid w:val="00871617"/>
    <w:rsid w:val="00874A7F"/>
    <w:rsid w:val="00875BA6"/>
    <w:rsid w:val="00877FE9"/>
    <w:rsid w:val="00884C70"/>
    <w:rsid w:val="00884E29"/>
    <w:rsid w:val="00885002"/>
    <w:rsid w:val="00886C04"/>
    <w:rsid w:val="00886F44"/>
    <w:rsid w:val="008876F9"/>
    <w:rsid w:val="0089013B"/>
    <w:rsid w:val="00891D23"/>
    <w:rsid w:val="008952D6"/>
    <w:rsid w:val="008974BD"/>
    <w:rsid w:val="008A3CFB"/>
    <w:rsid w:val="008A4375"/>
    <w:rsid w:val="008A6A51"/>
    <w:rsid w:val="008B1361"/>
    <w:rsid w:val="008B2057"/>
    <w:rsid w:val="008B26B0"/>
    <w:rsid w:val="008B3185"/>
    <w:rsid w:val="008B516D"/>
    <w:rsid w:val="008B67ED"/>
    <w:rsid w:val="008B71F2"/>
    <w:rsid w:val="008C1C45"/>
    <w:rsid w:val="008C2726"/>
    <w:rsid w:val="008C65C6"/>
    <w:rsid w:val="008C7BDE"/>
    <w:rsid w:val="008D003F"/>
    <w:rsid w:val="008D2305"/>
    <w:rsid w:val="008D413A"/>
    <w:rsid w:val="008D4DC7"/>
    <w:rsid w:val="008D6C15"/>
    <w:rsid w:val="008E135F"/>
    <w:rsid w:val="008E2B75"/>
    <w:rsid w:val="008E4486"/>
    <w:rsid w:val="008E5C46"/>
    <w:rsid w:val="008E61F0"/>
    <w:rsid w:val="008E621D"/>
    <w:rsid w:val="008E6554"/>
    <w:rsid w:val="008E693C"/>
    <w:rsid w:val="008E6D5E"/>
    <w:rsid w:val="008E74EA"/>
    <w:rsid w:val="008F31F4"/>
    <w:rsid w:val="008F32A2"/>
    <w:rsid w:val="008F37D0"/>
    <w:rsid w:val="008F3E53"/>
    <w:rsid w:val="008F6110"/>
    <w:rsid w:val="008F7C65"/>
    <w:rsid w:val="0090053D"/>
    <w:rsid w:val="0090179E"/>
    <w:rsid w:val="0090623F"/>
    <w:rsid w:val="0091186C"/>
    <w:rsid w:val="009127BE"/>
    <w:rsid w:val="009151DB"/>
    <w:rsid w:val="00915C6D"/>
    <w:rsid w:val="00921D13"/>
    <w:rsid w:val="00922D6B"/>
    <w:rsid w:val="00923115"/>
    <w:rsid w:val="0092476C"/>
    <w:rsid w:val="00926693"/>
    <w:rsid w:val="00930926"/>
    <w:rsid w:val="009315DE"/>
    <w:rsid w:val="00932593"/>
    <w:rsid w:val="00932BBF"/>
    <w:rsid w:val="00941388"/>
    <w:rsid w:val="009427AD"/>
    <w:rsid w:val="00945C1E"/>
    <w:rsid w:val="00945F4D"/>
    <w:rsid w:val="00946CE2"/>
    <w:rsid w:val="0095057D"/>
    <w:rsid w:val="00953E94"/>
    <w:rsid w:val="009555B4"/>
    <w:rsid w:val="009563A9"/>
    <w:rsid w:val="009563F8"/>
    <w:rsid w:val="00957D7D"/>
    <w:rsid w:val="009622EA"/>
    <w:rsid w:val="00962E2D"/>
    <w:rsid w:val="00963EE2"/>
    <w:rsid w:val="00964A2D"/>
    <w:rsid w:val="009654DF"/>
    <w:rsid w:val="0096593E"/>
    <w:rsid w:val="00965A5A"/>
    <w:rsid w:val="00965D17"/>
    <w:rsid w:val="00966CDD"/>
    <w:rsid w:val="009705AC"/>
    <w:rsid w:val="0097582C"/>
    <w:rsid w:val="00981602"/>
    <w:rsid w:val="00982E44"/>
    <w:rsid w:val="00983103"/>
    <w:rsid w:val="00986B23"/>
    <w:rsid w:val="009873C6"/>
    <w:rsid w:val="009876D6"/>
    <w:rsid w:val="0099007D"/>
    <w:rsid w:val="00991DEF"/>
    <w:rsid w:val="00991E29"/>
    <w:rsid w:val="0099447B"/>
    <w:rsid w:val="00994A6F"/>
    <w:rsid w:val="00997E39"/>
    <w:rsid w:val="009A01EB"/>
    <w:rsid w:val="009A111A"/>
    <w:rsid w:val="009A2B69"/>
    <w:rsid w:val="009A3688"/>
    <w:rsid w:val="009A5697"/>
    <w:rsid w:val="009A5CB9"/>
    <w:rsid w:val="009A799F"/>
    <w:rsid w:val="009B0BA4"/>
    <w:rsid w:val="009B36A2"/>
    <w:rsid w:val="009B3AA7"/>
    <w:rsid w:val="009B57D1"/>
    <w:rsid w:val="009C0E21"/>
    <w:rsid w:val="009C181C"/>
    <w:rsid w:val="009C5A16"/>
    <w:rsid w:val="009D2E33"/>
    <w:rsid w:val="009D311F"/>
    <w:rsid w:val="009D459E"/>
    <w:rsid w:val="009D4E03"/>
    <w:rsid w:val="009D6F8A"/>
    <w:rsid w:val="009D799F"/>
    <w:rsid w:val="009E24BD"/>
    <w:rsid w:val="009E2E4B"/>
    <w:rsid w:val="009E3538"/>
    <w:rsid w:val="009E4008"/>
    <w:rsid w:val="009E49FF"/>
    <w:rsid w:val="009E5FCD"/>
    <w:rsid w:val="009F0F2D"/>
    <w:rsid w:val="009F1A04"/>
    <w:rsid w:val="009F2EA4"/>
    <w:rsid w:val="009F5C8E"/>
    <w:rsid w:val="009F7898"/>
    <w:rsid w:val="00A0031D"/>
    <w:rsid w:val="00A015C3"/>
    <w:rsid w:val="00A0256C"/>
    <w:rsid w:val="00A064E5"/>
    <w:rsid w:val="00A07A89"/>
    <w:rsid w:val="00A07EFA"/>
    <w:rsid w:val="00A1009E"/>
    <w:rsid w:val="00A12DEB"/>
    <w:rsid w:val="00A15717"/>
    <w:rsid w:val="00A1651E"/>
    <w:rsid w:val="00A20742"/>
    <w:rsid w:val="00A22360"/>
    <w:rsid w:val="00A24CA5"/>
    <w:rsid w:val="00A250A8"/>
    <w:rsid w:val="00A2647E"/>
    <w:rsid w:val="00A3140E"/>
    <w:rsid w:val="00A31F93"/>
    <w:rsid w:val="00A3265E"/>
    <w:rsid w:val="00A37E3E"/>
    <w:rsid w:val="00A400CE"/>
    <w:rsid w:val="00A418BD"/>
    <w:rsid w:val="00A45E15"/>
    <w:rsid w:val="00A460A1"/>
    <w:rsid w:val="00A4621C"/>
    <w:rsid w:val="00A50AE3"/>
    <w:rsid w:val="00A50F50"/>
    <w:rsid w:val="00A567DB"/>
    <w:rsid w:val="00A57737"/>
    <w:rsid w:val="00A60C49"/>
    <w:rsid w:val="00A6155A"/>
    <w:rsid w:val="00A642BE"/>
    <w:rsid w:val="00A6718E"/>
    <w:rsid w:val="00A67E2F"/>
    <w:rsid w:val="00A70F09"/>
    <w:rsid w:val="00A71E25"/>
    <w:rsid w:val="00A72AF1"/>
    <w:rsid w:val="00A75F16"/>
    <w:rsid w:val="00A76F8E"/>
    <w:rsid w:val="00A771F2"/>
    <w:rsid w:val="00A80BFC"/>
    <w:rsid w:val="00A80FE4"/>
    <w:rsid w:val="00A84DD5"/>
    <w:rsid w:val="00A86D04"/>
    <w:rsid w:val="00A86E14"/>
    <w:rsid w:val="00A876F7"/>
    <w:rsid w:val="00A87E3F"/>
    <w:rsid w:val="00A9092B"/>
    <w:rsid w:val="00A90E3B"/>
    <w:rsid w:val="00A9104C"/>
    <w:rsid w:val="00A91477"/>
    <w:rsid w:val="00A9165F"/>
    <w:rsid w:val="00A91F1D"/>
    <w:rsid w:val="00A92084"/>
    <w:rsid w:val="00A92B42"/>
    <w:rsid w:val="00A95E37"/>
    <w:rsid w:val="00A96035"/>
    <w:rsid w:val="00A97E6C"/>
    <w:rsid w:val="00AA0BB8"/>
    <w:rsid w:val="00AA2773"/>
    <w:rsid w:val="00AA37E5"/>
    <w:rsid w:val="00AA3DF5"/>
    <w:rsid w:val="00AA476D"/>
    <w:rsid w:val="00AA54E9"/>
    <w:rsid w:val="00AA61CF"/>
    <w:rsid w:val="00AA6FBE"/>
    <w:rsid w:val="00AA771C"/>
    <w:rsid w:val="00AB0302"/>
    <w:rsid w:val="00AB1093"/>
    <w:rsid w:val="00AB1111"/>
    <w:rsid w:val="00AB2065"/>
    <w:rsid w:val="00AB23C3"/>
    <w:rsid w:val="00AB50B3"/>
    <w:rsid w:val="00AC1D41"/>
    <w:rsid w:val="00AC6334"/>
    <w:rsid w:val="00AC74E0"/>
    <w:rsid w:val="00AC79D1"/>
    <w:rsid w:val="00AD0BB2"/>
    <w:rsid w:val="00AD19A8"/>
    <w:rsid w:val="00AD1FCC"/>
    <w:rsid w:val="00AD298E"/>
    <w:rsid w:val="00AD4CF4"/>
    <w:rsid w:val="00AE1A78"/>
    <w:rsid w:val="00AE3B97"/>
    <w:rsid w:val="00AE4277"/>
    <w:rsid w:val="00AE50C2"/>
    <w:rsid w:val="00AE5D6C"/>
    <w:rsid w:val="00AE630A"/>
    <w:rsid w:val="00AE7031"/>
    <w:rsid w:val="00AF020E"/>
    <w:rsid w:val="00AF125B"/>
    <w:rsid w:val="00AF1AAB"/>
    <w:rsid w:val="00AF1BAA"/>
    <w:rsid w:val="00AF286D"/>
    <w:rsid w:val="00AF2C8D"/>
    <w:rsid w:val="00AF4068"/>
    <w:rsid w:val="00AF59E1"/>
    <w:rsid w:val="00AF5BAD"/>
    <w:rsid w:val="00B02C45"/>
    <w:rsid w:val="00B063AC"/>
    <w:rsid w:val="00B0703E"/>
    <w:rsid w:val="00B10B0A"/>
    <w:rsid w:val="00B11132"/>
    <w:rsid w:val="00B14592"/>
    <w:rsid w:val="00B1526D"/>
    <w:rsid w:val="00B15727"/>
    <w:rsid w:val="00B15917"/>
    <w:rsid w:val="00B16AB1"/>
    <w:rsid w:val="00B21F7C"/>
    <w:rsid w:val="00B248BB"/>
    <w:rsid w:val="00B252AE"/>
    <w:rsid w:val="00B32080"/>
    <w:rsid w:val="00B34B4B"/>
    <w:rsid w:val="00B357F7"/>
    <w:rsid w:val="00B36527"/>
    <w:rsid w:val="00B3670C"/>
    <w:rsid w:val="00B36C5B"/>
    <w:rsid w:val="00B371E5"/>
    <w:rsid w:val="00B40BD3"/>
    <w:rsid w:val="00B43328"/>
    <w:rsid w:val="00B44994"/>
    <w:rsid w:val="00B45405"/>
    <w:rsid w:val="00B456D2"/>
    <w:rsid w:val="00B45850"/>
    <w:rsid w:val="00B45E21"/>
    <w:rsid w:val="00B47B31"/>
    <w:rsid w:val="00B47CCF"/>
    <w:rsid w:val="00B5256B"/>
    <w:rsid w:val="00B53028"/>
    <w:rsid w:val="00B544A7"/>
    <w:rsid w:val="00B552B9"/>
    <w:rsid w:val="00B57745"/>
    <w:rsid w:val="00B6701C"/>
    <w:rsid w:val="00B67602"/>
    <w:rsid w:val="00B67889"/>
    <w:rsid w:val="00B67DA3"/>
    <w:rsid w:val="00B752B8"/>
    <w:rsid w:val="00B75DF3"/>
    <w:rsid w:val="00B76CFE"/>
    <w:rsid w:val="00B80AD5"/>
    <w:rsid w:val="00B8208C"/>
    <w:rsid w:val="00B82454"/>
    <w:rsid w:val="00B838C1"/>
    <w:rsid w:val="00B83B08"/>
    <w:rsid w:val="00B8486D"/>
    <w:rsid w:val="00B90D4A"/>
    <w:rsid w:val="00B911AC"/>
    <w:rsid w:val="00B91690"/>
    <w:rsid w:val="00B91858"/>
    <w:rsid w:val="00B9217F"/>
    <w:rsid w:val="00B92595"/>
    <w:rsid w:val="00B92909"/>
    <w:rsid w:val="00B92941"/>
    <w:rsid w:val="00B93409"/>
    <w:rsid w:val="00B93B57"/>
    <w:rsid w:val="00B93F91"/>
    <w:rsid w:val="00B94B96"/>
    <w:rsid w:val="00B9568F"/>
    <w:rsid w:val="00B9643C"/>
    <w:rsid w:val="00BA018E"/>
    <w:rsid w:val="00BA01B6"/>
    <w:rsid w:val="00BA06A6"/>
    <w:rsid w:val="00BA2AAF"/>
    <w:rsid w:val="00BA2FE7"/>
    <w:rsid w:val="00BA3705"/>
    <w:rsid w:val="00BA3882"/>
    <w:rsid w:val="00BA4046"/>
    <w:rsid w:val="00BA7E99"/>
    <w:rsid w:val="00BA7EE7"/>
    <w:rsid w:val="00BB05B1"/>
    <w:rsid w:val="00BB2CB6"/>
    <w:rsid w:val="00BB40F5"/>
    <w:rsid w:val="00BC0CFF"/>
    <w:rsid w:val="00BC0DD0"/>
    <w:rsid w:val="00BC0E62"/>
    <w:rsid w:val="00BC32D1"/>
    <w:rsid w:val="00BC35E0"/>
    <w:rsid w:val="00BC3E19"/>
    <w:rsid w:val="00BC4257"/>
    <w:rsid w:val="00BC4796"/>
    <w:rsid w:val="00BC48CB"/>
    <w:rsid w:val="00BD1EA3"/>
    <w:rsid w:val="00BD251E"/>
    <w:rsid w:val="00BD492E"/>
    <w:rsid w:val="00BD4B10"/>
    <w:rsid w:val="00BD4F3D"/>
    <w:rsid w:val="00BD5871"/>
    <w:rsid w:val="00BD7D6F"/>
    <w:rsid w:val="00BE077D"/>
    <w:rsid w:val="00BE31B3"/>
    <w:rsid w:val="00BE3F79"/>
    <w:rsid w:val="00BE4971"/>
    <w:rsid w:val="00BE5853"/>
    <w:rsid w:val="00BE710A"/>
    <w:rsid w:val="00BE7314"/>
    <w:rsid w:val="00BF12CF"/>
    <w:rsid w:val="00BF4ABD"/>
    <w:rsid w:val="00BF60AF"/>
    <w:rsid w:val="00BF6988"/>
    <w:rsid w:val="00BF6E01"/>
    <w:rsid w:val="00C0339D"/>
    <w:rsid w:val="00C035C6"/>
    <w:rsid w:val="00C03E7F"/>
    <w:rsid w:val="00C05FD7"/>
    <w:rsid w:val="00C060FB"/>
    <w:rsid w:val="00C06356"/>
    <w:rsid w:val="00C07887"/>
    <w:rsid w:val="00C141E1"/>
    <w:rsid w:val="00C15516"/>
    <w:rsid w:val="00C166D7"/>
    <w:rsid w:val="00C1678F"/>
    <w:rsid w:val="00C168C1"/>
    <w:rsid w:val="00C1722A"/>
    <w:rsid w:val="00C23827"/>
    <w:rsid w:val="00C244C9"/>
    <w:rsid w:val="00C256AD"/>
    <w:rsid w:val="00C26828"/>
    <w:rsid w:val="00C26A52"/>
    <w:rsid w:val="00C26FBC"/>
    <w:rsid w:val="00C34D07"/>
    <w:rsid w:val="00C365DA"/>
    <w:rsid w:val="00C40232"/>
    <w:rsid w:val="00C43C41"/>
    <w:rsid w:val="00C44C6B"/>
    <w:rsid w:val="00C44F57"/>
    <w:rsid w:val="00C5012C"/>
    <w:rsid w:val="00C51071"/>
    <w:rsid w:val="00C52151"/>
    <w:rsid w:val="00C52B1D"/>
    <w:rsid w:val="00C52D96"/>
    <w:rsid w:val="00C52F6E"/>
    <w:rsid w:val="00C53620"/>
    <w:rsid w:val="00C55588"/>
    <w:rsid w:val="00C5593F"/>
    <w:rsid w:val="00C55AB0"/>
    <w:rsid w:val="00C56487"/>
    <w:rsid w:val="00C565AE"/>
    <w:rsid w:val="00C56C65"/>
    <w:rsid w:val="00C56FB1"/>
    <w:rsid w:val="00C5777D"/>
    <w:rsid w:val="00C57C7D"/>
    <w:rsid w:val="00C60D9F"/>
    <w:rsid w:val="00C610C2"/>
    <w:rsid w:val="00C63D40"/>
    <w:rsid w:val="00C64EF5"/>
    <w:rsid w:val="00C657E0"/>
    <w:rsid w:val="00C71080"/>
    <w:rsid w:val="00C74F4A"/>
    <w:rsid w:val="00C74FEC"/>
    <w:rsid w:val="00C762A5"/>
    <w:rsid w:val="00C83AB8"/>
    <w:rsid w:val="00C87327"/>
    <w:rsid w:val="00C907A7"/>
    <w:rsid w:val="00C913AA"/>
    <w:rsid w:val="00C937FF"/>
    <w:rsid w:val="00C94405"/>
    <w:rsid w:val="00C94E2E"/>
    <w:rsid w:val="00CA00EB"/>
    <w:rsid w:val="00CA2224"/>
    <w:rsid w:val="00CA3122"/>
    <w:rsid w:val="00CB319E"/>
    <w:rsid w:val="00CC227E"/>
    <w:rsid w:val="00CC2D25"/>
    <w:rsid w:val="00CC3AC5"/>
    <w:rsid w:val="00CC413E"/>
    <w:rsid w:val="00CC4EA5"/>
    <w:rsid w:val="00CC5434"/>
    <w:rsid w:val="00CC5E05"/>
    <w:rsid w:val="00CD166C"/>
    <w:rsid w:val="00CD1D99"/>
    <w:rsid w:val="00CD2773"/>
    <w:rsid w:val="00CD495B"/>
    <w:rsid w:val="00CD4F2F"/>
    <w:rsid w:val="00CD51AA"/>
    <w:rsid w:val="00CD608A"/>
    <w:rsid w:val="00CD765B"/>
    <w:rsid w:val="00CE1777"/>
    <w:rsid w:val="00CE1811"/>
    <w:rsid w:val="00CE21B2"/>
    <w:rsid w:val="00CE24F0"/>
    <w:rsid w:val="00CE2FF9"/>
    <w:rsid w:val="00CE3691"/>
    <w:rsid w:val="00CE37E8"/>
    <w:rsid w:val="00CE3C1D"/>
    <w:rsid w:val="00CE4283"/>
    <w:rsid w:val="00CE5A16"/>
    <w:rsid w:val="00CE6F0D"/>
    <w:rsid w:val="00CF37EE"/>
    <w:rsid w:val="00CF3D2C"/>
    <w:rsid w:val="00CF66C8"/>
    <w:rsid w:val="00CF6ECF"/>
    <w:rsid w:val="00CF73B8"/>
    <w:rsid w:val="00CF770E"/>
    <w:rsid w:val="00D01248"/>
    <w:rsid w:val="00D01515"/>
    <w:rsid w:val="00D01DB6"/>
    <w:rsid w:val="00D04419"/>
    <w:rsid w:val="00D04955"/>
    <w:rsid w:val="00D053BF"/>
    <w:rsid w:val="00D064AA"/>
    <w:rsid w:val="00D11D07"/>
    <w:rsid w:val="00D1240C"/>
    <w:rsid w:val="00D1363E"/>
    <w:rsid w:val="00D15259"/>
    <w:rsid w:val="00D1543B"/>
    <w:rsid w:val="00D159D6"/>
    <w:rsid w:val="00D1683E"/>
    <w:rsid w:val="00D168F4"/>
    <w:rsid w:val="00D20E21"/>
    <w:rsid w:val="00D22A75"/>
    <w:rsid w:val="00D23341"/>
    <w:rsid w:val="00D23DE1"/>
    <w:rsid w:val="00D27820"/>
    <w:rsid w:val="00D2782A"/>
    <w:rsid w:val="00D30BE7"/>
    <w:rsid w:val="00D31CED"/>
    <w:rsid w:val="00D3431E"/>
    <w:rsid w:val="00D35740"/>
    <w:rsid w:val="00D3690F"/>
    <w:rsid w:val="00D37644"/>
    <w:rsid w:val="00D40135"/>
    <w:rsid w:val="00D42B1F"/>
    <w:rsid w:val="00D4340E"/>
    <w:rsid w:val="00D437C5"/>
    <w:rsid w:val="00D43A0D"/>
    <w:rsid w:val="00D44B89"/>
    <w:rsid w:val="00D44E72"/>
    <w:rsid w:val="00D44F2E"/>
    <w:rsid w:val="00D47D67"/>
    <w:rsid w:val="00D47F76"/>
    <w:rsid w:val="00D513DC"/>
    <w:rsid w:val="00D52886"/>
    <w:rsid w:val="00D533A4"/>
    <w:rsid w:val="00D546DF"/>
    <w:rsid w:val="00D55BAA"/>
    <w:rsid w:val="00D564B9"/>
    <w:rsid w:val="00D5764E"/>
    <w:rsid w:val="00D6010E"/>
    <w:rsid w:val="00D618C1"/>
    <w:rsid w:val="00D61EF1"/>
    <w:rsid w:val="00D6257C"/>
    <w:rsid w:val="00D6259D"/>
    <w:rsid w:val="00D62DF9"/>
    <w:rsid w:val="00D64882"/>
    <w:rsid w:val="00D65C85"/>
    <w:rsid w:val="00D660E1"/>
    <w:rsid w:val="00D663E8"/>
    <w:rsid w:val="00D674D9"/>
    <w:rsid w:val="00D71247"/>
    <w:rsid w:val="00D71AA6"/>
    <w:rsid w:val="00D71E43"/>
    <w:rsid w:val="00D729C0"/>
    <w:rsid w:val="00D75918"/>
    <w:rsid w:val="00D759EB"/>
    <w:rsid w:val="00D76279"/>
    <w:rsid w:val="00D81510"/>
    <w:rsid w:val="00D82202"/>
    <w:rsid w:val="00D82558"/>
    <w:rsid w:val="00D83B8C"/>
    <w:rsid w:val="00D85434"/>
    <w:rsid w:val="00D90107"/>
    <w:rsid w:val="00D92F00"/>
    <w:rsid w:val="00D93327"/>
    <w:rsid w:val="00D9337D"/>
    <w:rsid w:val="00D93B5B"/>
    <w:rsid w:val="00D946AB"/>
    <w:rsid w:val="00D95951"/>
    <w:rsid w:val="00D95ECA"/>
    <w:rsid w:val="00DA1248"/>
    <w:rsid w:val="00DA29E5"/>
    <w:rsid w:val="00DA2ED7"/>
    <w:rsid w:val="00DA55C4"/>
    <w:rsid w:val="00DA64E4"/>
    <w:rsid w:val="00DA6AC1"/>
    <w:rsid w:val="00DA73E1"/>
    <w:rsid w:val="00DB1070"/>
    <w:rsid w:val="00DB10D1"/>
    <w:rsid w:val="00DB13BF"/>
    <w:rsid w:val="00DB49D0"/>
    <w:rsid w:val="00DB5265"/>
    <w:rsid w:val="00DB5924"/>
    <w:rsid w:val="00DC060C"/>
    <w:rsid w:val="00DC25A0"/>
    <w:rsid w:val="00DC2ABD"/>
    <w:rsid w:val="00DC5611"/>
    <w:rsid w:val="00DC70B2"/>
    <w:rsid w:val="00DC783F"/>
    <w:rsid w:val="00DC7A11"/>
    <w:rsid w:val="00DD1A03"/>
    <w:rsid w:val="00DD3ACA"/>
    <w:rsid w:val="00DD4FB2"/>
    <w:rsid w:val="00DD5E88"/>
    <w:rsid w:val="00DD5EE2"/>
    <w:rsid w:val="00DE08A4"/>
    <w:rsid w:val="00DE1D25"/>
    <w:rsid w:val="00DE762B"/>
    <w:rsid w:val="00DE7BF7"/>
    <w:rsid w:val="00DF0086"/>
    <w:rsid w:val="00DF1268"/>
    <w:rsid w:val="00DF260C"/>
    <w:rsid w:val="00DF54DC"/>
    <w:rsid w:val="00DF66F1"/>
    <w:rsid w:val="00DF6B5B"/>
    <w:rsid w:val="00DF6B6F"/>
    <w:rsid w:val="00DF72B9"/>
    <w:rsid w:val="00E0171D"/>
    <w:rsid w:val="00E04E24"/>
    <w:rsid w:val="00E05809"/>
    <w:rsid w:val="00E06051"/>
    <w:rsid w:val="00E064A4"/>
    <w:rsid w:val="00E06F47"/>
    <w:rsid w:val="00E12855"/>
    <w:rsid w:val="00E1378A"/>
    <w:rsid w:val="00E13D3D"/>
    <w:rsid w:val="00E15138"/>
    <w:rsid w:val="00E15F4A"/>
    <w:rsid w:val="00E16DC9"/>
    <w:rsid w:val="00E217CF"/>
    <w:rsid w:val="00E22441"/>
    <w:rsid w:val="00E2368B"/>
    <w:rsid w:val="00E239D0"/>
    <w:rsid w:val="00E25002"/>
    <w:rsid w:val="00E25AA5"/>
    <w:rsid w:val="00E26FA9"/>
    <w:rsid w:val="00E27031"/>
    <w:rsid w:val="00E273DB"/>
    <w:rsid w:val="00E274E8"/>
    <w:rsid w:val="00E30319"/>
    <w:rsid w:val="00E310B9"/>
    <w:rsid w:val="00E31F73"/>
    <w:rsid w:val="00E34202"/>
    <w:rsid w:val="00E351CD"/>
    <w:rsid w:val="00E37ABF"/>
    <w:rsid w:val="00E45999"/>
    <w:rsid w:val="00E50AA0"/>
    <w:rsid w:val="00E5251B"/>
    <w:rsid w:val="00E52E8A"/>
    <w:rsid w:val="00E544A2"/>
    <w:rsid w:val="00E54E4E"/>
    <w:rsid w:val="00E614C1"/>
    <w:rsid w:val="00E61FCF"/>
    <w:rsid w:val="00E6237E"/>
    <w:rsid w:val="00E63ECD"/>
    <w:rsid w:val="00E66A0E"/>
    <w:rsid w:val="00E6779E"/>
    <w:rsid w:val="00E7217F"/>
    <w:rsid w:val="00E73235"/>
    <w:rsid w:val="00E74B0D"/>
    <w:rsid w:val="00E754CD"/>
    <w:rsid w:val="00E76FCE"/>
    <w:rsid w:val="00E7700E"/>
    <w:rsid w:val="00E8149D"/>
    <w:rsid w:val="00E8465A"/>
    <w:rsid w:val="00E90908"/>
    <w:rsid w:val="00E90C61"/>
    <w:rsid w:val="00E941DE"/>
    <w:rsid w:val="00E94D87"/>
    <w:rsid w:val="00E96372"/>
    <w:rsid w:val="00E96C71"/>
    <w:rsid w:val="00E96EF2"/>
    <w:rsid w:val="00E97B3C"/>
    <w:rsid w:val="00EA23E8"/>
    <w:rsid w:val="00EA4567"/>
    <w:rsid w:val="00EA49CC"/>
    <w:rsid w:val="00EA5616"/>
    <w:rsid w:val="00EA72DD"/>
    <w:rsid w:val="00EB1BFF"/>
    <w:rsid w:val="00EB2660"/>
    <w:rsid w:val="00EB49E8"/>
    <w:rsid w:val="00EB5248"/>
    <w:rsid w:val="00EB5444"/>
    <w:rsid w:val="00EB674D"/>
    <w:rsid w:val="00EC03ED"/>
    <w:rsid w:val="00EC1566"/>
    <w:rsid w:val="00EC1937"/>
    <w:rsid w:val="00EC2C78"/>
    <w:rsid w:val="00EC340F"/>
    <w:rsid w:val="00EC3B87"/>
    <w:rsid w:val="00EC4FD3"/>
    <w:rsid w:val="00EC5028"/>
    <w:rsid w:val="00EC5AFB"/>
    <w:rsid w:val="00ED3961"/>
    <w:rsid w:val="00ED51BA"/>
    <w:rsid w:val="00ED6AA7"/>
    <w:rsid w:val="00ED7E7A"/>
    <w:rsid w:val="00EE016D"/>
    <w:rsid w:val="00EE1726"/>
    <w:rsid w:val="00EE258B"/>
    <w:rsid w:val="00EE4068"/>
    <w:rsid w:val="00EE4EE7"/>
    <w:rsid w:val="00EE555E"/>
    <w:rsid w:val="00EF2EDF"/>
    <w:rsid w:val="00EF674D"/>
    <w:rsid w:val="00EF6A8D"/>
    <w:rsid w:val="00F00BD5"/>
    <w:rsid w:val="00F00DC8"/>
    <w:rsid w:val="00F033C8"/>
    <w:rsid w:val="00F034C1"/>
    <w:rsid w:val="00F04988"/>
    <w:rsid w:val="00F07961"/>
    <w:rsid w:val="00F100AF"/>
    <w:rsid w:val="00F10337"/>
    <w:rsid w:val="00F14B75"/>
    <w:rsid w:val="00F15D01"/>
    <w:rsid w:val="00F17558"/>
    <w:rsid w:val="00F17AB3"/>
    <w:rsid w:val="00F17CC2"/>
    <w:rsid w:val="00F208A6"/>
    <w:rsid w:val="00F21189"/>
    <w:rsid w:val="00F229A7"/>
    <w:rsid w:val="00F241AA"/>
    <w:rsid w:val="00F243DD"/>
    <w:rsid w:val="00F24B36"/>
    <w:rsid w:val="00F2593F"/>
    <w:rsid w:val="00F26826"/>
    <w:rsid w:val="00F2701F"/>
    <w:rsid w:val="00F30541"/>
    <w:rsid w:val="00F31221"/>
    <w:rsid w:val="00F35545"/>
    <w:rsid w:val="00F3666C"/>
    <w:rsid w:val="00F36B8E"/>
    <w:rsid w:val="00F37825"/>
    <w:rsid w:val="00F43484"/>
    <w:rsid w:val="00F43B43"/>
    <w:rsid w:val="00F44521"/>
    <w:rsid w:val="00F45AE6"/>
    <w:rsid w:val="00F465F4"/>
    <w:rsid w:val="00F474A7"/>
    <w:rsid w:val="00F47A5A"/>
    <w:rsid w:val="00F54B5B"/>
    <w:rsid w:val="00F54BB1"/>
    <w:rsid w:val="00F600B4"/>
    <w:rsid w:val="00F643A8"/>
    <w:rsid w:val="00F66F28"/>
    <w:rsid w:val="00F715C7"/>
    <w:rsid w:val="00F720F6"/>
    <w:rsid w:val="00F74BD5"/>
    <w:rsid w:val="00F754E4"/>
    <w:rsid w:val="00F77AFA"/>
    <w:rsid w:val="00F800BD"/>
    <w:rsid w:val="00F82C3D"/>
    <w:rsid w:val="00F8550B"/>
    <w:rsid w:val="00F857C4"/>
    <w:rsid w:val="00F85C71"/>
    <w:rsid w:val="00F85FED"/>
    <w:rsid w:val="00F87529"/>
    <w:rsid w:val="00F8792F"/>
    <w:rsid w:val="00F90993"/>
    <w:rsid w:val="00F922AD"/>
    <w:rsid w:val="00F925A9"/>
    <w:rsid w:val="00F92CCF"/>
    <w:rsid w:val="00F93D83"/>
    <w:rsid w:val="00F94059"/>
    <w:rsid w:val="00F942EB"/>
    <w:rsid w:val="00F9692A"/>
    <w:rsid w:val="00F97395"/>
    <w:rsid w:val="00FA0405"/>
    <w:rsid w:val="00FA2033"/>
    <w:rsid w:val="00FA2592"/>
    <w:rsid w:val="00FA3143"/>
    <w:rsid w:val="00FA3496"/>
    <w:rsid w:val="00FA4811"/>
    <w:rsid w:val="00FA7249"/>
    <w:rsid w:val="00FB3A94"/>
    <w:rsid w:val="00FB52F5"/>
    <w:rsid w:val="00FC111C"/>
    <w:rsid w:val="00FC180B"/>
    <w:rsid w:val="00FC2FFC"/>
    <w:rsid w:val="00FC3A48"/>
    <w:rsid w:val="00FC72B2"/>
    <w:rsid w:val="00FD35B4"/>
    <w:rsid w:val="00FD3819"/>
    <w:rsid w:val="00FD5ADD"/>
    <w:rsid w:val="00FE0145"/>
    <w:rsid w:val="00FE01CF"/>
    <w:rsid w:val="00FE0AF1"/>
    <w:rsid w:val="00FE4FEC"/>
    <w:rsid w:val="00FE6840"/>
    <w:rsid w:val="00FF0022"/>
    <w:rsid w:val="00FF52D6"/>
    <w:rsid w:val="00FF5D52"/>
    <w:rsid w:val="00FF70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4D8718"/>
  <w15:chartTrackingRefBased/>
  <w15:docId w15:val="{0A8B1363-0F81-43C6-ACD4-D38DC204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DC7"/>
    <w:rPr>
      <w:lang w:val="es-ES"/>
    </w:rPr>
  </w:style>
  <w:style w:type="paragraph" w:styleId="Ttulo1">
    <w:name w:val="heading 1"/>
    <w:basedOn w:val="Normal"/>
    <w:next w:val="Normal"/>
    <w:link w:val="Ttulo1Car"/>
    <w:uiPriority w:val="9"/>
    <w:qFormat/>
    <w:rsid w:val="00E12855"/>
    <w:pPr>
      <w:tabs>
        <w:tab w:val="left" w:pos="1056"/>
      </w:tabs>
      <w:spacing w:after="0"/>
      <w:outlineLvl w:val="0"/>
    </w:pPr>
    <w:rPr>
      <w:rFonts w:ascii="Bookman Old Style" w:hAnsi="Bookman Old Style"/>
      <w:b/>
      <w:sz w:val="28"/>
    </w:rPr>
  </w:style>
  <w:style w:type="paragraph" w:styleId="Ttulo2">
    <w:name w:val="heading 2"/>
    <w:basedOn w:val="Normal"/>
    <w:next w:val="Normal"/>
    <w:link w:val="Ttulo2Car"/>
    <w:uiPriority w:val="9"/>
    <w:unhideWhenUsed/>
    <w:qFormat/>
    <w:rsid w:val="00F600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600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7908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1470"/>
    <w:rPr>
      <w:color w:val="0000FF" w:themeColor="hyperlink"/>
      <w:u w:val="single"/>
    </w:rPr>
  </w:style>
  <w:style w:type="paragraph" w:styleId="Encabezado">
    <w:name w:val="header"/>
    <w:basedOn w:val="Normal"/>
    <w:link w:val="EncabezadoCar"/>
    <w:uiPriority w:val="99"/>
    <w:unhideWhenUsed/>
    <w:rsid w:val="00081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1470"/>
    <w:rPr>
      <w:lang w:val="es-ES"/>
    </w:rPr>
  </w:style>
  <w:style w:type="paragraph" w:styleId="Piedepgina">
    <w:name w:val="footer"/>
    <w:basedOn w:val="Normal"/>
    <w:link w:val="PiedepginaCar"/>
    <w:uiPriority w:val="99"/>
    <w:unhideWhenUsed/>
    <w:rsid w:val="00081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1470"/>
    <w:rPr>
      <w:lang w:val="es-ES"/>
    </w:rPr>
  </w:style>
  <w:style w:type="table" w:styleId="Tablaconcuadrcula">
    <w:name w:val="Table Grid"/>
    <w:basedOn w:val="Tablanormal"/>
    <w:uiPriority w:val="59"/>
    <w:rsid w:val="004C5B85"/>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12855"/>
    <w:rPr>
      <w:rFonts w:ascii="Bookman Old Style" w:hAnsi="Bookman Old Style"/>
      <w:b/>
      <w:sz w:val="28"/>
      <w:lang w:val="es-ES"/>
    </w:rPr>
  </w:style>
  <w:style w:type="paragraph" w:styleId="Prrafodelista">
    <w:name w:val="List Paragraph"/>
    <w:aliases w:val="Informe"/>
    <w:basedOn w:val="Normal"/>
    <w:link w:val="PrrafodelistaCar"/>
    <w:uiPriority w:val="34"/>
    <w:qFormat/>
    <w:rsid w:val="009D2E33"/>
    <w:pPr>
      <w:ind w:left="720"/>
      <w:contextualSpacing/>
    </w:pPr>
    <w:rPr>
      <w:rFonts w:ascii="Arial" w:hAnsi="Arial"/>
      <w:sz w:val="24"/>
    </w:rPr>
  </w:style>
  <w:style w:type="paragraph" w:styleId="Textodeglobo">
    <w:name w:val="Balloon Text"/>
    <w:basedOn w:val="Normal"/>
    <w:link w:val="TextodegloboCar"/>
    <w:uiPriority w:val="99"/>
    <w:semiHidden/>
    <w:unhideWhenUsed/>
    <w:rsid w:val="00CD4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95B"/>
    <w:rPr>
      <w:rFonts w:ascii="Segoe UI" w:hAnsi="Segoe UI" w:cs="Segoe UI"/>
      <w:sz w:val="18"/>
      <w:szCs w:val="18"/>
      <w:lang w:val="es-ES"/>
    </w:rPr>
  </w:style>
  <w:style w:type="character" w:styleId="Hipervnculovisitado">
    <w:name w:val="FollowedHyperlink"/>
    <w:basedOn w:val="Fuentedeprrafopredeter"/>
    <w:uiPriority w:val="99"/>
    <w:semiHidden/>
    <w:unhideWhenUsed/>
    <w:rsid w:val="00F800BD"/>
    <w:rPr>
      <w:color w:val="800080" w:themeColor="followedHyperlink"/>
      <w:u w:val="single"/>
    </w:rPr>
  </w:style>
  <w:style w:type="character" w:customStyle="1" w:styleId="Ttulo2Car">
    <w:name w:val="Título 2 Car"/>
    <w:basedOn w:val="Fuentedeprrafopredeter"/>
    <w:link w:val="Ttulo2"/>
    <w:uiPriority w:val="9"/>
    <w:rsid w:val="00F600B4"/>
    <w:rPr>
      <w:rFonts w:asciiTheme="majorHAnsi" w:eastAsiaTheme="majorEastAsia" w:hAnsiTheme="majorHAnsi" w:cstheme="majorBidi"/>
      <w:color w:val="365F91" w:themeColor="accent1" w:themeShade="BF"/>
      <w:sz w:val="26"/>
      <w:szCs w:val="26"/>
      <w:lang w:val="es-ES"/>
    </w:rPr>
  </w:style>
  <w:style w:type="paragraph" w:styleId="Descripcin">
    <w:name w:val="caption"/>
    <w:basedOn w:val="Normal"/>
    <w:next w:val="Normal"/>
    <w:uiPriority w:val="35"/>
    <w:unhideWhenUsed/>
    <w:qFormat/>
    <w:rsid w:val="00F600B4"/>
    <w:pPr>
      <w:spacing w:line="240" w:lineRule="auto"/>
    </w:pPr>
    <w:rPr>
      <w:rFonts w:ascii="Arial" w:eastAsiaTheme="minorEastAsia" w:hAnsi="Arial"/>
      <w:b/>
      <w:bCs/>
      <w:smallCaps/>
      <w:color w:val="595959" w:themeColor="text1" w:themeTint="A6"/>
      <w:sz w:val="24"/>
      <w:szCs w:val="21"/>
      <w:lang w:val="es-CR"/>
    </w:rPr>
  </w:style>
  <w:style w:type="paragraph" w:styleId="Sinespaciado">
    <w:name w:val="No Spacing"/>
    <w:uiPriority w:val="1"/>
    <w:qFormat/>
    <w:rsid w:val="00F600B4"/>
    <w:pPr>
      <w:spacing w:after="0" w:line="240" w:lineRule="auto"/>
    </w:pPr>
    <w:rPr>
      <w:rFonts w:eastAsiaTheme="minorEastAsia"/>
      <w:sz w:val="21"/>
      <w:szCs w:val="21"/>
    </w:rPr>
  </w:style>
  <w:style w:type="character" w:customStyle="1" w:styleId="PrrafodelistaCar">
    <w:name w:val="Párrafo de lista Car"/>
    <w:aliases w:val="Informe Car"/>
    <w:link w:val="Prrafodelista"/>
    <w:uiPriority w:val="34"/>
    <w:rsid w:val="009D2E33"/>
    <w:rPr>
      <w:rFonts w:ascii="Arial" w:hAnsi="Arial"/>
      <w:sz w:val="24"/>
      <w:lang w:val="es-ES"/>
    </w:rPr>
  </w:style>
  <w:style w:type="character" w:customStyle="1" w:styleId="Ttulo3Car">
    <w:name w:val="Título 3 Car"/>
    <w:basedOn w:val="Fuentedeprrafopredeter"/>
    <w:link w:val="Ttulo3"/>
    <w:uiPriority w:val="9"/>
    <w:rsid w:val="00F600B4"/>
    <w:rPr>
      <w:rFonts w:asciiTheme="majorHAnsi" w:eastAsiaTheme="majorEastAsia" w:hAnsiTheme="majorHAnsi" w:cstheme="majorBidi"/>
      <w:color w:val="243F60" w:themeColor="accent1" w:themeShade="7F"/>
      <w:sz w:val="24"/>
      <w:szCs w:val="24"/>
      <w:lang w:val="es-ES"/>
    </w:rPr>
  </w:style>
  <w:style w:type="paragraph" w:styleId="NormalWeb">
    <w:name w:val="Normal (Web)"/>
    <w:basedOn w:val="Normal"/>
    <w:uiPriority w:val="99"/>
    <w:unhideWhenUsed/>
    <w:rsid w:val="00D2782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TDC1">
    <w:name w:val="toc 1"/>
    <w:basedOn w:val="Normal"/>
    <w:next w:val="Normal"/>
    <w:autoRedefine/>
    <w:uiPriority w:val="39"/>
    <w:unhideWhenUsed/>
    <w:rsid w:val="00467734"/>
    <w:pPr>
      <w:tabs>
        <w:tab w:val="right" w:pos="10054"/>
      </w:tabs>
      <w:spacing w:before="100" w:beforeAutospacing="1" w:after="100" w:afterAutospacing="1"/>
    </w:pPr>
    <w:rPr>
      <w:rFonts w:asciiTheme="majorHAnsi" w:hAnsiTheme="majorHAnsi"/>
      <w:b/>
      <w:bCs/>
      <w:caps/>
      <w:sz w:val="24"/>
      <w:szCs w:val="24"/>
    </w:rPr>
  </w:style>
  <w:style w:type="paragraph" w:styleId="TDC2">
    <w:name w:val="toc 2"/>
    <w:basedOn w:val="Normal"/>
    <w:next w:val="Normal"/>
    <w:autoRedefine/>
    <w:uiPriority w:val="39"/>
    <w:unhideWhenUsed/>
    <w:rsid w:val="00D6259D"/>
    <w:pPr>
      <w:spacing w:before="240" w:after="0"/>
    </w:pPr>
    <w:rPr>
      <w:rFonts w:cstheme="minorHAnsi"/>
      <w:b/>
      <w:bCs/>
      <w:sz w:val="20"/>
      <w:szCs w:val="20"/>
    </w:rPr>
  </w:style>
  <w:style w:type="paragraph" w:styleId="TDC3">
    <w:name w:val="toc 3"/>
    <w:basedOn w:val="Normal"/>
    <w:next w:val="Normal"/>
    <w:autoRedefine/>
    <w:uiPriority w:val="39"/>
    <w:unhideWhenUsed/>
    <w:rsid w:val="00D6259D"/>
    <w:pPr>
      <w:spacing w:after="0"/>
      <w:ind w:left="220"/>
    </w:pPr>
    <w:rPr>
      <w:rFonts w:cstheme="minorHAnsi"/>
      <w:sz w:val="20"/>
      <w:szCs w:val="20"/>
    </w:rPr>
  </w:style>
  <w:style w:type="paragraph" w:styleId="TDC4">
    <w:name w:val="toc 4"/>
    <w:basedOn w:val="Normal"/>
    <w:next w:val="Normal"/>
    <w:autoRedefine/>
    <w:uiPriority w:val="39"/>
    <w:unhideWhenUsed/>
    <w:rsid w:val="00D6259D"/>
    <w:pPr>
      <w:spacing w:after="0"/>
      <w:ind w:left="440"/>
    </w:pPr>
    <w:rPr>
      <w:rFonts w:cstheme="minorHAnsi"/>
      <w:sz w:val="20"/>
      <w:szCs w:val="20"/>
    </w:rPr>
  </w:style>
  <w:style w:type="paragraph" w:styleId="TDC5">
    <w:name w:val="toc 5"/>
    <w:basedOn w:val="Normal"/>
    <w:next w:val="Normal"/>
    <w:autoRedefine/>
    <w:uiPriority w:val="39"/>
    <w:unhideWhenUsed/>
    <w:rsid w:val="00D6259D"/>
    <w:pPr>
      <w:spacing w:after="0"/>
      <w:ind w:left="660"/>
    </w:pPr>
    <w:rPr>
      <w:rFonts w:cstheme="minorHAnsi"/>
      <w:sz w:val="20"/>
      <w:szCs w:val="20"/>
    </w:rPr>
  </w:style>
  <w:style w:type="paragraph" w:styleId="TDC6">
    <w:name w:val="toc 6"/>
    <w:basedOn w:val="Normal"/>
    <w:next w:val="Normal"/>
    <w:autoRedefine/>
    <w:uiPriority w:val="39"/>
    <w:unhideWhenUsed/>
    <w:rsid w:val="00D6259D"/>
    <w:pPr>
      <w:spacing w:after="0"/>
      <w:ind w:left="880"/>
    </w:pPr>
    <w:rPr>
      <w:rFonts w:cstheme="minorHAnsi"/>
      <w:sz w:val="20"/>
      <w:szCs w:val="20"/>
    </w:rPr>
  </w:style>
  <w:style w:type="paragraph" w:styleId="TDC7">
    <w:name w:val="toc 7"/>
    <w:basedOn w:val="Normal"/>
    <w:next w:val="Normal"/>
    <w:autoRedefine/>
    <w:uiPriority w:val="39"/>
    <w:unhideWhenUsed/>
    <w:rsid w:val="00D6259D"/>
    <w:pPr>
      <w:spacing w:after="0"/>
      <w:ind w:left="1100"/>
    </w:pPr>
    <w:rPr>
      <w:rFonts w:cstheme="minorHAnsi"/>
      <w:sz w:val="20"/>
      <w:szCs w:val="20"/>
    </w:rPr>
  </w:style>
  <w:style w:type="paragraph" w:styleId="TDC8">
    <w:name w:val="toc 8"/>
    <w:basedOn w:val="Normal"/>
    <w:next w:val="Normal"/>
    <w:autoRedefine/>
    <w:uiPriority w:val="39"/>
    <w:unhideWhenUsed/>
    <w:rsid w:val="00D6259D"/>
    <w:pPr>
      <w:spacing w:after="0"/>
      <w:ind w:left="1320"/>
    </w:pPr>
    <w:rPr>
      <w:rFonts w:cstheme="minorHAnsi"/>
      <w:sz w:val="20"/>
      <w:szCs w:val="20"/>
    </w:rPr>
  </w:style>
  <w:style w:type="paragraph" w:styleId="TDC9">
    <w:name w:val="toc 9"/>
    <w:basedOn w:val="Normal"/>
    <w:next w:val="Normal"/>
    <w:autoRedefine/>
    <w:uiPriority w:val="39"/>
    <w:unhideWhenUsed/>
    <w:rsid w:val="00D6259D"/>
    <w:pPr>
      <w:spacing w:after="0"/>
      <w:ind w:left="1540"/>
    </w:pPr>
    <w:rPr>
      <w:rFonts w:cstheme="minorHAnsi"/>
      <w:sz w:val="20"/>
      <w:szCs w:val="20"/>
    </w:rPr>
  </w:style>
  <w:style w:type="paragraph" w:styleId="Revisin">
    <w:name w:val="Revision"/>
    <w:hidden/>
    <w:uiPriority w:val="99"/>
    <w:semiHidden/>
    <w:rsid w:val="00D95951"/>
    <w:pPr>
      <w:spacing w:after="0" w:line="240" w:lineRule="auto"/>
    </w:pPr>
    <w:rPr>
      <w:lang w:val="es-ES"/>
    </w:rPr>
  </w:style>
  <w:style w:type="character" w:customStyle="1" w:styleId="Ttulo4Car">
    <w:name w:val="Título 4 Car"/>
    <w:basedOn w:val="Fuentedeprrafopredeter"/>
    <w:link w:val="Ttulo4"/>
    <w:uiPriority w:val="9"/>
    <w:rsid w:val="00790860"/>
    <w:rPr>
      <w:rFonts w:asciiTheme="majorHAnsi" w:eastAsiaTheme="majorEastAsia" w:hAnsiTheme="majorHAnsi" w:cstheme="majorBidi"/>
      <w:i/>
      <w:iCs/>
      <w:color w:val="365F91" w:themeColor="accent1" w:themeShade="BF"/>
      <w:lang w:val="es-ES"/>
    </w:rPr>
  </w:style>
  <w:style w:type="paragraph" w:styleId="Sangradetextonormal">
    <w:name w:val="Body Text Indent"/>
    <w:basedOn w:val="Normal"/>
    <w:link w:val="SangradetextonormalCar"/>
    <w:uiPriority w:val="99"/>
    <w:semiHidden/>
    <w:unhideWhenUsed/>
    <w:rsid w:val="00790860"/>
    <w:pPr>
      <w:spacing w:after="120"/>
      <w:ind w:left="283"/>
    </w:pPr>
  </w:style>
  <w:style w:type="character" w:customStyle="1" w:styleId="SangradetextonormalCar">
    <w:name w:val="Sangría de texto normal Car"/>
    <w:basedOn w:val="Fuentedeprrafopredeter"/>
    <w:link w:val="Sangradetextonormal"/>
    <w:uiPriority w:val="99"/>
    <w:semiHidden/>
    <w:rsid w:val="00790860"/>
    <w:rPr>
      <w:lang w:val="es-ES"/>
    </w:rPr>
  </w:style>
  <w:style w:type="paragraph" w:styleId="Textoindependienteprimerasangra2">
    <w:name w:val="Body Text First Indent 2"/>
    <w:basedOn w:val="Sangradetextonormal"/>
    <w:link w:val="Textoindependienteprimerasangra2Car"/>
    <w:uiPriority w:val="99"/>
    <w:unhideWhenUsed/>
    <w:rsid w:val="0079086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90860"/>
    <w:rPr>
      <w:lang w:val="es-ES"/>
    </w:rPr>
  </w:style>
  <w:style w:type="paragraph" w:styleId="Textonotapie">
    <w:name w:val="footnote text"/>
    <w:basedOn w:val="Normal"/>
    <w:link w:val="TextonotapieCar"/>
    <w:uiPriority w:val="99"/>
    <w:semiHidden/>
    <w:unhideWhenUsed/>
    <w:rsid w:val="00BB05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05B1"/>
    <w:rPr>
      <w:sz w:val="20"/>
      <w:szCs w:val="20"/>
      <w:lang w:val="es-ES"/>
    </w:rPr>
  </w:style>
  <w:style w:type="character" w:styleId="Refdenotaalpie">
    <w:name w:val="footnote reference"/>
    <w:basedOn w:val="Fuentedeprrafopredeter"/>
    <w:uiPriority w:val="99"/>
    <w:semiHidden/>
    <w:unhideWhenUsed/>
    <w:rsid w:val="00BB05B1"/>
    <w:rPr>
      <w:vertAlign w:val="superscript"/>
    </w:rPr>
  </w:style>
  <w:style w:type="paragraph" w:customStyle="1" w:styleId="paragraph">
    <w:name w:val="paragraph"/>
    <w:basedOn w:val="Normal"/>
    <w:rsid w:val="007C1F39"/>
    <w:pPr>
      <w:spacing w:after="0" w:line="240" w:lineRule="auto"/>
    </w:pPr>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7C1F39"/>
  </w:style>
  <w:style w:type="character" w:customStyle="1" w:styleId="eop">
    <w:name w:val="eop"/>
    <w:basedOn w:val="Fuentedeprrafopredeter"/>
    <w:rsid w:val="007C1F39"/>
  </w:style>
  <w:style w:type="character" w:styleId="Refdecomentario">
    <w:name w:val="annotation reference"/>
    <w:basedOn w:val="Fuentedeprrafopredeter"/>
    <w:uiPriority w:val="99"/>
    <w:semiHidden/>
    <w:unhideWhenUsed/>
    <w:rsid w:val="000C00B4"/>
    <w:rPr>
      <w:sz w:val="16"/>
      <w:szCs w:val="16"/>
    </w:rPr>
  </w:style>
  <w:style w:type="paragraph" w:styleId="Textocomentario">
    <w:name w:val="annotation text"/>
    <w:basedOn w:val="Normal"/>
    <w:link w:val="TextocomentarioCar"/>
    <w:uiPriority w:val="99"/>
    <w:semiHidden/>
    <w:unhideWhenUsed/>
    <w:rsid w:val="000C0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00B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C00B4"/>
    <w:rPr>
      <w:b/>
      <w:bCs/>
    </w:rPr>
  </w:style>
  <w:style w:type="character" w:customStyle="1" w:styleId="AsuntodelcomentarioCar">
    <w:name w:val="Asunto del comentario Car"/>
    <w:basedOn w:val="TextocomentarioCar"/>
    <w:link w:val="Asuntodelcomentario"/>
    <w:uiPriority w:val="99"/>
    <w:semiHidden/>
    <w:rsid w:val="000C00B4"/>
    <w:rPr>
      <w:b/>
      <w:bCs/>
      <w:sz w:val="20"/>
      <w:szCs w:val="20"/>
      <w:lang w:val="es-ES"/>
    </w:rPr>
  </w:style>
  <w:style w:type="paragraph" w:styleId="Textonotaalfinal">
    <w:name w:val="endnote text"/>
    <w:basedOn w:val="Normal"/>
    <w:link w:val="TextonotaalfinalCar"/>
    <w:uiPriority w:val="99"/>
    <w:semiHidden/>
    <w:unhideWhenUsed/>
    <w:rsid w:val="000C00B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00B4"/>
    <w:rPr>
      <w:sz w:val="20"/>
      <w:szCs w:val="20"/>
      <w:lang w:val="es-ES"/>
    </w:rPr>
  </w:style>
  <w:style w:type="character" w:styleId="Refdenotaalfinal">
    <w:name w:val="endnote reference"/>
    <w:basedOn w:val="Fuentedeprrafopredeter"/>
    <w:uiPriority w:val="99"/>
    <w:semiHidden/>
    <w:unhideWhenUsed/>
    <w:rsid w:val="000C00B4"/>
    <w:rPr>
      <w:vertAlign w:val="superscript"/>
    </w:rPr>
  </w:style>
  <w:style w:type="paragraph" w:styleId="TtuloTDC">
    <w:name w:val="TOC Heading"/>
    <w:basedOn w:val="Ttulo1"/>
    <w:next w:val="Normal"/>
    <w:uiPriority w:val="39"/>
    <w:unhideWhenUsed/>
    <w:qFormat/>
    <w:rsid w:val="000C466A"/>
    <w:pPr>
      <w:keepNext/>
      <w:keepLines/>
      <w:tabs>
        <w:tab w:val="clear" w:pos="1056"/>
      </w:tabs>
      <w:spacing w:before="240" w:line="259" w:lineRule="auto"/>
      <w:outlineLvl w:val="9"/>
    </w:pPr>
    <w:rPr>
      <w:rFonts w:asciiTheme="majorHAnsi" w:eastAsiaTheme="majorEastAsia" w:hAnsiTheme="majorHAnsi" w:cstheme="majorBidi"/>
      <w:b w:val="0"/>
      <w:color w:val="365F91" w:themeColor="accent1" w:themeShade="BF"/>
      <w:sz w:val="32"/>
      <w:szCs w:val="32"/>
      <w:lang w:val="es-CR" w:eastAsia="es-CR"/>
    </w:rPr>
  </w:style>
  <w:style w:type="paragraph" w:customStyle="1" w:styleId="Default">
    <w:name w:val="Default"/>
    <w:rsid w:val="00D1543B"/>
    <w:pPr>
      <w:autoSpaceDE w:val="0"/>
      <w:autoSpaceDN w:val="0"/>
      <w:adjustRightInd w:val="0"/>
      <w:spacing w:after="0" w:line="240" w:lineRule="auto"/>
    </w:pPr>
    <w:rPr>
      <w:rFonts w:ascii="Century Gothic" w:eastAsiaTheme="minorEastAsia" w:hAnsi="Century Gothic" w:cs="Century Gothic"/>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707">
      <w:bodyDiv w:val="1"/>
      <w:marLeft w:val="0"/>
      <w:marRight w:val="0"/>
      <w:marTop w:val="0"/>
      <w:marBottom w:val="0"/>
      <w:divBdr>
        <w:top w:val="none" w:sz="0" w:space="0" w:color="auto"/>
        <w:left w:val="none" w:sz="0" w:space="0" w:color="auto"/>
        <w:bottom w:val="none" w:sz="0" w:space="0" w:color="auto"/>
        <w:right w:val="none" w:sz="0" w:space="0" w:color="auto"/>
      </w:divBdr>
    </w:div>
    <w:div w:id="44329480">
      <w:bodyDiv w:val="1"/>
      <w:marLeft w:val="0"/>
      <w:marRight w:val="0"/>
      <w:marTop w:val="0"/>
      <w:marBottom w:val="0"/>
      <w:divBdr>
        <w:top w:val="none" w:sz="0" w:space="0" w:color="auto"/>
        <w:left w:val="none" w:sz="0" w:space="0" w:color="auto"/>
        <w:bottom w:val="none" w:sz="0" w:space="0" w:color="auto"/>
        <w:right w:val="none" w:sz="0" w:space="0" w:color="auto"/>
      </w:divBdr>
    </w:div>
    <w:div w:id="86124976">
      <w:bodyDiv w:val="1"/>
      <w:marLeft w:val="0"/>
      <w:marRight w:val="0"/>
      <w:marTop w:val="0"/>
      <w:marBottom w:val="0"/>
      <w:divBdr>
        <w:top w:val="none" w:sz="0" w:space="0" w:color="auto"/>
        <w:left w:val="none" w:sz="0" w:space="0" w:color="auto"/>
        <w:bottom w:val="none" w:sz="0" w:space="0" w:color="auto"/>
        <w:right w:val="none" w:sz="0" w:space="0" w:color="auto"/>
      </w:divBdr>
    </w:div>
    <w:div w:id="124546924">
      <w:bodyDiv w:val="1"/>
      <w:marLeft w:val="0"/>
      <w:marRight w:val="0"/>
      <w:marTop w:val="0"/>
      <w:marBottom w:val="0"/>
      <w:divBdr>
        <w:top w:val="none" w:sz="0" w:space="0" w:color="auto"/>
        <w:left w:val="none" w:sz="0" w:space="0" w:color="auto"/>
        <w:bottom w:val="none" w:sz="0" w:space="0" w:color="auto"/>
        <w:right w:val="none" w:sz="0" w:space="0" w:color="auto"/>
      </w:divBdr>
    </w:div>
    <w:div w:id="130831612">
      <w:bodyDiv w:val="1"/>
      <w:marLeft w:val="0"/>
      <w:marRight w:val="0"/>
      <w:marTop w:val="0"/>
      <w:marBottom w:val="0"/>
      <w:divBdr>
        <w:top w:val="none" w:sz="0" w:space="0" w:color="auto"/>
        <w:left w:val="none" w:sz="0" w:space="0" w:color="auto"/>
        <w:bottom w:val="none" w:sz="0" w:space="0" w:color="auto"/>
        <w:right w:val="none" w:sz="0" w:space="0" w:color="auto"/>
      </w:divBdr>
    </w:div>
    <w:div w:id="175923763">
      <w:bodyDiv w:val="1"/>
      <w:marLeft w:val="0"/>
      <w:marRight w:val="0"/>
      <w:marTop w:val="0"/>
      <w:marBottom w:val="0"/>
      <w:divBdr>
        <w:top w:val="none" w:sz="0" w:space="0" w:color="auto"/>
        <w:left w:val="none" w:sz="0" w:space="0" w:color="auto"/>
        <w:bottom w:val="none" w:sz="0" w:space="0" w:color="auto"/>
        <w:right w:val="none" w:sz="0" w:space="0" w:color="auto"/>
      </w:divBdr>
    </w:div>
    <w:div w:id="179711059">
      <w:bodyDiv w:val="1"/>
      <w:marLeft w:val="0"/>
      <w:marRight w:val="0"/>
      <w:marTop w:val="0"/>
      <w:marBottom w:val="0"/>
      <w:divBdr>
        <w:top w:val="none" w:sz="0" w:space="0" w:color="auto"/>
        <w:left w:val="none" w:sz="0" w:space="0" w:color="auto"/>
        <w:bottom w:val="none" w:sz="0" w:space="0" w:color="auto"/>
        <w:right w:val="none" w:sz="0" w:space="0" w:color="auto"/>
      </w:divBdr>
    </w:div>
    <w:div w:id="248076755">
      <w:bodyDiv w:val="1"/>
      <w:marLeft w:val="0"/>
      <w:marRight w:val="0"/>
      <w:marTop w:val="0"/>
      <w:marBottom w:val="0"/>
      <w:divBdr>
        <w:top w:val="none" w:sz="0" w:space="0" w:color="auto"/>
        <w:left w:val="none" w:sz="0" w:space="0" w:color="auto"/>
        <w:bottom w:val="none" w:sz="0" w:space="0" w:color="auto"/>
        <w:right w:val="none" w:sz="0" w:space="0" w:color="auto"/>
      </w:divBdr>
    </w:div>
    <w:div w:id="249899784">
      <w:bodyDiv w:val="1"/>
      <w:marLeft w:val="0"/>
      <w:marRight w:val="0"/>
      <w:marTop w:val="0"/>
      <w:marBottom w:val="0"/>
      <w:divBdr>
        <w:top w:val="none" w:sz="0" w:space="0" w:color="auto"/>
        <w:left w:val="none" w:sz="0" w:space="0" w:color="auto"/>
        <w:bottom w:val="none" w:sz="0" w:space="0" w:color="auto"/>
        <w:right w:val="none" w:sz="0" w:space="0" w:color="auto"/>
      </w:divBdr>
    </w:div>
    <w:div w:id="288829192">
      <w:bodyDiv w:val="1"/>
      <w:marLeft w:val="0"/>
      <w:marRight w:val="0"/>
      <w:marTop w:val="0"/>
      <w:marBottom w:val="0"/>
      <w:divBdr>
        <w:top w:val="none" w:sz="0" w:space="0" w:color="auto"/>
        <w:left w:val="none" w:sz="0" w:space="0" w:color="auto"/>
        <w:bottom w:val="none" w:sz="0" w:space="0" w:color="auto"/>
        <w:right w:val="none" w:sz="0" w:space="0" w:color="auto"/>
      </w:divBdr>
    </w:div>
    <w:div w:id="317655911">
      <w:bodyDiv w:val="1"/>
      <w:marLeft w:val="0"/>
      <w:marRight w:val="0"/>
      <w:marTop w:val="0"/>
      <w:marBottom w:val="0"/>
      <w:divBdr>
        <w:top w:val="none" w:sz="0" w:space="0" w:color="auto"/>
        <w:left w:val="none" w:sz="0" w:space="0" w:color="auto"/>
        <w:bottom w:val="none" w:sz="0" w:space="0" w:color="auto"/>
        <w:right w:val="none" w:sz="0" w:space="0" w:color="auto"/>
      </w:divBdr>
    </w:div>
    <w:div w:id="325405398">
      <w:bodyDiv w:val="1"/>
      <w:marLeft w:val="0"/>
      <w:marRight w:val="0"/>
      <w:marTop w:val="0"/>
      <w:marBottom w:val="0"/>
      <w:divBdr>
        <w:top w:val="none" w:sz="0" w:space="0" w:color="auto"/>
        <w:left w:val="none" w:sz="0" w:space="0" w:color="auto"/>
        <w:bottom w:val="none" w:sz="0" w:space="0" w:color="auto"/>
        <w:right w:val="none" w:sz="0" w:space="0" w:color="auto"/>
      </w:divBdr>
    </w:div>
    <w:div w:id="350882784">
      <w:bodyDiv w:val="1"/>
      <w:marLeft w:val="0"/>
      <w:marRight w:val="0"/>
      <w:marTop w:val="0"/>
      <w:marBottom w:val="0"/>
      <w:divBdr>
        <w:top w:val="none" w:sz="0" w:space="0" w:color="auto"/>
        <w:left w:val="none" w:sz="0" w:space="0" w:color="auto"/>
        <w:bottom w:val="none" w:sz="0" w:space="0" w:color="auto"/>
        <w:right w:val="none" w:sz="0" w:space="0" w:color="auto"/>
      </w:divBdr>
    </w:div>
    <w:div w:id="360789530">
      <w:bodyDiv w:val="1"/>
      <w:marLeft w:val="0"/>
      <w:marRight w:val="0"/>
      <w:marTop w:val="0"/>
      <w:marBottom w:val="0"/>
      <w:divBdr>
        <w:top w:val="none" w:sz="0" w:space="0" w:color="auto"/>
        <w:left w:val="none" w:sz="0" w:space="0" w:color="auto"/>
        <w:bottom w:val="none" w:sz="0" w:space="0" w:color="auto"/>
        <w:right w:val="none" w:sz="0" w:space="0" w:color="auto"/>
      </w:divBdr>
    </w:div>
    <w:div w:id="369847024">
      <w:bodyDiv w:val="1"/>
      <w:marLeft w:val="0"/>
      <w:marRight w:val="0"/>
      <w:marTop w:val="0"/>
      <w:marBottom w:val="0"/>
      <w:divBdr>
        <w:top w:val="none" w:sz="0" w:space="0" w:color="auto"/>
        <w:left w:val="none" w:sz="0" w:space="0" w:color="auto"/>
        <w:bottom w:val="none" w:sz="0" w:space="0" w:color="auto"/>
        <w:right w:val="none" w:sz="0" w:space="0" w:color="auto"/>
      </w:divBdr>
    </w:div>
    <w:div w:id="416560097">
      <w:bodyDiv w:val="1"/>
      <w:marLeft w:val="0"/>
      <w:marRight w:val="0"/>
      <w:marTop w:val="0"/>
      <w:marBottom w:val="0"/>
      <w:divBdr>
        <w:top w:val="none" w:sz="0" w:space="0" w:color="auto"/>
        <w:left w:val="none" w:sz="0" w:space="0" w:color="auto"/>
        <w:bottom w:val="none" w:sz="0" w:space="0" w:color="auto"/>
        <w:right w:val="none" w:sz="0" w:space="0" w:color="auto"/>
      </w:divBdr>
    </w:div>
    <w:div w:id="441803757">
      <w:bodyDiv w:val="1"/>
      <w:marLeft w:val="0"/>
      <w:marRight w:val="0"/>
      <w:marTop w:val="0"/>
      <w:marBottom w:val="0"/>
      <w:divBdr>
        <w:top w:val="none" w:sz="0" w:space="0" w:color="auto"/>
        <w:left w:val="none" w:sz="0" w:space="0" w:color="auto"/>
        <w:bottom w:val="none" w:sz="0" w:space="0" w:color="auto"/>
        <w:right w:val="none" w:sz="0" w:space="0" w:color="auto"/>
      </w:divBdr>
    </w:div>
    <w:div w:id="478768375">
      <w:bodyDiv w:val="1"/>
      <w:marLeft w:val="0"/>
      <w:marRight w:val="0"/>
      <w:marTop w:val="0"/>
      <w:marBottom w:val="0"/>
      <w:divBdr>
        <w:top w:val="none" w:sz="0" w:space="0" w:color="auto"/>
        <w:left w:val="none" w:sz="0" w:space="0" w:color="auto"/>
        <w:bottom w:val="none" w:sz="0" w:space="0" w:color="auto"/>
        <w:right w:val="none" w:sz="0" w:space="0" w:color="auto"/>
      </w:divBdr>
    </w:div>
    <w:div w:id="486898408">
      <w:bodyDiv w:val="1"/>
      <w:marLeft w:val="0"/>
      <w:marRight w:val="0"/>
      <w:marTop w:val="0"/>
      <w:marBottom w:val="0"/>
      <w:divBdr>
        <w:top w:val="none" w:sz="0" w:space="0" w:color="auto"/>
        <w:left w:val="none" w:sz="0" w:space="0" w:color="auto"/>
        <w:bottom w:val="none" w:sz="0" w:space="0" w:color="auto"/>
        <w:right w:val="none" w:sz="0" w:space="0" w:color="auto"/>
      </w:divBdr>
    </w:div>
    <w:div w:id="493687242">
      <w:bodyDiv w:val="1"/>
      <w:marLeft w:val="0"/>
      <w:marRight w:val="0"/>
      <w:marTop w:val="0"/>
      <w:marBottom w:val="0"/>
      <w:divBdr>
        <w:top w:val="none" w:sz="0" w:space="0" w:color="auto"/>
        <w:left w:val="none" w:sz="0" w:space="0" w:color="auto"/>
        <w:bottom w:val="none" w:sz="0" w:space="0" w:color="auto"/>
        <w:right w:val="none" w:sz="0" w:space="0" w:color="auto"/>
      </w:divBdr>
    </w:div>
    <w:div w:id="559294632">
      <w:bodyDiv w:val="1"/>
      <w:marLeft w:val="0"/>
      <w:marRight w:val="0"/>
      <w:marTop w:val="0"/>
      <w:marBottom w:val="0"/>
      <w:divBdr>
        <w:top w:val="none" w:sz="0" w:space="0" w:color="auto"/>
        <w:left w:val="none" w:sz="0" w:space="0" w:color="auto"/>
        <w:bottom w:val="none" w:sz="0" w:space="0" w:color="auto"/>
        <w:right w:val="none" w:sz="0" w:space="0" w:color="auto"/>
      </w:divBdr>
    </w:div>
    <w:div w:id="593242984">
      <w:bodyDiv w:val="1"/>
      <w:marLeft w:val="0"/>
      <w:marRight w:val="0"/>
      <w:marTop w:val="0"/>
      <w:marBottom w:val="0"/>
      <w:divBdr>
        <w:top w:val="none" w:sz="0" w:space="0" w:color="auto"/>
        <w:left w:val="none" w:sz="0" w:space="0" w:color="auto"/>
        <w:bottom w:val="none" w:sz="0" w:space="0" w:color="auto"/>
        <w:right w:val="none" w:sz="0" w:space="0" w:color="auto"/>
      </w:divBdr>
    </w:div>
    <w:div w:id="609051059">
      <w:bodyDiv w:val="1"/>
      <w:marLeft w:val="0"/>
      <w:marRight w:val="0"/>
      <w:marTop w:val="0"/>
      <w:marBottom w:val="0"/>
      <w:divBdr>
        <w:top w:val="none" w:sz="0" w:space="0" w:color="auto"/>
        <w:left w:val="none" w:sz="0" w:space="0" w:color="auto"/>
        <w:bottom w:val="none" w:sz="0" w:space="0" w:color="auto"/>
        <w:right w:val="none" w:sz="0" w:space="0" w:color="auto"/>
      </w:divBdr>
    </w:div>
    <w:div w:id="639504254">
      <w:bodyDiv w:val="1"/>
      <w:marLeft w:val="0"/>
      <w:marRight w:val="0"/>
      <w:marTop w:val="0"/>
      <w:marBottom w:val="0"/>
      <w:divBdr>
        <w:top w:val="none" w:sz="0" w:space="0" w:color="auto"/>
        <w:left w:val="none" w:sz="0" w:space="0" w:color="auto"/>
        <w:bottom w:val="none" w:sz="0" w:space="0" w:color="auto"/>
        <w:right w:val="none" w:sz="0" w:space="0" w:color="auto"/>
      </w:divBdr>
    </w:div>
    <w:div w:id="642975010">
      <w:bodyDiv w:val="1"/>
      <w:marLeft w:val="0"/>
      <w:marRight w:val="0"/>
      <w:marTop w:val="0"/>
      <w:marBottom w:val="0"/>
      <w:divBdr>
        <w:top w:val="none" w:sz="0" w:space="0" w:color="auto"/>
        <w:left w:val="none" w:sz="0" w:space="0" w:color="auto"/>
        <w:bottom w:val="none" w:sz="0" w:space="0" w:color="auto"/>
        <w:right w:val="none" w:sz="0" w:space="0" w:color="auto"/>
      </w:divBdr>
    </w:div>
    <w:div w:id="655183678">
      <w:bodyDiv w:val="1"/>
      <w:marLeft w:val="0"/>
      <w:marRight w:val="0"/>
      <w:marTop w:val="0"/>
      <w:marBottom w:val="0"/>
      <w:divBdr>
        <w:top w:val="none" w:sz="0" w:space="0" w:color="auto"/>
        <w:left w:val="none" w:sz="0" w:space="0" w:color="auto"/>
        <w:bottom w:val="none" w:sz="0" w:space="0" w:color="auto"/>
        <w:right w:val="none" w:sz="0" w:space="0" w:color="auto"/>
      </w:divBdr>
    </w:div>
    <w:div w:id="659121466">
      <w:bodyDiv w:val="1"/>
      <w:marLeft w:val="0"/>
      <w:marRight w:val="0"/>
      <w:marTop w:val="0"/>
      <w:marBottom w:val="0"/>
      <w:divBdr>
        <w:top w:val="none" w:sz="0" w:space="0" w:color="auto"/>
        <w:left w:val="none" w:sz="0" w:space="0" w:color="auto"/>
        <w:bottom w:val="none" w:sz="0" w:space="0" w:color="auto"/>
        <w:right w:val="none" w:sz="0" w:space="0" w:color="auto"/>
      </w:divBdr>
    </w:div>
    <w:div w:id="758253855">
      <w:bodyDiv w:val="1"/>
      <w:marLeft w:val="0"/>
      <w:marRight w:val="0"/>
      <w:marTop w:val="0"/>
      <w:marBottom w:val="0"/>
      <w:divBdr>
        <w:top w:val="none" w:sz="0" w:space="0" w:color="auto"/>
        <w:left w:val="none" w:sz="0" w:space="0" w:color="auto"/>
        <w:bottom w:val="none" w:sz="0" w:space="0" w:color="auto"/>
        <w:right w:val="none" w:sz="0" w:space="0" w:color="auto"/>
      </w:divBdr>
    </w:div>
    <w:div w:id="808861748">
      <w:bodyDiv w:val="1"/>
      <w:marLeft w:val="0"/>
      <w:marRight w:val="0"/>
      <w:marTop w:val="0"/>
      <w:marBottom w:val="0"/>
      <w:divBdr>
        <w:top w:val="none" w:sz="0" w:space="0" w:color="auto"/>
        <w:left w:val="none" w:sz="0" w:space="0" w:color="auto"/>
        <w:bottom w:val="none" w:sz="0" w:space="0" w:color="auto"/>
        <w:right w:val="none" w:sz="0" w:space="0" w:color="auto"/>
      </w:divBdr>
    </w:div>
    <w:div w:id="882867177">
      <w:bodyDiv w:val="1"/>
      <w:marLeft w:val="0"/>
      <w:marRight w:val="0"/>
      <w:marTop w:val="0"/>
      <w:marBottom w:val="0"/>
      <w:divBdr>
        <w:top w:val="none" w:sz="0" w:space="0" w:color="auto"/>
        <w:left w:val="none" w:sz="0" w:space="0" w:color="auto"/>
        <w:bottom w:val="none" w:sz="0" w:space="0" w:color="auto"/>
        <w:right w:val="none" w:sz="0" w:space="0" w:color="auto"/>
      </w:divBdr>
    </w:div>
    <w:div w:id="909579284">
      <w:bodyDiv w:val="1"/>
      <w:marLeft w:val="0"/>
      <w:marRight w:val="0"/>
      <w:marTop w:val="0"/>
      <w:marBottom w:val="0"/>
      <w:divBdr>
        <w:top w:val="none" w:sz="0" w:space="0" w:color="auto"/>
        <w:left w:val="none" w:sz="0" w:space="0" w:color="auto"/>
        <w:bottom w:val="none" w:sz="0" w:space="0" w:color="auto"/>
        <w:right w:val="none" w:sz="0" w:space="0" w:color="auto"/>
      </w:divBdr>
      <w:divsChild>
        <w:div w:id="697854899">
          <w:marLeft w:val="360"/>
          <w:marRight w:val="0"/>
          <w:marTop w:val="200"/>
          <w:marBottom w:val="0"/>
          <w:divBdr>
            <w:top w:val="none" w:sz="0" w:space="0" w:color="auto"/>
            <w:left w:val="none" w:sz="0" w:space="0" w:color="auto"/>
            <w:bottom w:val="none" w:sz="0" w:space="0" w:color="auto"/>
            <w:right w:val="none" w:sz="0" w:space="0" w:color="auto"/>
          </w:divBdr>
        </w:div>
        <w:div w:id="95486896">
          <w:marLeft w:val="360"/>
          <w:marRight w:val="0"/>
          <w:marTop w:val="200"/>
          <w:marBottom w:val="0"/>
          <w:divBdr>
            <w:top w:val="none" w:sz="0" w:space="0" w:color="auto"/>
            <w:left w:val="none" w:sz="0" w:space="0" w:color="auto"/>
            <w:bottom w:val="none" w:sz="0" w:space="0" w:color="auto"/>
            <w:right w:val="none" w:sz="0" w:space="0" w:color="auto"/>
          </w:divBdr>
        </w:div>
        <w:div w:id="493109230">
          <w:marLeft w:val="360"/>
          <w:marRight w:val="0"/>
          <w:marTop w:val="200"/>
          <w:marBottom w:val="0"/>
          <w:divBdr>
            <w:top w:val="none" w:sz="0" w:space="0" w:color="auto"/>
            <w:left w:val="none" w:sz="0" w:space="0" w:color="auto"/>
            <w:bottom w:val="none" w:sz="0" w:space="0" w:color="auto"/>
            <w:right w:val="none" w:sz="0" w:space="0" w:color="auto"/>
          </w:divBdr>
        </w:div>
      </w:divsChild>
    </w:div>
    <w:div w:id="968241233">
      <w:bodyDiv w:val="1"/>
      <w:marLeft w:val="0"/>
      <w:marRight w:val="0"/>
      <w:marTop w:val="0"/>
      <w:marBottom w:val="0"/>
      <w:divBdr>
        <w:top w:val="none" w:sz="0" w:space="0" w:color="auto"/>
        <w:left w:val="none" w:sz="0" w:space="0" w:color="auto"/>
        <w:bottom w:val="none" w:sz="0" w:space="0" w:color="auto"/>
        <w:right w:val="none" w:sz="0" w:space="0" w:color="auto"/>
      </w:divBdr>
    </w:div>
    <w:div w:id="1032531566">
      <w:bodyDiv w:val="1"/>
      <w:marLeft w:val="0"/>
      <w:marRight w:val="0"/>
      <w:marTop w:val="0"/>
      <w:marBottom w:val="0"/>
      <w:divBdr>
        <w:top w:val="none" w:sz="0" w:space="0" w:color="auto"/>
        <w:left w:val="none" w:sz="0" w:space="0" w:color="auto"/>
        <w:bottom w:val="none" w:sz="0" w:space="0" w:color="auto"/>
        <w:right w:val="none" w:sz="0" w:space="0" w:color="auto"/>
      </w:divBdr>
    </w:div>
    <w:div w:id="1034384632">
      <w:bodyDiv w:val="1"/>
      <w:marLeft w:val="0"/>
      <w:marRight w:val="0"/>
      <w:marTop w:val="0"/>
      <w:marBottom w:val="0"/>
      <w:divBdr>
        <w:top w:val="none" w:sz="0" w:space="0" w:color="auto"/>
        <w:left w:val="none" w:sz="0" w:space="0" w:color="auto"/>
        <w:bottom w:val="none" w:sz="0" w:space="0" w:color="auto"/>
        <w:right w:val="none" w:sz="0" w:space="0" w:color="auto"/>
      </w:divBdr>
    </w:div>
    <w:div w:id="1071467960">
      <w:bodyDiv w:val="1"/>
      <w:marLeft w:val="0"/>
      <w:marRight w:val="0"/>
      <w:marTop w:val="0"/>
      <w:marBottom w:val="0"/>
      <w:divBdr>
        <w:top w:val="none" w:sz="0" w:space="0" w:color="auto"/>
        <w:left w:val="none" w:sz="0" w:space="0" w:color="auto"/>
        <w:bottom w:val="none" w:sz="0" w:space="0" w:color="auto"/>
        <w:right w:val="none" w:sz="0" w:space="0" w:color="auto"/>
      </w:divBdr>
    </w:div>
    <w:div w:id="1118065326">
      <w:bodyDiv w:val="1"/>
      <w:marLeft w:val="0"/>
      <w:marRight w:val="0"/>
      <w:marTop w:val="0"/>
      <w:marBottom w:val="0"/>
      <w:divBdr>
        <w:top w:val="none" w:sz="0" w:space="0" w:color="auto"/>
        <w:left w:val="none" w:sz="0" w:space="0" w:color="auto"/>
        <w:bottom w:val="none" w:sz="0" w:space="0" w:color="auto"/>
        <w:right w:val="none" w:sz="0" w:space="0" w:color="auto"/>
      </w:divBdr>
      <w:divsChild>
        <w:div w:id="1065957208">
          <w:marLeft w:val="0"/>
          <w:marRight w:val="0"/>
          <w:marTop w:val="0"/>
          <w:marBottom w:val="0"/>
          <w:divBdr>
            <w:top w:val="none" w:sz="0" w:space="0" w:color="auto"/>
            <w:left w:val="none" w:sz="0" w:space="0" w:color="auto"/>
            <w:bottom w:val="none" w:sz="0" w:space="0" w:color="auto"/>
            <w:right w:val="none" w:sz="0" w:space="0" w:color="auto"/>
          </w:divBdr>
          <w:divsChild>
            <w:div w:id="1953660395">
              <w:marLeft w:val="0"/>
              <w:marRight w:val="0"/>
              <w:marTop w:val="0"/>
              <w:marBottom w:val="0"/>
              <w:divBdr>
                <w:top w:val="none" w:sz="0" w:space="0" w:color="auto"/>
                <w:left w:val="none" w:sz="0" w:space="0" w:color="auto"/>
                <w:bottom w:val="none" w:sz="0" w:space="0" w:color="auto"/>
                <w:right w:val="none" w:sz="0" w:space="0" w:color="auto"/>
              </w:divBdr>
              <w:divsChild>
                <w:div w:id="1713312462">
                  <w:marLeft w:val="0"/>
                  <w:marRight w:val="0"/>
                  <w:marTop w:val="0"/>
                  <w:marBottom w:val="0"/>
                  <w:divBdr>
                    <w:top w:val="none" w:sz="0" w:space="0" w:color="auto"/>
                    <w:left w:val="none" w:sz="0" w:space="0" w:color="auto"/>
                    <w:bottom w:val="none" w:sz="0" w:space="0" w:color="auto"/>
                    <w:right w:val="none" w:sz="0" w:space="0" w:color="auto"/>
                  </w:divBdr>
                  <w:divsChild>
                    <w:div w:id="1774130230">
                      <w:marLeft w:val="0"/>
                      <w:marRight w:val="0"/>
                      <w:marTop w:val="0"/>
                      <w:marBottom w:val="0"/>
                      <w:divBdr>
                        <w:top w:val="none" w:sz="0" w:space="0" w:color="auto"/>
                        <w:left w:val="none" w:sz="0" w:space="0" w:color="auto"/>
                        <w:bottom w:val="none" w:sz="0" w:space="0" w:color="auto"/>
                        <w:right w:val="none" w:sz="0" w:space="0" w:color="auto"/>
                      </w:divBdr>
                      <w:divsChild>
                        <w:div w:id="2071073309">
                          <w:marLeft w:val="0"/>
                          <w:marRight w:val="0"/>
                          <w:marTop w:val="0"/>
                          <w:marBottom w:val="0"/>
                          <w:divBdr>
                            <w:top w:val="none" w:sz="0" w:space="0" w:color="auto"/>
                            <w:left w:val="none" w:sz="0" w:space="0" w:color="auto"/>
                            <w:bottom w:val="none" w:sz="0" w:space="0" w:color="auto"/>
                            <w:right w:val="none" w:sz="0" w:space="0" w:color="auto"/>
                          </w:divBdr>
                          <w:divsChild>
                            <w:div w:id="1874533648">
                              <w:marLeft w:val="0"/>
                              <w:marRight w:val="0"/>
                              <w:marTop w:val="0"/>
                              <w:marBottom w:val="0"/>
                              <w:divBdr>
                                <w:top w:val="none" w:sz="0" w:space="0" w:color="auto"/>
                                <w:left w:val="none" w:sz="0" w:space="0" w:color="auto"/>
                                <w:bottom w:val="none" w:sz="0" w:space="0" w:color="auto"/>
                                <w:right w:val="none" w:sz="0" w:space="0" w:color="auto"/>
                              </w:divBdr>
                              <w:divsChild>
                                <w:div w:id="1969625660">
                                  <w:marLeft w:val="0"/>
                                  <w:marRight w:val="0"/>
                                  <w:marTop w:val="0"/>
                                  <w:marBottom w:val="0"/>
                                  <w:divBdr>
                                    <w:top w:val="none" w:sz="0" w:space="0" w:color="auto"/>
                                    <w:left w:val="none" w:sz="0" w:space="0" w:color="auto"/>
                                    <w:bottom w:val="none" w:sz="0" w:space="0" w:color="auto"/>
                                    <w:right w:val="none" w:sz="0" w:space="0" w:color="auto"/>
                                  </w:divBdr>
                                  <w:divsChild>
                                    <w:div w:id="731731447">
                                      <w:marLeft w:val="0"/>
                                      <w:marRight w:val="0"/>
                                      <w:marTop w:val="0"/>
                                      <w:marBottom w:val="0"/>
                                      <w:divBdr>
                                        <w:top w:val="none" w:sz="0" w:space="0" w:color="auto"/>
                                        <w:left w:val="none" w:sz="0" w:space="0" w:color="auto"/>
                                        <w:bottom w:val="none" w:sz="0" w:space="0" w:color="auto"/>
                                        <w:right w:val="none" w:sz="0" w:space="0" w:color="auto"/>
                                      </w:divBdr>
                                      <w:divsChild>
                                        <w:div w:id="1034114409">
                                          <w:marLeft w:val="0"/>
                                          <w:marRight w:val="0"/>
                                          <w:marTop w:val="0"/>
                                          <w:marBottom w:val="0"/>
                                          <w:divBdr>
                                            <w:top w:val="none" w:sz="0" w:space="0" w:color="auto"/>
                                            <w:left w:val="none" w:sz="0" w:space="0" w:color="auto"/>
                                            <w:bottom w:val="none" w:sz="0" w:space="0" w:color="auto"/>
                                            <w:right w:val="none" w:sz="0" w:space="0" w:color="auto"/>
                                          </w:divBdr>
                                          <w:divsChild>
                                            <w:div w:id="210773526">
                                              <w:marLeft w:val="0"/>
                                              <w:marRight w:val="0"/>
                                              <w:marTop w:val="0"/>
                                              <w:marBottom w:val="0"/>
                                              <w:divBdr>
                                                <w:top w:val="none" w:sz="0" w:space="0" w:color="auto"/>
                                                <w:left w:val="none" w:sz="0" w:space="0" w:color="auto"/>
                                                <w:bottom w:val="none" w:sz="0" w:space="0" w:color="auto"/>
                                                <w:right w:val="none" w:sz="0" w:space="0" w:color="auto"/>
                                              </w:divBdr>
                                              <w:divsChild>
                                                <w:div w:id="1746761076">
                                                  <w:marLeft w:val="0"/>
                                                  <w:marRight w:val="0"/>
                                                  <w:marTop w:val="0"/>
                                                  <w:marBottom w:val="0"/>
                                                  <w:divBdr>
                                                    <w:top w:val="none" w:sz="0" w:space="0" w:color="auto"/>
                                                    <w:left w:val="none" w:sz="0" w:space="0" w:color="auto"/>
                                                    <w:bottom w:val="none" w:sz="0" w:space="0" w:color="auto"/>
                                                    <w:right w:val="none" w:sz="0" w:space="0" w:color="auto"/>
                                                  </w:divBdr>
                                                  <w:divsChild>
                                                    <w:div w:id="1878808018">
                                                      <w:marLeft w:val="0"/>
                                                      <w:marRight w:val="0"/>
                                                      <w:marTop w:val="0"/>
                                                      <w:marBottom w:val="0"/>
                                                      <w:divBdr>
                                                        <w:top w:val="single" w:sz="6" w:space="0" w:color="ABABAB"/>
                                                        <w:left w:val="single" w:sz="6" w:space="0" w:color="ABABAB"/>
                                                        <w:bottom w:val="none" w:sz="0" w:space="0" w:color="auto"/>
                                                        <w:right w:val="single" w:sz="6" w:space="0" w:color="ABABAB"/>
                                                      </w:divBdr>
                                                      <w:divsChild>
                                                        <w:div w:id="1574243972">
                                                          <w:marLeft w:val="0"/>
                                                          <w:marRight w:val="0"/>
                                                          <w:marTop w:val="0"/>
                                                          <w:marBottom w:val="0"/>
                                                          <w:divBdr>
                                                            <w:top w:val="none" w:sz="0" w:space="0" w:color="auto"/>
                                                            <w:left w:val="none" w:sz="0" w:space="0" w:color="auto"/>
                                                            <w:bottom w:val="none" w:sz="0" w:space="0" w:color="auto"/>
                                                            <w:right w:val="none" w:sz="0" w:space="0" w:color="auto"/>
                                                          </w:divBdr>
                                                          <w:divsChild>
                                                            <w:div w:id="1774932313">
                                                              <w:marLeft w:val="0"/>
                                                              <w:marRight w:val="0"/>
                                                              <w:marTop w:val="0"/>
                                                              <w:marBottom w:val="0"/>
                                                              <w:divBdr>
                                                                <w:top w:val="none" w:sz="0" w:space="0" w:color="auto"/>
                                                                <w:left w:val="none" w:sz="0" w:space="0" w:color="auto"/>
                                                                <w:bottom w:val="none" w:sz="0" w:space="0" w:color="auto"/>
                                                                <w:right w:val="none" w:sz="0" w:space="0" w:color="auto"/>
                                                              </w:divBdr>
                                                              <w:divsChild>
                                                                <w:div w:id="303242795">
                                                                  <w:marLeft w:val="0"/>
                                                                  <w:marRight w:val="0"/>
                                                                  <w:marTop w:val="0"/>
                                                                  <w:marBottom w:val="0"/>
                                                                  <w:divBdr>
                                                                    <w:top w:val="none" w:sz="0" w:space="0" w:color="auto"/>
                                                                    <w:left w:val="none" w:sz="0" w:space="0" w:color="auto"/>
                                                                    <w:bottom w:val="none" w:sz="0" w:space="0" w:color="auto"/>
                                                                    <w:right w:val="none" w:sz="0" w:space="0" w:color="auto"/>
                                                                  </w:divBdr>
                                                                  <w:divsChild>
                                                                    <w:div w:id="1672826956">
                                                                      <w:marLeft w:val="0"/>
                                                                      <w:marRight w:val="0"/>
                                                                      <w:marTop w:val="0"/>
                                                                      <w:marBottom w:val="0"/>
                                                                      <w:divBdr>
                                                                        <w:top w:val="none" w:sz="0" w:space="0" w:color="auto"/>
                                                                        <w:left w:val="none" w:sz="0" w:space="0" w:color="auto"/>
                                                                        <w:bottom w:val="none" w:sz="0" w:space="0" w:color="auto"/>
                                                                        <w:right w:val="none" w:sz="0" w:space="0" w:color="auto"/>
                                                                      </w:divBdr>
                                                                      <w:divsChild>
                                                                        <w:div w:id="35930729">
                                                                          <w:marLeft w:val="0"/>
                                                                          <w:marRight w:val="0"/>
                                                                          <w:marTop w:val="0"/>
                                                                          <w:marBottom w:val="0"/>
                                                                          <w:divBdr>
                                                                            <w:top w:val="none" w:sz="0" w:space="0" w:color="auto"/>
                                                                            <w:left w:val="none" w:sz="0" w:space="0" w:color="auto"/>
                                                                            <w:bottom w:val="none" w:sz="0" w:space="0" w:color="auto"/>
                                                                            <w:right w:val="none" w:sz="0" w:space="0" w:color="auto"/>
                                                                          </w:divBdr>
                                                                          <w:divsChild>
                                                                            <w:div w:id="2001737910">
                                                                              <w:marLeft w:val="0"/>
                                                                              <w:marRight w:val="0"/>
                                                                              <w:marTop w:val="0"/>
                                                                              <w:marBottom w:val="0"/>
                                                                              <w:divBdr>
                                                                                <w:top w:val="none" w:sz="0" w:space="0" w:color="auto"/>
                                                                                <w:left w:val="none" w:sz="0" w:space="0" w:color="auto"/>
                                                                                <w:bottom w:val="none" w:sz="0" w:space="0" w:color="auto"/>
                                                                                <w:right w:val="none" w:sz="0" w:space="0" w:color="auto"/>
                                                                              </w:divBdr>
                                                                              <w:divsChild>
                                                                                <w:div w:id="21033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739057">
      <w:bodyDiv w:val="1"/>
      <w:marLeft w:val="0"/>
      <w:marRight w:val="0"/>
      <w:marTop w:val="0"/>
      <w:marBottom w:val="0"/>
      <w:divBdr>
        <w:top w:val="none" w:sz="0" w:space="0" w:color="auto"/>
        <w:left w:val="none" w:sz="0" w:space="0" w:color="auto"/>
        <w:bottom w:val="none" w:sz="0" w:space="0" w:color="auto"/>
        <w:right w:val="none" w:sz="0" w:space="0" w:color="auto"/>
      </w:divBdr>
    </w:div>
    <w:div w:id="1194001840">
      <w:bodyDiv w:val="1"/>
      <w:marLeft w:val="0"/>
      <w:marRight w:val="0"/>
      <w:marTop w:val="0"/>
      <w:marBottom w:val="0"/>
      <w:divBdr>
        <w:top w:val="none" w:sz="0" w:space="0" w:color="auto"/>
        <w:left w:val="none" w:sz="0" w:space="0" w:color="auto"/>
        <w:bottom w:val="none" w:sz="0" w:space="0" w:color="auto"/>
        <w:right w:val="none" w:sz="0" w:space="0" w:color="auto"/>
      </w:divBdr>
    </w:div>
    <w:div w:id="1217354717">
      <w:bodyDiv w:val="1"/>
      <w:marLeft w:val="0"/>
      <w:marRight w:val="0"/>
      <w:marTop w:val="0"/>
      <w:marBottom w:val="0"/>
      <w:divBdr>
        <w:top w:val="none" w:sz="0" w:space="0" w:color="auto"/>
        <w:left w:val="none" w:sz="0" w:space="0" w:color="auto"/>
        <w:bottom w:val="none" w:sz="0" w:space="0" w:color="auto"/>
        <w:right w:val="none" w:sz="0" w:space="0" w:color="auto"/>
      </w:divBdr>
    </w:div>
    <w:div w:id="1250695352">
      <w:bodyDiv w:val="1"/>
      <w:marLeft w:val="0"/>
      <w:marRight w:val="0"/>
      <w:marTop w:val="0"/>
      <w:marBottom w:val="0"/>
      <w:divBdr>
        <w:top w:val="none" w:sz="0" w:space="0" w:color="auto"/>
        <w:left w:val="none" w:sz="0" w:space="0" w:color="auto"/>
        <w:bottom w:val="none" w:sz="0" w:space="0" w:color="auto"/>
        <w:right w:val="none" w:sz="0" w:space="0" w:color="auto"/>
      </w:divBdr>
    </w:div>
    <w:div w:id="1327244823">
      <w:bodyDiv w:val="1"/>
      <w:marLeft w:val="0"/>
      <w:marRight w:val="0"/>
      <w:marTop w:val="0"/>
      <w:marBottom w:val="0"/>
      <w:divBdr>
        <w:top w:val="none" w:sz="0" w:space="0" w:color="auto"/>
        <w:left w:val="none" w:sz="0" w:space="0" w:color="auto"/>
        <w:bottom w:val="none" w:sz="0" w:space="0" w:color="auto"/>
        <w:right w:val="none" w:sz="0" w:space="0" w:color="auto"/>
      </w:divBdr>
    </w:div>
    <w:div w:id="1348023587">
      <w:bodyDiv w:val="1"/>
      <w:marLeft w:val="0"/>
      <w:marRight w:val="0"/>
      <w:marTop w:val="0"/>
      <w:marBottom w:val="0"/>
      <w:divBdr>
        <w:top w:val="none" w:sz="0" w:space="0" w:color="auto"/>
        <w:left w:val="none" w:sz="0" w:space="0" w:color="auto"/>
        <w:bottom w:val="none" w:sz="0" w:space="0" w:color="auto"/>
        <w:right w:val="none" w:sz="0" w:space="0" w:color="auto"/>
      </w:divBdr>
    </w:div>
    <w:div w:id="1395859043">
      <w:bodyDiv w:val="1"/>
      <w:marLeft w:val="0"/>
      <w:marRight w:val="0"/>
      <w:marTop w:val="0"/>
      <w:marBottom w:val="0"/>
      <w:divBdr>
        <w:top w:val="none" w:sz="0" w:space="0" w:color="auto"/>
        <w:left w:val="none" w:sz="0" w:space="0" w:color="auto"/>
        <w:bottom w:val="none" w:sz="0" w:space="0" w:color="auto"/>
        <w:right w:val="none" w:sz="0" w:space="0" w:color="auto"/>
      </w:divBdr>
    </w:div>
    <w:div w:id="1439640044">
      <w:bodyDiv w:val="1"/>
      <w:marLeft w:val="0"/>
      <w:marRight w:val="0"/>
      <w:marTop w:val="0"/>
      <w:marBottom w:val="0"/>
      <w:divBdr>
        <w:top w:val="none" w:sz="0" w:space="0" w:color="auto"/>
        <w:left w:val="none" w:sz="0" w:space="0" w:color="auto"/>
        <w:bottom w:val="none" w:sz="0" w:space="0" w:color="auto"/>
        <w:right w:val="none" w:sz="0" w:space="0" w:color="auto"/>
      </w:divBdr>
      <w:divsChild>
        <w:div w:id="214977016">
          <w:marLeft w:val="360"/>
          <w:marRight w:val="0"/>
          <w:marTop w:val="200"/>
          <w:marBottom w:val="0"/>
          <w:divBdr>
            <w:top w:val="none" w:sz="0" w:space="0" w:color="auto"/>
            <w:left w:val="none" w:sz="0" w:space="0" w:color="auto"/>
            <w:bottom w:val="none" w:sz="0" w:space="0" w:color="auto"/>
            <w:right w:val="none" w:sz="0" w:space="0" w:color="auto"/>
          </w:divBdr>
        </w:div>
        <w:div w:id="958295309">
          <w:marLeft w:val="360"/>
          <w:marRight w:val="0"/>
          <w:marTop w:val="200"/>
          <w:marBottom w:val="0"/>
          <w:divBdr>
            <w:top w:val="none" w:sz="0" w:space="0" w:color="auto"/>
            <w:left w:val="none" w:sz="0" w:space="0" w:color="auto"/>
            <w:bottom w:val="none" w:sz="0" w:space="0" w:color="auto"/>
            <w:right w:val="none" w:sz="0" w:space="0" w:color="auto"/>
          </w:divBdr>
        </w:div>
      </w:divsChild>
    </w:div>
    <w:div w:id="1442147786">
      <w:bodyDiv w:val="1"/>
      <w:marLeft w:val="0"/>
      <w:marRight w:val="0"/>
      <w:marTop w:val="0"/>
      <w:marBottom w:val="0"/>
      <w:divBdr>
        <w:top w:val="none" w:sz="0" w:space="0" w:color="auto"/>
        <w:left w:val="none" w:sz="0" w:space="0" w:color="auto"/>
        <w:bottom w:val="none" w:sz="0" w:space="0" w:color="auto"/>
        <w:right w:val="none" w:sz="0" w:space="0" w:color="auto"/>
      </w:divBdr>
    </w:div>
    <w:div w:id="1444767445">
      <w:bodyDiv w:val="1"/>
      <w:marLeft w:val="0"/>
      <w:marRight w:val="0"/>
      <w:marTop w:val="0"/>
      <w:marBottom w:val="0"/>
      <w:divBdr>
        <w:top w:val="none" w:sz="0" w:space="0" w:color="auto"/>
        <w:left w:val="none" w:sz="0" w:space="0" w:color="auto"/>
        <w:bottom w:val="none" w:sz="0" w:space="0" w:color="auto"/>
        <w:right w:val="none" w:sz="0" w:space="0" w:color="auto"/>
      </w:divBdr>
    </w:div>
    <w:div w:id="1459762675">
      <w:bodyDiv w:val="1"/>
      <w:marLeft w:val="0"/>
      <w:marRight w:val="0"/>
      <w:marTop w:val="0"/>
      <w:marBottom w:val="0"/>
      <w:divBdr>
        <w:top w:val="none" w:sz="0" w:space="0" w:color="auto"/>
        <w:left w:val="none" w:sz="0" w:space="0" w:color="auto"/>
        <w:bottom w:val="none" w:sz="0" w:space="0" w:color="auto"/>
        <w:right w:val="none" w:sz="0" w:space="0" w:color="auto"/>
      </w:divBdr>
    </w:div>
    <w:div w:id="1465391836">
      <w:bodyDiv w:val="1"/>
      <w:marLeft w:val="0"/>
      <w:marRight w:val="0"/>
      <w:marTop w:val="0"/>
      <w:marBottom w:val="0"/>
      <w:divBdr>
        <w:top w:val="none" w:sz="0" w:space="0" w:color="auto"/>
        <w:left w:val="none" w:sz="0" w:space="0" w:color="auto"/>
        <w:bottom w:val="none" w:sz="0" w:space="0" w:color="auto"/>
        <w:right w:val="none" w:sz="0" w:space="0" w:color="auto"/>
      </w:divBdr>
    </w:div>
    <w:div w:id="1475100481">
      <w:bodyDiv w:val="1"/>
      <w:marLeft w:val="0"/>
      <w:marRight w:val="0"/>
      <w:marTop w:val="0"/>
      <w:marBottom w:val="0"/>
      <w:divBdr>
        <w:top w:val="none" w:sz="0" w:space="0" w:color="auto"/>
        <w:left w:val="none" w:sz="0" w:space="0" w:color="auto"/>
        <w:bottom w:val="none" w:sz="0" w:space="0" w:color="auto"/>
        <w:right w:val="none" w:sz="0" w:space="0" w:color="auto"/>
      </w:divBdr>
    </w:div>
    <w:div w:id="1500460611">
      <w:bodyDiv w:val="1"/>
      <w:marLeft w:val="0"/>
      <w:marRight w:val="0"/>
      <w:marTop w:val="0"/>
      <w:marBottom w:val="0"/>
      <w:divBdr>
        <w:top w:val="none" w:sz="0" w:space="0" w:color="auto"/>
        <w:left w:val="none" w:sz="0" w:space="0" w:color="auto"/>
        <w:bottom w:val="none" w:sz="0" w:space="0" w:color="auto"/>
        <w:right w:val="none" w:sz="0" w:space="0" w:color="auto"/>
      </w:divBdr>
    </w:div>
    <w:div w:id="1590384993">
      <w:bodyDiv w:val="1"/>
      <w:marLeft w:val="0"/>
      <w:marRight w:val="0"/>
      <w:marTop w:val="0"/>
      <w:marBottom w:val="0"/>
      <w:divBdr>
        <w:top w:val="none" w:sz="0" w:space="0" w:color="auto"/>
        <w:left w:val="none" w:sz="0" w:space="0" w:color="auto"/>
        <w:bottom w:val="none" w:sz="0" w:space="0" w:color="auto"/>
        <w:right w:val="none" w:sz="0" w:space="0" w:color="auto"/>
      </w:divBdr>
    </w:div>
    <w:div w:id="1632633329">
      <w:bodyDiv w:val="1"/>
      <w:marLeft w:val="0"/>
      <w:marRight w:val="0"/>
      <w:marTop w:val="0"/>
      <w:marBottom w:val="0"/>
      <w:divBdr>
        <w:top w:val="none" w:sz="0" w:space="0" w:color="auto"/>
        <w:left w:val="none" w:sz="0" w:space="0" w:color="auto"/>
        <w:bottom w:val="none" w:sz="0" w:space="0" w:color="auto"/>
        <w:right w:val="none" w:sz="0" w:space="0" w:color="auto"/>
      </w:divBdr>
    </w:div>
    <w:div w:id="1641304338">
      <w:bodyDiv w:val="1"/>
      <w:marLeft w:val="0"/>
      <w:marRight w:val="0"/>
      <w:marTop w:val="0"/>
      <w:marBottom w:val="0"/>
      <w:divBdr>
        <w:top w:val="none" w:sz="0" w:space="0" w:color="auto"/>
        <w:left w:val="none" w:sz="0" w:space="0" w:color="auto"/>
        <w:bottom w:val="none" w:sz="0" w:space="0" w:color="auto"/>
        <w:right w:val="none" w:sz="0" w:space="0" w:color="auto"/>
      </w:divBdr>
      <w:divsChild>
        <w:div w:id="1854495276">
          <w:marLeft w:val="360"/>
          <w:marRight w:val="0"/>
          <w:marTop w:val="200"/>
          <w:marBottom w:val="0"/>
          <w:divBdr>
            <w:top w:val="none" w:sz="0" w:space="0" w:color="auto"/>
            <w:left w:val="none" w:sz="0" w:space="0" w:color="auto"/>
            <w:bottom w:val="none" w:sz="0" w:space="0" w:color="auto"/>
            <w:right w:val="none" w:sz="0" w:space="0" w:color="auto"/>
          </w:divBdr>
        </w:div>
      </w:divsChild>
    </w:div>
    <w:div w:id="1665746541">
      <w:bodyDiv w:val="1"/>
      <w:marLeft w:val="0"/>
      <w:marRight w:val="0"/>
      <w:marTop w:val="0"/>
      <w:marBottom w:val="0"/>
      <w:divBdr>
        <w:top w:val="none" w:sz="0" w:space="0" w:color="auto"/>
        <w:left w:val="none" w:sz="0" w:space="0" w:color="auto"/>
        <w:bottom w:val="none" w:sz="0" w:space="0" w:color="auto"/>
        <w:right w:val="none" w:sz="0" w:space="0" w:color="auto"/>
      </w:divBdr>
      <w:divsChild>
        <w:div w:id="281809681">
          <w:marLeft w:val="0"/>
          <w:marRight w:val="0"/>
          <w:marTop w:val="0"/>
          <w:marBottom w:val="0"/>
          <w:divBdr>
            <w:top w:val="none" w:sz="0" w:space="0" w:color="auto"/>
            <w:left w:val="none" w:sz="0" w:space="0" w:color="auto"/>
            <w:bottom w:val="none" w:sz="0" w:space="0" w:color="auto"/>
            <w:right w:val="none" w:sz="0" w:space="0" w:color="auto"/>
          </w:divBdr>
          <w:divsChild>
            <w:div w:id="1275937180">
              <w:marLeft w:val="0"/>
              <w:marRight w:val="0"/>
              <w:marTop w:val="0"/>
              <w:marBottom w:val="0"/>
              <w:divBdr>
                <w:top w:val="none" w:sz="0" w:space="0" w:color="auto"/>
                <w:left w:val="none" w:sz="0" w:space="0" w:color="auto"/>
                <w:bottom w:val="none" w:sz="0" w:space="0" w:color="auto"/>
                <w:right w:val="none" w:sz="0" w:space="0" w:color="auto"/>
              </w:divBdr>
              <w:divsChild>
                <w:div w:id="1387991694">
                  <w:marLeft w:val="0"/>
                  <w:marRight w:val="0"/>
                  <w:marTop w:val="0"/>
                  <w:marBottom w:val="0"/>
                  <w:divBdr>
                    <w:top w:val="none" w:sz="0" w:space="0" w:color="auto"/>
                    <w:left w:val="none" w:sz="0" w:space="0" w:color="auto"/>
                    <w:bottom w:val="none" w:sz="0" w:space="0" w:color="auto"/>
                    <w:right w:val="none" w:sz="0" w:space="0" w:color="auto"/>
                  </w:divBdr>
                  <w:divsChild>
                    <w:div w:id="669143655">
                      <w:marLeft w:val="0"/>
                      <w:marRight w:val="0"/>
                      <w:marTop w:val="0"/>
                      <w:marBottom w:val="0"/>
                      <w:divBdr>
                        <w:top w:val="none" w:sz="0" w:space="0" w:color="auto"/>
                        <w:left w:val="none" w:sz="0" w:space="0" w:color="auto"/>
                        <w:bottom w:val="none" w:sz="0" w:space="0" w:color="auto"/>
                        <w:right w:val="none" w:sz="0" w:space="0" w:color="auto"/>
                      </w:divBdr>
                      <w:divsChild>
                        <w:div w:id="992681280">
                          <w:marLeft w:val="0"/>
                          <w:marRight w:val="0"/>
                          <w:marTop w:val="0"/>
                          <w:marBottom w:val="0"/>
                          <w:divBdr>
                            <w:top w:val="none" w:sz="0" w:space="0" w:color="auto"/>
                            <w:left w:val="none" w:sz="0" w:space="0" w:color="auto"/>
                            <w:bottom w:val="none" w:sz="0" w:space="0" w:color="auto"/>
                            <w:right w:val="none" w:sz="0" w:space="0" w:color="auto"/>
                          </w:divBdr>
                          <w:divsChild>
                            <w:div w:id="970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25581">
      <w:bodyDiv w:val="1"/>
      <w:marLeft w:val="0"/>
      <w:marRight w:val="0"/>
      <w:marTop w:val="0"/>
      <w:marBottom w:val="0"/>
      <w:divBdr>
        <w:top w:val="none" w:sz="0" w:space="0" w:color="auto"/>
        <w:left w:val="none" w:sz="0" w:space="0" w:color="auto"/>
        <w:bottom w:val="none" w:sz="0" w:space="0" w:color="auto"/>
        <w:right w:val="none" w:sz="0" w:space="0" w:color="auto"/>
      </w:divBdr>
    </w:div>
    <w:div w:id="1798982923">
      <w:bodyDiv w:val="1"/>
      <w:marLeft w:val="0"/>
      <w:marRight w:val="0"/>
      <w:marTop w:val="0"/>
      <w:marBottom w:val="0"/>
      <w:divBdr>
        <w:top w:val="none" w:sz="0" w:space="0" w:color="auto"/>
        <w:left w:val="none" w:sz="0" w:space="0" w:color="auto"/>
        <w:bottom w:val="none" w:sz="0" w:space="0" w:color="auto"/>
        <w:right w:val="none" w:sz="0" w:space="0" w:color="auto"/>
      </w:divBdr>
    </w:div>
    <w:div w:id="1868910602">
      <w:bodyDiv w:val="1"/>
      <w:marLeft w:val="0"/>
      <w:marRight w:val="0"/>
      <w:marTop w:val="0"/>
      <w:marBottom w:val="0"/>
      <w:divBdr>
        <w:top w:val="none" w:sz="0" w:space="0" w:color="auto"/>
        <w:left w:val="none" w:sz="0" w:space="0" w:color="auto"/>
        <w:bottom w:val="none" w:sz="0" w:space="0" w:color="auto"/>
        <w:right w:val="none" w:sz="0" w:space="0" w:color="auto"/>
      </w:divBdr>
    </w:div>
    <w:div w:id="1878155148">
      <w:bodyDiv w:val="1"/>
      <w:marLeft w:val="0"/>
      <w:marRight w:val="0"/>
      <w:marTop w:val="0"/>
      <w:marBottom w:val="0"/>
      <w:divBdr>
        <w:top w:val="none" w:sz="0" w:space="0" w:color="auto"/>
        <w:left w:val="none" w:sz="0" w:space="0" w:color="auto"/>
        <w:bottom w:val="none" w:sz="0" w:space="0" w:color="auto"/>
        <w:right w:val="none" w:sz="0" w:space="0" w:color="auto"/>
      </w:divBdr>
    </w:div>
    <w:div w:id="1916933036">
      <w:bodyDiv w:val="1"/>
      <w:marLeft w:val="0"/>
      <w:marRight w:val="0"/>
      <w:marTop w:val="0"/>
      <w:marBottom w:val="0"/>
      <w:divBdr>
        <w:top w:val="none" w:sz="0" w:space="0" w:color="auto"/>
        <w:left w:val="none" w:sz="0" w:space="0" w:color="auto"/>
        <w:bottom w:val="none" w:sz="0" w:space="0" w:color="auto"/>
        <w:right w:val="none" w:sz="0" w:space="0" w:color="auto"/>
      </w:divBdr>
    </w:div>
    <w:div w:id="1937596263">
      <w:bodyDiv w:val="1"/>
      <w:marLeft w:val="0"/>
      <w:marRight w:val="0"/>
      <w:marTop w:val="0"/>
      <w:marBottom w:val="0"/>
      <w:divBdr>
        <w:top w:val="none" w:sz="0" w:space="0" w:color="auto"/>
        <w:left w:val="none" w:sz="0" w:space="0" w:color="auto"/>
        <w:bottom w:val="none" w:sz="0" w:space="0" w:color="auto"/>
        <w:right w:val="none" w:sz="0" w:space="0" w:color="auto"/>
      </w:divBdr>
    </w:div>
    <w:div w:id="1941833032">
      <w:bodyDiv w:val="1"/>
      <w:marLeft w:val="0"/>
      <w:marRight w:val="0"/>
      <w:marTop w:val="0"/>
      <w:marBottom w:val="0"/>
      <w:divBdr>
        <w:top w:val="none" w:sz="0" w:space="0" w:color="auto"/>
        <w:left w:val="none" w:sz="0" w:space="0" w:color="auto"/>
        <w:bottom w:val="none" w:sz="0" w:space="0" w:color="auto"/>
        <w:right w:val="none" w:sz="0" w:space="0" w:color="auto"/>
      </w:divBdr>
    </w:div>
    <w:div w:id="1996254928">
      <w:bodyDiv w:val="1"/>
      <w:marLeft w:val="0"/>
      <w:marRight w:val="0"/>
      <w:marTop w:val="0"/>
      <w:marBottom w:val="0"/>
      <w:divBdr>
        <w:top w:val="none" w:sz="0" w:space="0" w:color="auto"/>
        <w:left w:val="none" w:sz="0" w:space="0" w:color="auto"/>
        <w:bottom w:val="none" w:sz="0" w:space="0" w:color="auto"/>
        <w:right w:val="none" w:sz="0" w:space="0" w:color="auto"/>
      </w:divBdr>
    </w:div>
    <w:div w:id="2029211151">
      <w:bodyDiv w:val="1"/>
      <w:marLeft w:val="0"/>
      <w:marRight w:val="0"/>
      <w:marTop w:val="0"/>
      <w:marBottom w:val="0"/>
      <w:divBdr>
        <w:top w:val="none" w:sz="0" w:space="0" w:color="auto"/>
        <w:left w:val="none" w:sz="0" w:space="0" w:color="auto"/>
        <w:bottom w:val="none" w:sz="0" w:space="0" w:color="auto"/>
        <w:right w:val="none" w:sz="0" w:space="0" w:color="auto"/>
      </w:divBdr>
    </w:div>
    <w:div w:id="2079553851">
      <w:bodyDiv w:val="1"/>
      <w:marLeft w:val="0"/>
      <w:marRight w:val="0"/>
      <w:marTop w:val="0"/>
      <w:marBottom w:val="0"/>
      <w:divBdr>
        <w:top w:val="none" w:sz="0" w:space="0" w:color="auto"/>
        <w:left w:val="none" w:sz="0" w:space="0" w:color="auto"/>
        <w:bottom w:val="none" w:sz="0" w:space="0" w:color="auto"/>
        <w:right w:val="none" w:sz="0" w:space="0" w:color="auto"/>
      </w:divBdr>
    </w:div>
    <w:div w:id="2109228499">
      <w:bodyDiv w:val="1"/>
      <w:marLeft w:val="0"/>
      <w:marRight w:val="0"/>
      <w:marTop w:val="0"/>
      <w:marBottom w:val="0"/>
      <w:divBdr>
        <w:top w:val="none" w:sz="0" w:space="0" w:color="auto"/>
        <w:left w:val="none" w:sz="0" w:space="0" w:color="auto"/>
        <w:bottom w:val="none" w:sz="0" w:space="0" w:color="auto"/>
        <w:right w:val="none" w:sz="0" w:space="0" w:color="auto"/>
      </w:divBdr>
    </w:div>
    <w:div w:id="21452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pen.fi.cr"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www.supen.fi.cr"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n@supen.fi.cr" TargetMode="External"/><Relationship Id="rId22" Type="http://schemas.openxmlformats.org/officeDocument/2006/relationships/image" Target="media/image7.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supen.sharepoint.com/dependencias/pyn/Borradores%20de%20estudios/Informe%20CONASSIF/2017/Diciembre%202017/Activos%20por%20pi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varadomr\Desktop\carpeta%20para%20R\APORTESRECAUDACION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'Pilar activos'!$K$19</c:f>
              <c:strCache>
                <c:ptCount val="1"/>
                <c:pt idx="0">
                  <c:v>II Pilar</c:v>
                </c:pt>
              </c:strCache>
            </c:strRef>
          </c:tx>
          <c:spPr>
            <a:solidFill>
              <a:schemeClr val="accent1"/>
            </a:solidFill>
            <a:ln>
              <a:noFill/>
            </a:ln>
            <a:effectLst>
              <a:outerShdw blurRad="63500" sx="102000" sy="102000" algn="ctr" rotWithShape="0">
                <a:prstClr val="black">
                  <a:alpha val="20000"/>
                </a:prstClr>
              </a:outerShdw>
            </a:effectLst>
          </c:spPr>
          <c:invertIfNegative val="0"/>
          <c:cat>
            <c:strRef>
              <c:f>'Pilar activos'!$J$20:$J$26</c:f>
              <c:strCache>
                <c:ptCount val="7"/>
                <c:pt idx="0">
                  <c:v>CCSS-OPC</c:v>
                </c:pt>
                <c:pt idx="1">
                  <c:v>VIDA PLENA OPC</c:v>
                </c:pt>
                <c:pt idx="2">
                  <c:v>BAC SJ-PENSIONES</c:v>
                </c:pt>
                <c:pt idx="3">
                  <c:v>OCUPACIONALES</c:v>
                </c:pt>
                <c:pt idx="4">
                  <c:v>BCR-PENSION</c:v>
                </c:pt>
                <c:pt idx="5">
                  <c:v>BN-VITAL</c:v>
                </c:pt>
                <c:pt idx="6">
                  <c:v>POPULAR PENSIONES</c:v>
                </c:pt>
              </c:strCache>
            </c:strRef>
          </c:cat>
          <c:val>
            <c:numRef>
              <c:f>'Pilar activos'!$K$20:$K$26</c:f>
              <c:numCache>
                <c:formatCode>#,##0</c:formatCode>
                <c:ptCount val="7"/>
                <c:pt idx="0">
                  <c:v>170483.8920129</c:v>
                </c:pt>
                <c:pt idx="1">
                  <c:v>586875.63402231992</c:v>
                </c:pt>
                <c:pt idx="2">
                  <c:v>617084.90706033993</c:v>
                </c:pt>
                <c:pt idx="3">
                  <c:v>694842.94201134006</c:v>
                </c:pt>
                <c:pt idx="4">
                  <c:v>833386.41533324996</c:v>
                </c:pt>
                <c:pt idx="5">
                  <c:v>1060427.74704688</c:v>
                </c:pt>
                <c:pt idx="6">
                  <c:v>1886475.48602856</c:v>
                </c:pt>
              </c:numCache>
            </c:numRef>
          </c:val>
          <c:extLst>
            <c:ext xmlns:c16="http://schemas.microsoft.com/office/drawing/2014/chart" uri="{C3380CC4-5D6E-409C-BE32-E72D297353CC}">
              <c16:uniqueId val="{00000000-69D8-4AC9-8EC8-1B854574239C}"/>
            </c:ext>
          </c:extLst>
        </c:ser>
        <c:dLbls>
          <c:showLegendKey val="0"/>
          <c:showVal val="0"/>
          <c:showCatName val="0"/>
          <c:showSerName val="0"/>
          <c:showPercent val="0"/>
          <c:showBubbleSize val="0"/>
        </c:dLbls>
        <c:gapWidth val="100"/>
        <c:axId val="484363264"/>
        <c:axId val="484360640"/>
      </c:barChart>
      <c:valAx>
        <c:axId val="484360640"/>
        <c:scaling>
          <c:orientation val="minMax"/>
        </c:scaling>
        <c:delete val="0"/>
        <c:axPos val="b"/>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es-ES" sz="1000" b="0" i="0" u="none" strike="noStrike" kern="1200" baseline="0">
                <a:solidFill>
                  <a:schemeClr val="tx1"/>
                </a:solidFill>
                <a:latin typeface="+mn-lt"/>
                <a:ea typeface="+mn-ea"/>
                <a:cs typeface="+mn-cs"/>
              </a:defRPr>
            </a:pPr>
            <a:endParaRPr lang="es-CR"/>
          </a:p>
        </c:txPr>
        <c:crossAx val="484363264"/>
        <c:crosses val="autoZero"/>
        <c:crossBetween val="between"/>
      </c:valAx>
      <c:catAx>
        <c:axId val="48436326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s-ES" sz="1050" b="0" i="0" u="none" strike="noStrike" kern="1200" baseline="0">
                <a:solidFill>
                  <a:schemeClr val="tx1"/>
                </a:solidFill>
                <a:latin typeface="+mn-lt"/>
                <a:ea typeface="+mn-ea"/>
                <a:cs typeface="+mn-cs"/>
              </a:defRPr>
            </a:pPr>
            <a:endParaRPr lang="es-CR"/>
          </a:p>
        </c:txPr>
        <c:crossAx val="48436064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es-ES" sz="1000" b="0" i="0" u="none" strike="noStrike" kern="1200" baseline="0">
          <a:solidFill>
            <a:schemeClr val="tx1"/>
          </a:solidFill>
          <a:latin typeface="+mn-lt"/>
          <a:ea typeface="+mn-ea"/>
          <a:cs typeface="+mn-cs"/>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[APORTESRECAUDACION2017.xlsx]Hoja1!TablaDinámica1</c:name>
    <c:fmtId val="14"/>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w="28575" cap="rnd">
            <a:solidFill>
              <a:schemeClr val="accent1"/>
            </a:solidFill>
            <a:round/>
          </a:ln>
          <a:effectLst/>
        </c:spPr>
      </c:pivotFmt>
      <c:pivotFmt>
        <c:idx val="19"/>
        <c:spPr>
          <a:solidFill>
            <a:schemeClr val="accent1"/>
          </a:solidFill>
          <a:ln w="28575" cap="rnd">
            <a:solidFill>
              <a:schemeClr val="accent1"/>
            </a:solidFill>
            <a:round/>
          </a:ln>
          <a:effectLst/>
        </c:spPr>
      </c:pivotFmt>
      <c:pivotFmt>
        <c:idx val="20"/>
        <c:spPr>
          <a:solidFill>
            <a:schemeClr val="accent1"/>
          </a:solidFill>
          <a:ln w="28575" cap="rnd">
            <a:solidFill>
              <a:schemeClr val="accent1"/>
            </a:solidFill>
            <a:round/>
          </a:ln>
          <a:effectLst/>
        </c:spPr>
      </c:pivotFmt>
      <c:pivotFmt>
        <c:idx val="21"/>
        <c:spPr>
          <a:solidFill>
            <a:schemeClr val="accent1"/>
          </a:solidFill>
          <a:ln w="28575" cap="rnd">
            <a:solidFill>
              <a:schemeClr val="accent1"/>
            </a:solidFill>
            <a:round/>
          </a:ln>
          <a:effectLst/>
        </c:spPr>
      </c:pivotFmt>
      <c:pivotFmt>
        <c:idx val="22"/>
        <c:spPr>
          <a:solidFill>
            <a:schemeClr val="accent1"/>
          </a:solidFill>
          <a:ln w="28575" cap="rnd">
            <a:solidFill>
              <a:schemeClr val="accent1"/>
            </a:solidFill>
            <a:round/>
          </a:ln>
          <a:effectLst/>
        </c:spPr>
      </c:pivotFmt>
      <c:pivotFmt>
        <c:idx val="23"/>
        <c:spPr>
          <a:solidFill>
            <a:schemeClr val="accent1"/>
          </a:solidFill>
          <a:ln w="28575" cap="rnd">
            <a:solidFill>
              <a:schemeClr val="accent1"/>
            </a:solidFill>
            <a:round/>
          </a:ln>
          <a:effectLst/>
        </c:spPr>
      </c:pivotFmt>
      <c:pivotFmt>
        <c:idx val="24"/>
        <c:spPr>
          <a:solidFill>
            <a:schemeClr val="accent1"/>
          </a:solidFill>
          <a:ln w="28575" cap="rnd">
            <a:solidFill>
              <a:schemeClr val="accent1"/>
            </a:solidFill>
            <a:round/>
          </a:ln>
          <a:effectLst/>
        </c:spPr>
      </c:pivotFmt>
      <c:pivotFmt>
        <c:idx val="25"/>
        <c:spPr>
          <a:solidFill>
            <a:schemeClr val="accent1"/>
          </a:solidFill>
          <a:ln w="28575" cap="rnd">
            <a:solidFill>
              <a:schemeClr val="accent1"/>
            </a:solidFill>
            <a:round/>
          </a:ln>
          <a:effectLst/>
        </c:spPr>
      </c:pivotFmt>
      <c:pivotFmt>
        <c:idx val="26"/>
        <c:spPr>
          <a:solidFill>
            <a:schemeClr val="accent1"/>
          </a:solidFill>
          <a:ln w="28575" cap="rnd">
            <a:solidFill>
              <a:schemeClr val="accent1"/>
            </a:solidFill>
            <a:round/>
          </a:ln>
          <a:effectLst/>
        </c:spPr>
      </c:pivotFmt>
      <c:pivotFmt>
        <c:idx val="27"/>
        <c:spPr>
          <a:solidFill>
            <a:schemeClr val="accent1"/>
          </a:solidFill>
          <a:ln w="28575" cap="rnd">
            <a:solidFill>
              <a:schemeClr val="accent1"/>
            </a:solidFill>
            <a:round/>
          </a:ln>
          <a:effectLst/>
        </c:spPr>
      </c:pivotFmt>
      <c:pivotFmt>
        <c:idx val="28"/>
        <c:spPr>
          <a:solidFill>
            <a:schemeClr val="accent1"/>
          </a:solidFill>
          <a:ln w="28575" cap="rnd">
            <a:solidFill>
              <a:schemeClr val="accent1"/>
            </a:solidFill>
            <a:round/>
          </a:ln>
          <a:effectLst/>
        </c:spPr>
      </c:pivotFmt>
      <c:pivotFmt>
        <c:idx val="29"/>
        <c:spPr>
          <a:solidFill>
            <a:schemeClr val="accent1"/>
          </a:solidFill>
          <a:ln w="28575" cap="rnd">
            <a:solidFill>
              <a:schemeClr val="accent1"/>
            </a:solidFill>
            <a:round/>
          </a:ln>
          <a:effectLst/>
        </c:spPr>
      </c:pivotFmt>
      <c:pivotFmt>
        <c:idx val="30"/>
        <c:spPr>
          <a:solidFill>
            <a:schemeClr val="accent1"/>
          </a:solidFill>
          <a:ln w="28575" cap="rnd">
            <a:solidFill>
              <a:schemeClr val="accent1"/>
            </a:solidFill>
            <a:round/>
          </a:ln>
          <a:effectLst/>
        </c:spPr>
      </c:pivotFmt>
      <c:pivotFmt>
        <c:idx val="31"/>
        <c:spPr>
          <a:solidFill>
            <a:schemeClr val="accent1"/>
          </a:solidFill>
          <a:ln w="28575" cap="rnd">
            <a:solidFill>
              <a:schemeClr val="accent1"/>
            </a:solidFill>
            <a:round/>
          </a:ln>
          <a:effectLst/>
        </c:spPr>
      </c:pivotFmt>
      <c:pivotFmt>
        <c:idx val="32"/>
        <c:spPr>
          <a:solidFill>
            <a:schemeClr val="accent1"/>
          </a:solidFill>
          <a:ln w="28575" cap="rnd">
            <a:solidFill>
              <a:schemeClr val="accent1"/>
            </a:solidFill>
            <a:round/>
          </a:ln>
          <a:effectLst/>
        </c:spPr>
      </c:pivotFmt>
      <c:pivotFmt>
        <c:idx val="33"/>
        <c:spPr>
          <a:solidFill>
            <a:schemeClr val="accent1"/>
          </a:solidFill>
          <a:ln w="28575" cap="rnd">
            <a:solidFill>
              <a:schemeClr val="accent1"/>
            </a:solidFill>
            <a:round/>
          </a:ln>
          <a:effectLst/>
        </c:spPr>
      </c:pivotFmt>
      <c:pivotFmt>
        <c:idx val="34"/>
        <c:spPr>
          <a:solidFill>
            <a:schemeClr val="accent1"/>
          </a:solidFill>
          <a:ln w="28575" cap="rnd">
            <a:solidFill>
              <a:schemeClr val="accent1"/>
            </a:solidFill>
            <a:round/>
          </a:ln>
          <a:effectLst/>
        </c:spP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
        <c:idx val="61"/>
        <c:spPr>
          <a:solidFill>
            <a:schemeClr val="accent1"/>
          </a:solidFill>
          <a:ln>
            <a:noFill/>
          </a:ln>
          <a:effectLst/>
        </c:spPr>
        <c:marker>
          <c:symbol val="none"/>
        </c:marker>
      </c:pivotFmt>
      <c:pivotFmt>
        <c:idx val="62"/>
        <c:spPr>
          <a:solidFill>
            <a:schemeClr val="accent1"/>
          </a:solidFill>
          <a:ln>
            <a:noFill/>
          </a:ln>
          <a:effectLst/>
        </c:spPr>
        <c:marker>
          <c:symbol val="none"/>
        </c:marker>
      </c:pivotFmt>
      <c:pivotFmt>
        <c:idx val="63"/>
        <c:spPr>
          <a:solidFill>
            <a:schemeClr val="accent1"/>
          </a:solidFill>
          <a:ln>
            <a:noFill/>
          </a:ln>
          <a:effectLst/>
        </c:spPr>
        <c:marker>
          <c:symbol val="none"/>
        </c:marker>
      </c:pivotFmt>
      <c:pivotFmt>
        <c:idx val="64"/>
        <c:spPr>
          <a:solidFill>
            <a:schemeClr val="accent1"/>
          </a:solidFill>
          <a:ln>
            <a:noFill/>
          </a:ln>
          <a:effectLst/>
        </c:spPr>
        <c:marker>
          <c:symbol val="none"/>
        </c:marker>
      </c:pivotFmt>
      <c:pivotFmt>
        <c:idx val="65"/>
        <c:spPr>
          <a:solidFill>
            <a:schemeClr val="accent1"/>
          </a:solidFill>
          <a:ln>
            <a:noFill/>
          </a:ln>
          <a:effectLst/>
        </c:spPr>
        <c:marker>
          <c:symbol val="none"/>
        </c:marker>
      </c:pivotFmt>
      <c:pivotFmt>
        <c:idx val="66"/>
        <c:spPr>
          <a:solidFill>
            <a:schemeClr val="accent1"/>
          </a:solidFill>
          <a:ln>
            <a:noFill/>
          </a:ln>
          <a:effectLst/>
        </c:spPr>
        <c:marker>
          <c:symbol val="none"/>
        </c:marker>
      </c:pivotFmt>
      <c:pivotFmt>
        <c:idx val="67"/>
        <c:spPr>
          <a:solidFill>
            <a:schemeClr val="accent1"/>
          </a:solidFill>
          <a:ln>
            <a:noFill/>
          </a:ln>
          <a:effectLst/>
        </c:spPr>
        <c:marker>
          <c:symbol val="none"/>
        </c:marker>
      </c:pivotFmt>
      <c:pivotFmt>
        <c:idx val="68"/>
        <c:spPr>
          <a:solidFill>
            <a:schemeClr val="accent1"/>
          </a:solidFill>
          <a:ln>
            <a:noFill/>
          </a:ln>
          <a:effectLst/>
        </c:spPr>
        <c:marker>
          <c:symbol val="none"/>
        </c:marker>
      </c:pivotFmt>
      <c:pivotFmt>
        <c:idx val="69"/>
        <c:spPr>
          <a:solidFill>
            <a:schemeClr val="accent1"/>
          </a:solidFill>
          <a:ln>
            <a:noFill/>
          </a:ln>
          <a:effectLst/>
        </c:spPr>
        <c:marker>
          <c:symbol val="none"/>
        </c:marker>
      </c:pivotFmt>
      <c:pivotFmt>
        <c:idx val="70"/>
        <c:spPr>
          <a:solidFill>
            <a:schemeClr val="accent1"/>
          </a:solidFill>
          <a:ln>
            <a:noFill/>
          </a:ln>
          <a:effectLst/>
        </c:spPr>
        <c:marker>
          <c:symbol val="none"/>
        </c:marker>
      </c:pivotFmt>
      <c:pivotFmt>
        <c:idx val="71"/>
        <c:spPr>
          <a:solidFill>
            <a:schemeClr val="accent1"/>
          </a:solidFill>
          <a:ln>
            <a:noFill/>
          </a:ln>
          <a:effectLst/>
        </c:spPr>
        <c:marker>
          <c:symbol val="none"/>
        </c:marker>
      </c:pivotFmt>
      <c:pivotFmt>
        <c:idx val="72"/>
        <c:spPr>
          <a:solidFill>
            <a:schemeClr val="accent1"/>
          </a:solidFill>
          <a:ln>
            <a:noFill/>
          </a:ln>
          <a:effectLst/>
        </c:spPr>
        <c:marker>
          <c:symbol val="none"/>
        </c:marker>
      </c:pivotFmt>
      <c:pivotFmt>
        <c:idx val="73"/>
        <c:spPr>
          <a:solidFill>
            <a:schemeClr val="accent1"/>
          </a:solidFill>
          <a:ln>
            <a:noFill/>
          </a:ln>
          <a:effectLst/>
        </c:spPr>
        <c:marker>
          <c:symbol val="none"/>
        </c:marker>
      </c:pivotFmt>
      <c:pivotFmt>
        <c:idx val="74"/>
        <c:spPr>
          <a:solidFill>
            <a:schemeClr val="accent1"/>
          </a:solidFill>
          <a:ln>
            <a:noFill/>
          </a:ln>
          <a:effectLst/>
        </c:spPr>
        <c:marker>
          <c:symbol val="none"/>
        </c:marker>
      </c:pivotFmt>
      <c:pivotFmt>
        <c:idx val="75"/>
        <c:spPr>
          <a:solidFill>
            <a:schemeClr val="accent1"/>
          </a:solidFill>
          <a:ln>
            <a:noFill/>
          </a:ln>
          <a:effectLst/>
        </c:spPr>
        <c:marker>
          <c:symbol val="none"/>
        </c:marker>
      </c:pivotFmt>
      <c:pivotFmt>
        <c:idx val="76"/>
        <c:spPr>
          <a:solidFill>
            <a:schemeClr val="accent1"/>
          </a:solidFill>
          <a:ln>
            <a:noFill/>
          </a:ln>
          <a:effectLst/>
        </c:spPr>
        <c:marker>
          <c:symbol val="none"/>
        </c:marker>
      </c:pivotFmt>
      <c:pivotFmt>
        <c:idx val="77"/>
        <c:spPr>
          <a:solidFill>
            <a:schemeClr val="accent1"/>
          </a:solidFill>
          <a:ln>
            <a:noFill/>
          </a:ln>
          <a:effectLst/>
        </c:spPr>
        <c:marker>
          <c:symbol val="none"/>
        </c:marker>
      </c:pivotFmt>
      <c:pivotFmt>
        <c:idx val="78"/>
        <c:spPr>
          <a:solidFill>
            <a:schemeClr val="accent1"/>
          </a:solidFill>
          <a:ln>
            <a:noFill/>
          </a:ln>
          <a:effectLst/>
        </c:spPr>
        <c:marker>
          <c:symbol val="none"/>
        </c:marker>
      </c:pivotFmt>
      <c:pivotFmt>
        <c:idx val="79"/>
        <c:spPr>
          <a:solidFill>
            <a:schemeClr val="accent1"/>
          </a:solidFill>
          <a:ln>
            <a:noFill/>
          </a:ln>
          <a:effectLst/>
        </c:spPr>
        <c:marker>
          <c:symbol val="none"/>
        </c:marker>
      </c:pivotFmt>
    </c:pivotFmts>
    <c:plotArea>
      <c:layout>
        <c:manualLayout>
          <c:layoutTarget val="inner"/>
          <c:xMode val="edge"/>
          <c:yMode val="edge"/>
          <c:x val="0.11060270243997278"/>
          <c:y val="3.4755125634679099E-2"/>
          <c:w val="0.87430813432271581"/>
          <c:h val="0.63379212746224645"/>
        </c:manualLayout>
      </c:layout>
      <c:barChart>
        <c:barDir val="col"/>
        <c:grouping val="stacked"/>
        <c:varyColors val="0"/>
        <c:ser>
          <c:idx val="0"/>
          <c:order val="0"/>
          <c:tx>
            <c:strRef>
              <c:f>Hoja1!$B$1:$B$2</c:f>
              <c:strCache>
                <c:ptCount val="1"/>
                <c:pt idx="0">
                  <c:v> AL ROP POR TRASLADO  ANUAL  DEL 50% DE LOS S  DEL FCL.</c:v>
                </c:pt>
              </c:strCache>
            </c:strRef>
          </c:tx>
          <c:spPr>
            <a:solidFill>
              <a:schemeClr val="accent1"/>
            </a:solidFill>
            <a:ln>
              <a:noFill/>
            </a:ln>
            <a:effectLst/>
          </c:spPr>
          <c:invertIfNegative val="0"/>
          <c:cat>
            <c:strRef>
              <c:f>Hoja1!$A$3:$A$20</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Hoja1!$B$3:$B$20</c:f>
              <c:numCache>
                <c:formatCode>_(* #,##0_);_(* \(#,##0\);_(* "-"_);_(@_)</c:formatCode>
                <c:ptCount val="17"/>
                <c:pt idx="0">
                  <c:v>11070.5</c:v>
                </c:pt>
                <c:pt idx="1">
                  <c:v>6470883920.9899988</c:v>
                </c:pt>
                <c:pt idx="2">
                  <c:v>15845915097.049999</c:v>
                </c:pt>
                <c:pt idx="3">
                  <c:v>21540107028.07</c:v>
                </c:pt>
                <c:pt idx="4">
                  <c:v>24168573247.829998</c:v>
                </c:pt>
                <c:pt idx="5">
                  <c:v>24066138460.830002</c:v>
                </c:pt>
                <c:pt idx="6">
                  <c:v>33951128769.330002</c:v>
                </c:pt>
                <c:pt idx="7">
                  <c:v>40970372627.100006</c:v>
                </c:pt>
                <c:pt idx="8">
                  <c:v>52624356559.619987</c:v>
                </c:pt>
                <c:pt idx="9">
                  <c:v>71992459121.62999</c:v>
                </c:pt>
                <c:pt idx="10">
                  <c:v>87175107696.449982</c:v>
                </c:pt>
                <c:pt idx="11">
                  <c:v>94132472824.62999</c:v>
                </c:pt>
                <c:pt idx="12">
                  <c:v>102517900510.69</c:v>
                </c:pt>
                <c:pt idx="13">
                  <c:v>111322839157.44</c:v>
                </c:pt>
                <c:pt idx="14">
                  <c:v>116278526018.53999</c:v>
                </c:pt>
                <c:pt idx="15">
                  <c:v>131819538695.01001</c:v>
                </c:pt>
                <c:pt idx="16">
                  <c:v>132207198224.82001</c:v>
                </c:pt>
              </c:numCache>
            </c:numRef>
          </c:val>
          <c:extLst>
            <c:ext xmlns:c16="http://schemas.microsoft.com/office/drawing/2014/chart" uri="{C3380CC4-5D6E-409C-BE32-E72D297353CC}">
              <c16:uniqueId val="{00000000-0264-4095-ACEE-E618F033706C}"/>
            </c:ext>
          </c:extLst>
        </c:ser>
        <c:ser>
          <c:idx val="1"/>
          <c:order val="1"/>
          <c:tx>
            <c:strRef>
              <c:f>Hoja1!$C$1:$C$2</c:f>
              <c:strCache>
                <c:ptCount val="1"/>
                <c:pt idx="0">
                  <c:v> AL ROP 50% AHORRO PATRONAL AL BANCO POPULAR </c:v>
                </c:pt>
              </c:strCache>
            </c:strRef>
          </c:tx>
          <c:spPr>
            <a:solidFill>
              <a:schemeClr val="accent2"/>
            </a:solidFill>
            <a:ln>
              <a:noFill/>
            </a:ln>
            <a:effectLst/>
          </c:spPr>
          <c:invertIfNegative val="0"/>
          <c:cat>
            <c:strRef>
              <c:f>Hoja1!$A$3:$A$20</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Hoja1!$C$3:$C$20</c:f>
              <c:numCache>
                <c:formatCode>_(* #,##0_);_(* \(#,##0\);_(* "-"_);_(@_)</c:formatCode>
                <c:ptCount val="17"/>
                <c:pt idx="1">
                  <c:v>1499136607.0500002</c:v>
                </c:pt>
                <c:pt idx="2">
                  <c:v>2905188266.0299997</c:v>
                </c:pt>
                <c:pt idx="3">
                  <c:v>3324003486.0099998</c:v>
                </c:pt>
                <c:pt idx="4">
                  <c:v>3730477053.8600006</c:v>
                </c:pt>
                <c:pt idx="5">
                  <c:v>4404819245.8000002</c:v>
                </c:pt>
                <c:pt idx="6">
                  <c:v>5180691870.1900005</c:v>
                </c:pt>
                <c:pt idx="7">
                  <c:v>6352678415.9099989</c:v>
                </c:pt>
                <c:pt idx="8">
                  <c:v>9166275543.5499992</c:v>
                </c:pt>
                <c:pt idx="9">
                  <c:v>11055133093.870001</c:v>
                </c:pt>
                <c:pt idx="10">
                  <c:v>12914293385.879999</c:v>
                </c:pt>
                <c:pt idx="11">
                  <c:v>14833755690.360001</c:v>
                </c:pt>
                <c:pt idx="12">
                  <c:v>16384903720.49</c:v>
                </c:pt>
                <c:pt idx="13">
                  <c:v>17951872074.200001</c:v>
                </c:pt>
                <c:pt idx="14">
                  <c:v>19507101705.599998</c:v>
                </c:pt>
                <c:pt idx="15">
                  <c:v>21197384886.27</c:v>
                </c:pt>
                <c:pt idx="16">
                  <c:v>22595144070.119999</c:v>
                </c:pt>
              </c:numCache>
            </c:numRef>
          </c:val>
          <c:extLst>
            <c:ext xmlns:c16="http://schemas.microsoft.com/office/drawing/2014/chart" uri="{C3380CC4-5D6E-409C-BE32-E72D297353CC}">
              <c16:uniqueId val="{00000001-0264-4095-ACEE-E618F033706C}"/>
            </c:ext>
          </c:extLst>
        </c:ser>
        <c:ser>
          <c:idx val="2"/>
          <c:order val="2"/>
          <c:tx>
            <c:strRef>
              <c:f>Hoja1!$D$1:$D$2</c:f>
              <c:strCache>
                <c:ptCount val="1"/>
                <c:pt idx="0">
                  <c:v>OTROS S EXTRAORDINARIOS AL ROP.</c:v>
                </c:pt>
              </c:strCache>
            </c:strRef>
          </c:tx>
          <c:spPr>
            <a:solidFill>
              <a:schemeClr val="accent3"/>
            </a:solidFill>
            <a:ln>
              <a:noFill/>
            </a:ln>
            <a:effectLst/>
          </c:spPr>
          <c:invertIfNegative val="0"/>
          <c:cat>
            <c:strRef>
              <c:f>Hoja1!$A$3:$A$20</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Hoja1!$D$3:$D$20</c:f>
              <c:numCache>
                <c:formatCode>General</c:formatCode>
                <c:ptCount val="17"/>
                <c:pt idx="5" formatCode="_(* #,##0_);_(* \(#,##0\);_(* &quot;-&quot;_);_(@_)">
                  <c:v>1043643.92</c:v>
                </c:pt>
                <c:pt idx="6" formatCode="_(* #,##0_);_(* \(#,##0\);_(* &quot;-&quot;_);_(@_)">
                  <c:v>25731690.02</c:v>
                </c:pt>
                <c:pt idx="7" formatCode="_(* #,##0_);_(* \(#,##0\);_(* &quot;-&quot;_);_(@_)">
                  <c:v>1613897.27</c:v>
                </c:pt>
                <c:pt idx="8" formatCode="_(* #,##0_);_(* \(#,##0\);_(* &quot;-&quot;_);_(@_)">
                  <c:v>5192935.26</c:v>
                </c:pt>
                <c:pt idx="9" formatCode="_(* #,##0_);_(* \(#,##0\);_(* &quot;-&quot;_);_(@_)">
                  <c:v>89976576.709999993</c:v>
                </c:pt>
                <c:pt idx="10" formatCode="_(* #,##0_);_(* \(#,##0\);_(* &quot;-&quot;_);_(@_)">
                  <c:v>7601671.1699999999</c:v>
                </c:pt>
                <c:pt idx="11" formatCode="_(* #,##0_);_(* \(#,##0\);_(* &quot;-&quot;_);_(@_)">
                  <c:v>7109089.5300000003</c:v>
                </c:pt>
                <c:pt idx="12" formatCode="_(* #,##0_);_(* \(#,##0\);_(* &quot;-&quot;_);_(@_)">
                  <c:v>57372007.259999998</c:v>
                </c:pt>
                <c:pt idx="13" formatCode="_(* #,##0_);_(* \(#,##0\);_(* &quot;-&quot;_);_(@_)">
                  <c:v>108523875.77</c:v>
                </c:pt>
                <c:pt idx="14" formatCode="_(* #,##0_);_(* \(#,##0\);_(* &quot;-&quot;_);_(@_)">
                  <c:v>56775776.940000005</c:v>
                </c:pt>
                <c:pt idx="15" formatCode="_(* #,##0_);_(* \(#,##0\);_(* &quot;-&quot;_);_(@_)">
                  <c:v>123692989.98</c:v>
                </c:pt>
                <c:pt idx="16" formatCode="_(* #,##0_);_(* \(#,##0\);_(* &quot;-&quot;_);_(@_)">
                  <c:v>230767415.08999994</c:v>
                </c:pt>
              </c:numCache>
            </c:numRef>
          </c:val>
          <c:extLst>
            <c:ext xmlns:c16="http://schemas.microsoft.com/office/drawing/2014/chart" uri="{C3380CC4-5D6E-409C-BE32-E72D297353CC}">
              <c16:uniqueId val="{00000002-0264-4095-ACEE-E618F033706C}"/>
            </c:ext>
          </c:extLst>
        </c:ser>
        <c:ser>
          <c:idx val="3"/>
          <c:order val="3"/>
          <c:tx>
            <c:strRef>
              <c:f>Hoja1!$E$1:$E$2</c:f>
              <c:strCache>
                <c:ptCount val="1"/>
                <c:pt idx="0">
                  <c:v> 1.5% DE LOS SALARIOS.</c:v>
                </c:pt>
              </c:strCache>
            </c:strRef>
          </c:tx>
          <c:spPr>
            <a:solidFill>
              <a:schemeClr val="accent4"/>
            </a:solidFill>
            <a:ln>
              <a:noFill/>
            </a:ln>
            <a:effectLst/>
          </c:spPr>
          <c:invertIfNegative val="0"/>
          <c:cat>
            <c:strRef>
              <c:f>Hoja1!$A$3:$A$20</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Hoja1!$E$3:$E$20</c:f>
              <c:numCache>
                <c:formatCode>_(* #,##0_);_(* \(#,##0\);_(* "-"_);_(@_)</c:formatCode>
                <c:ptCount val="17"/>
                <c:pt idx="0">
                  <c:v>5249591816.0955019</c:v>
                </c:pt>
                <c:pt idx="1">
                  <c:v>13569331269.159998</c:v>
                </c:pt>
                <c:pt idx="2">
                  <c:v>17382132300.620007</c:v>
                </c:pt>
                <c:pt idx="3">
                  <c:v>17192070602.330002</c:v>
                </c:pt>
                <c:pt idx="4">
                  <c:v>22623512815.789997</c:v>
                </c:pt>
                <c:pt idx="5">
                  <c:v>28969280306.23</c:v>
                </c:pt>
                <c:pt idx="6">
                  <c:v>35489423933.729988</c:v>
                </c:pt>
                <c:pt idx="7">
                  <c:v>43148605074.599983</c:v>
                </c:pt>
                <c:pt idx="8">
                  <c:v>60652568108.910004</c:v>
                </c:pt>
                <c:pt idx="9">
                  <c:v>73187416625.01001</c:v>
                </c:pt>
                <c:pt idx="10">
                  <c:v>81943212334.090027</c:v>
                </c:pt>
                <c:pt idx="11">
                  <c:v>90289398104.450012</c:v>
                </c:pt>
                <c:pt idx="12">
                  <c:v>98782262572.900009</c:v>
                </c:pt>
                <c:pt idx="13">
                  <c:v>107369306071.62001</c:v>
                </c:pt>
                <c:pt idx="14">
                  <c:v>115409265548.67999</c:v>
                </c:pt>
                <c:pt idx="15">
                  <c:v>122766871557.36</c:v>
                </c:pt>
                <c:pt idx="16">
                  <c:v>132215576714.23999</c:v>
                </c:pt>
              </c:numCache>
            </c:numRef>
          </c:val>
          <c:extLst>
            <c:ext xmlns:c16="http://schemas.microsoft.com/office/drawing/2014/chart" uri="{C3380CC4-5D6E-409C-BE32-E72D297353CC}">
              <c16:uniqueId val="{00000003-0264-4095-ACEE-E618F033706C}"/>
            </c:ext>
          </c:extLst>
        </c:ser>
        <c:ser>
          <c:idx val="4"/>
          <c:order val="4"/>
          <c:tx>
            <c:strRef>
              <c:f>Hoja1!$F$1:$F$2</c:f>
              <c:strCache>
                <c:ptCount val="1"/>
                <c:pt idx="0">
                  <c:v>50% DE S DEL FCL POR CESACION RELACION LABORAL.</c:v>
                </c:pt>
              </c:strCache>
            </c:strRef>
          </c:tx>
          <c:spPr>
            <a:solidFill>
              <a:schemeClr val="accent5"/>
            </a:solidFill>
            <a:ln>
              <a:noFill/>
            </a:ln>
            <a:effectLst/>
          </c:spPr>
          <c:invertIfNegative val="0"/>
          <c:cat>
            <c:strRef>
              <c:f>Hoja1!$A$3:$A$20</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Hoja1!$F$3:$F$20</c:f>
              <c:numCache>
                <c:formatCode>_(* #,##0_);_(* \(#,##0\);_(* "-"_);_(@_)</c:formatCode>
                <c:ptCount val="17"/>
                <c:pt idx="0">
                  <c:v>3326602.25</c:v>
                </c:pt>
                <c:pt idx="1">
                  <c:v>241617418.24999994</c:v>
                </c:pt>
                <c:pt idx="2">
                  <c:v>748195040.04000044</c:v>
                </c:pt>
                <c:pt idx="3">
                  <c:v>968247572.45999968</c:v>
                </c:pt>
                <c:pt idx="4">
                  <c:v>1205957798.1400003</c:v>
                </c:pt>
                <c:pt idx="5">
                  <c:v>1380831180.2899983</c:v>
                </c:pt>
                <c:pt idx="6">
                  <c:v>2140508518.3999982</c:v>
                </c:pt>
                <c:pt idx="7">
                  <c:v>2942375860.0800018</c:v>
                </c:pt>
                <c:pt idx="8">
                  <c:v>4076060225.8400006</c:v>
                </c:pt>
                <c:pt idx="9">
                  <c:v>4773575514.4399967</c:v>
                </c:pt>
                <c:pt idx="10">
                  <c:v>5093968651.0099955</c:v>
                </c:pt>
                <c:pt idx="11">
                  <c:v>5475005644.4899998</c:v>
                </c:pt>
                <c:pt idx="12">
                  <c:v>6271076941.4000282</c:v>
                </c:pt>
                <c:pt idx="13">
                  <c:v>7102876910.8499908</c:v>
                </c:pt>
                <c:pt idx="14">
                  <c:v>7883622941.3000021</c:v>
                </c:pt>
                <c:pt idx="15">
                  <c:v>8313578426.3099995</c:v>
                </c:pt>
                <c:pt idx="16">
                  <c:v>8688925988.5199986</c:v>
                </c:pt>
              </c:numCache>
            </c:numRef>
          </c:val>
          <c:extLst>
            <c:ext xmlns:c16="http://schemas.microsoft.com/office/drawing/2014/chart" uri="{C3380CC4-5D6E-409C-BE32-E72D297353CC}">
              <c16:uniqueId val="{00000004-0264-4095-ACEE-E618F033706C}"/>
            </c:ext>
          </c:extLst>
        </c:ser>
        <c:ser>
          <c:idx val="5"/>
          <c:order val="5"/>
          <c:tx>
            <c:strRef>
              <c:f>Hoja1!$G$1:$G$2</c:f>
              <c:strCache>
                <c:ptCount val="1"/>
                <c:pt idx="0">
                  <c:v>AHORRO OBRERO PARA EL BANCO POPULAR </c:v>
                </c:pt>
              </c:strCache>
            </c:strRef>
          </c:tx>
          <c:spPr>
            <a:solidFill>
              <a:schemeClr val="accent6"/>
            </a:solidFill>
            <a:ln>
              <a:noFill/>
            </a:ln>
            <a:effectLst/>
          </c:spPr>
          <c:invertIfNegative val="0"/>
          <c:cat>
            <c:strRef>
              <c:f>Hoja1!$A$3:$A$20</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Hoja1!$G$3:$G$20</c:f>
              <c:numCache>
                <c:formatCode>_(* #,##0_);_(* \(#,##0\);_(* "-"_);_(@_)</c:formatCode>
                <c:ptCount val="17"/>
                <c:pt idx="0">
                  <c:v>57291.28</c:v>
                </c:pt>
                <c:pt idx="1">
                  <c:v>7324574824.4299994</c:v>
                </c:pt>
                <c:pt idx="2">
                  <c:v>10574602636.18</c:v>
                </c:pt>
                <c:pt idx="3">
                  <c:v>13355909297.26</c:v>
                </c:pt>
                <c:pt idx="4">
                  <c:v>14922762882.679998</c:v>
                </c:pt>
                <c:pt idx="5">
                  <c:v>17549770255.139999</c:v>
                </c:pt>
                <c:pt idx="6">
                  <c:v>20700699349.400002</c:v>
                </c:pt>
                <c:pt idx="7">
                  <c:v>25409053755.369999</c:v>
                </c:pt>
                <c:pt idx="8">
                  <c:v>36588555247.780006</c:v>
                </c:pt>
                <c:pt idx="9">
                  <c:v>44252177009.120003</c:v>
                </c:pt>
                <c:pt idx="10">
                  <c:v>51702207753.580009</c:v>
                </c:pt>
                <c:pt idx="11">
                  <c:v>59222680733.300011</c:v>
                </c:pt>
                <c:pt idx="12">
                  <c:v>65712992989.089996</c:v>
                </c:pt>
                <c:pt idx="13">
                  <c:v>71909474845.740005</c:v>
                </c:pt>
                <c:pt idx="14">
                  <c:v>78029229062.070007</c:v>
                </c:pt>
                <c:pt idx="15">
                  <c:v>84784998988.309998</c:v>
                </c:pt>
                <c:pt idx="16">
                  <c:v>90383606478.869995</c:v>
                </c:pt>
              </c:numCache>
            </c:numRef>
          </c:val>
          <c:extLst>
            <c:ext xmlns:c16="http://schemas.microsoft.com/office/drawing/2014/chart" uri="{C3380CC4-5D6E-409C-BE32-E72D297353CC}">
              <c16:uniqueId val="{00000005-0264-4095-ACEE-E618F033706C}"/>
            </c:ext>
          </c:extLst>
        </c:ser>
        <c:ser>
          <c:idx val="6"/>
          <c:order val="6"/>
          <c:tx>
            <c:strRef>
              <c:f>Hoja1!$H$1:$H$2</c:f>
              <c:strCache>
                <c:ptCount val="1"/>
                <c:pt idx="0">
                  <c:v>RENDIMIENTOS DEL AHORRO OBRERO AL BPDC</c:v>
                </c:pt>
              </c:strCache>
            </c:strRef>
          </c:tx>
          <c:spPr>
            <a:solidFill>
              <a:schemeClr val="accent1">
                <a:lumMod val="60000"/>
              </a:schemeClr>
            </a:solidFill>
            <a:ln>
              <a:noFill/>
            </a:ln>
            <a:effectLst/>
          </c:spPr>
          <c:invertIfNegative val="0"/>
          <c:cat>
            <c:strRef>
              <c:f>Hoja1!$A$3:$A$20</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Hoja1!$H$3:$H$20</c:f>
              <c:numCache>
                <c:formatCode>_(* #,##0_);_(* \(#,##0\);_(* "-"_);_(@_)</c:formatCode>
                <c:ptCount val="17"/>
                <c:pt idx="1">
                  <c:v>1514953306.4000001</c:v>
                </c:pt>
                <c:pt idx="2">
                  <c:v>2001262284.6200001</c:v>
                </c:pt>
                <c:pt idx="3">
                  <c:v>2319211958.71</c:v>
                </c:pt>
                <c:pt idx="4">
                  <c:v>3023327821.9400005</c:v>
                </c:pt>
                <c:pt idx="5">
                  <c:v>4287981515.3600001</c:v>
                </c:pt>
                <c:pt idx="6">
                  <c:v>4336618436.9300003</c:v>
                </c:pt>
                <c:pt idx="7">
                  <c:v>4470833062.2599993</c:v>
                </c:pt>
                <c:pt idx="8">
                  <c:v>7901175340.920001</c:v>
                </c:pt>
                <c:pt idx="9">
                  <c:v>7009017989.8100004</c:v>
                </c:pt>
                <c:pt idx="10">
                  <c:v>4564958643.0600014</c:v>
                </c:pt>
                <c:pt idx="11">
                  <c:v>5621556341.75</c:v>
                </c:pt>
                <c:pt idx="12">
                  <c:v>6102513136</c:v>
                </c:pt>
                <c:pt idx="13">
                  <c:v>6928241365</c:v>
                </c:pt>
                <c:pt idx="14">
                  <c:v>7096782193</c:v>
                </c:pt>
                <c:pt idx="15">
                  <c:v>6584203162.2099991</c:v>
                </c:pt>
                <c:pt idx="16">
                  <c:v>4830644229</c:v>
                </c:pt>
              </c:numCache>
            </c:numRef>
          </c:val>
          <c:extLst>
            <c:ext xmlns:c16="http://schemas.microsoft.com/office/drawing/2014/chart" uri="{C3380CC4-5D6E-409C-BE32-E72D297353CC}">
              <c16:uniqueId val="{00000006-0264-4095-ACEE-E618F033706C}"/>
            </c:ext>
          </c:extLst>
        </c:ser>
        <c:ser>
          <c:idx val="7"/>
          <c:order val="7"/>
          <c:tx>
            <c:strRef>
              <c:f>Hoja1!$I$1:$I$2</c:f>
              <c:strCache>
                <c:ptCount val="1"/>
                <c:pt idx="0">
                  <c:v>Extraordinario  proveniente del FCL o planes voluntarios</c:v>
                </c:pt>
              </c:strCache>
            </c:strRef>
          </c:tx>
          <c:spPr>
            <a:solidFill>
              <a:schemeClr val="accent2">
                <a:lumMod val="60000"/>
              </a:schemeClr>
            </a:solidFill>
            <a:ln>
              <a:noFill/>
            </a:ln>
            <a:effectLst/>
          </c:spPr>
          <c:invertIfNegative val="0"/>
          <c:cat>
            <c:strRef>
              <c:f>Hoja1!$A$3:$A$20</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Hoja1!$I$3:$I$20</c:f>
              <c:numCache>
                <c:formatCode>General</c:formatCode>
                <c:ptCount val="17"/>
                <c:pt idx="5" formatCode="_(* #,##0_);_(* \(#,##0\);_(* &quot;-&quot;_);_(@_)">
                  <c:v>63874617.819999993</c:v>
                </c:pt>
                <c:pt idx="6" formatCode="_(* #,##0_);_(* \(#,##0\);_(* &quot;-&quot;_);_(@_)">
                  <c:v>1710537.98</c:v>
                </c:pt>
                <c:pt idx="7" formatCode="_(* #,##0_);_(* \(#,##0\);_(* &quot;-&quot;_);_(@_)">
                  <c:v>2687315.58</c:v>
                </c:pt>
                <c:pt idx="8" formatCode="_(* #,##0_);_(* \(#,##0\);_(* &quot;-&quot;_);_(@_)">
                  <c:v>850514.54999999993</c:v>
                </c:pt>
                <c:pt idx="9" formatCode="_(* #,##0_);_(* \(#,##0\);_(* &quot;-&quot;_);_(@_)">
                  <c:v>6004521.8099999996</c:v>
                </c:pt>
                <c:pt idx="10" formatCode="_(* #,##0_);_(* \(#,##0\);_(* &quot;-&quot;_);_(@_)">
                  <c:v>29922491.760000005</c:v>
                </c:pt>
                <c:pt idx="11" formatCode="_(* #,##0_);_(* \(#,##0\);_(* &quot;-&quot;_);_(@_)">
                  <c:v>6847741.4399999995</c:v>
                </c:pt>
                <c:pt idx="12" formatCode="_(* #,##0_);_(* \(#,##0\);_(* &quot;-&quot;_);_(@_)">
                  <c:v>24582346.190000001</c:v>
                </c:pt>
                <c:pt idx="13" formatCode="_(* #,##0_);_(* \(#,##0\);_(* &quot;-&quot;_);_(@_)">
                  <c:v>30730800.969999999</c:v>
                </c:pt>
                <c:pt idx="14" formatCode="_(* #,##0_);_(* \(#,##0\);_(* &quot;-&quot;_);_(@_)">
                  <c:v>7422191.4700000007</c:v>
                </c:pt>
                <c:pt idx="15" formatCode="_(* #,##0_);_(* \(#,##0\);_(* &quot;-&quot;_);_(@_)">
                  <c:v>273965688.59000009</c:v>
                </c:pt>
                <c:pt idx="16" formatCode="_(* #,##0_);_(* \(#,##0\);_(* &quot;-&quot;_);_(@_)">
                  <c:v>15973651.089999998</c:v>
                </c:pt>
              </c:numCache>
            </c:numRef>
          </c:val>
          <c:extLst>
            <c:ext xmlns:c16="http://schemas.microsoft.com/office/drawing/2014/chart" uri="{C3380CC4-5D6E-409C-BE32-E72D297353CC}">
              <c16:uniqueId val="{00000007-0264-4095-ACEE-E618F033706C}"/>
            </c:ext>
          </c:extLst>
        </c:ser>
        <c:dLbls>
          <c:showLegendKey val="0"/>
          <c:showVal val="0"/>
          <c:showCatName val="0"/>
          <c:showSerName val="0"/>
          <c:showPercent val="0"/>
          <c:showBubbleSize val="0"/>
        </c:dLbls>
        <c:gapWidth val="80"/>
        <c:overlap val="100"/>
        <c:axId val="1862293135"/>
        <c:axId val="357414687"/>
      </c:barChart>
      <c:catAx>
        <c:axId val="1862293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CR"/>
          </a:p>
        </c:txPr>
        <c:crossAx val="357414687"/>
        <c:crosses val="autoZero"/>
        <c:auto val="1"/>
        <c:lblAlgn val="ctr"/>
        <c:lblOffset val="100"/>
        <c:noMultiLvlLbl val="0"/>
      </c:catAx>
      <c:valAx>
        <c:axId val="357414687"/>
        <c:scaling>
          <c:orientation val="minMax"/>
          <c:max val="400000000000"/>
        </c:scaling>
        <c:delete val="0"/>
        <c:axPos val="l"/>
        <c:majorGridlines>
          <c:spPr>
            <a:ln w="9525" cap="flat" cmpd="sng" algn="ctr">
              <a:solidFill>
                <a:schemeClr val="tx1">
                  <a:lumMod val="15000"/>
                  <a:lumOff val="85000"/>
                </a:schemeClr>
              </a:solidFill>
              <a:round/>
            </a:ln>
            <a:effectLst/>
          </c:spPr>
        </c:majorGridlines>
        <c:numFmt formatCode="_-* #,##0.0\ _€_-;\-* #,##0.0\ _€_-;_-* &quot;-&quot;??\ _€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862293135"/>
        <c:crosses val="autoZero"/>
        <c:crossBetween val="between"/>
        <c:dispUnits>
          <c:builtInUnit val="millions"/>
        </c:dispUnits>
      </c:valAx>
      <c:spPr>
        <a:noFill/>
        <a:ln>
          <a:noFill/>
        </a:ln>
        <a:effectLst/>
      </c:spPr>
    </c:plotArea>
    <c:legend>
      <c:legendPos val="b"/>
      <c:layout>
        <c:manualLayout>
          <c:xMode val="edge"/>
          <c:yMode val="edge"/>
          <c:x val="1.3658138944184868E-2"/>
          <c:y val="0.81988678562059147"/>
          <c:w val="0.95890710585407879"/>
          <c:h val="0.1643153005686584"/>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B0DC814BF8D4DA8F53531F2584D5A" ma:contentTypeVersion="8" ma:contentTypeDescription="Crear nuevo documento." ma:contentTypeScope="" ma:versionID="3880f449e594e023460cd36cafb9c534">
  <xsd:schema xmlns:xsd="http://www.w3.org/2001/XMLSchema" xmlns:xs="http://www.w3.org/2001/XMLSchema" xmlns:p="http://schemas.microsoft.com/office/2006/metadata/properties" xmlns:ns2="abcd77d0-6cc8-47bc-9c9c-502c201b5bcf" xmlns:ns3="0f01b33b-af6d-466e-808f-b63681c2fce0" xmlns:ns4="b0165f23-38c6-4bfa-a027-891af1b4e757" targetNamespace="http://schemas.microsoft.com/office/2006/metadata/properties" ma:root="true" ma:fieldsID="9011ca30466849f09964c4e43b9f84e4" ns2:_="" ns3:_="" ns4:_="">
    <xsd:import namespace="abcd77d0-6cc8-47bc-9c9c-502c201b5bcf"/>
    <xsd:import namespace="0f01b33b-af6d-466e-808f-b63681c2fce0"/>
    <xsd:import namespace="b0165f23-38c6-4bfa-a027-891af1b4e757"/>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77d0-6cc8-47bc-9c9c-502c201b5bc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165f23-38c6-4bfa-a027-891af1b4e7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D129-D6F1-4485-A7A8-5BBB5E409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d77d0-6cc8-47bc-9c9c-502c201b5bcf"/>
    <ds:schemaRef ds:uri="0f01b33b-af6d-466e-808f-b63681c2fce0"/>
    <ds:schemaRef ds:uri="b0165f23-38c6-4bfa-a027-891af1b4e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71E57-EA24-4666-8C06-DFF8E355096D}">
  <ds:schemaRefs>
    <ds:schemaRef ds:uri="http://schemas.microsoft.com/sharepoint/v3/contenttype/forms"/>
  </ds:schemaRefs>
</ds:datastoreItem>
</file>

<file path=customXml/itemProps3.xml><?xml version="1.0" encoding="utf-8"?>
<ds:datastoreItem xmlns:ds="http://schemas.openxmlformats.org/officeDocument/2006/customXml" ds:itemID="{DECD2BEB-3750-4985-8CEC-93B53988B290}">
  <ds:schemaRefs>
    <ds:schemaRef ds:uri="http://purl.org/dc/dcmitype/"/>
    <ds:schemaRef ds:uri="http://schemas.microsoft.com/office/infopath/2007/PartnerControls"/>
    <ds:schemaRef ds:uri="http://schemas.microsoft.com/office/2006/documentManagement/types"/>
    <ds:schemaRef ds:uri="http://purl.org/dc/elements/1.1/"/>
    <ds:schemaRef ds:uri="abcd77d0-6cc8-47bc-9c9c-502c201b5bcf"/>
    <ds:schemaRef ds:uri="http://schemas.openxmlformats.org/package/2006/metadata/core-properties"/>
    <ds:schemaRef ds:uri="http://purl.org/dc/terms/"/>
    <ds:schemaRef ds:uri="b0165f23-38c6-4bfa-a027-891af1b4e757"/>
    <ds:schemaRef ds:uri="0f01b33b-af6d-466e-808f-b63681c2fce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96E59F-2EA3-4014-8BF4-4FE0630C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1893</Words>
  <Characters>10414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IV Trimestre 2017InformeCONASSIF.docx</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Trimestre 2017InformeCONASSIF.docx</dc:title>
  <dc:subject/>
  <dc:creator>Rudy Corrales Vega</dc:creator>
  <cp:keywords/>
  <dc:description/>
  <cp:lastModifiedBy>ROJAS FAJARDO PORFIRIO</cp:lastModifiedBy>
  <cp:revision>2</cp:revision>
  <dcterms:created xsi:type="dcterms:W3CDTF">2018-03-19T17:32:00Z</dcterms:created>
  <dcterms:modified xsi:type="dcterms:W3CDTF">2018-03-19T17:32:00Z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0x01010042AB0DC814BF8D4DA8F53531F2584D5A</vt:lpwstr>
  </property>
</Properties>
</file>