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4F65" w14:textId="7196A98F" w:rsidR="0078380F" w:rsidRDefault="0078380F"/>
    <w:p w14:paraId="12ADBFB7" w14:textId="2AF60555" w:rsidR="0078380F" w:rsidRPr="0023319B" w:rsidRDefault="0078380F" w:rsidP="0078380F">
      <w:pPr>
        <w:pStyle w:val="Ttulo3"/>
      </w:pPr>
      <w:bookmarkStart w:id="0" w:name="_Toc62564137"/>
      <w:r>
        <w:t>P</w:t>
      </w:r>
      <w:r w:rsidRPr="0023319B">
        <w:t>royectos estratégicos:</w:t>
      </w:r>
      <w:bookmarkEnd w:id="0"/>
      <w:r w:rsidRPr="0023319B">
        <w:t xml:space="preserve"> </w:t>
      </w:r>
    </w:p>
    <w:p w14:paraId="2EA09012" w14:textId="77777777" w:rsidR="0078380F" w:rsidRPr="0023319B" w:rsidRDefault="0078380F" w:rsidP="0078380F">
      <w:pPr>
        <w:spacing w:before="240" w:after="240"/>
        <w:rPr>
          <w:rFonts w:asciiTheme="minorHAnsi" w:hAnsiTheme="minorHAnsi" w:cstheme="minorHAnsi"/>
          <w:sz w:val="24"/>
          <w:szCs w:val="24"/>
          <w:lang w:val="es-CR"/>
        </w:rPr>
      </w:pPr>
      <w:r w:rsidRPr="0023319B">
        <w:rPr>
          <w:rFonts w:asciiTheme="minorHAnsi" w:hAnsiTheme="minorHAnsi" w:cstheme="minorHAnsi"/>
          <w:sz w:val="24"/>
          <w:szCs w:val="24"/>
          <w:lang w:val="es-CR"/>
        </w:rPr>
        <w:t>La información detallada correspondiente al avance de los proyectos estratégicos.</w:t>
      </w:r>
    </w:p>
    <w:p w14:paraId="5277A31A" w14:textId="77777777" w:rsidR="0078380F" w:rsidRDefault="0078380F" w:rsidP="0078380F">
      <w:pPr>
        <w:pStyle w:val="Ttulo3"/>
      </w:pPr>
      <w:bookmarkStart w:id="1" w:name="_Toc62564138"/>
      <w:r w:rsidRPr="0023319B">
        <w:rPr>
          <w:szCs w:val="24"/>
        </w:rPr>
        <w:t xml:space="preserve">Tabla 5: </w:t>
      </w:r>
      <w:bookmarkStart w:id="2" w:name="_Hlk535247962"/>
      <w:r w:rsidRPr="0023319B">
        <w:t>Avance en proyectos estratégicos</w:t>
      </w:r>
      <w:bookmarkEnd w:id="1"/>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311"/>
        <w:gridCol w:w="1699"/>
        <w:gridCol w:w="709"/>
        <w:gridCol w:w="992"/>
        <w:gridCol w:w="1321"/>
        <w:gridCol w:w="992"/>
        <w:gridCol w:w="1659"/>
      </w:tblGrid>
      <w:tr w:rsidR="0078380F" w:rsidRPr="00FE2827" w14:paraId="4606F648" w14:textId="77777777" w:rsidTr="00C35D96">
        <w:trPr>
          <w:trHeight w:val="300"/>
          <w:tblHeader/>
          <w:jc w:val="center"/>
        </w:trPr>
        <w:tc>
          <w:tcPr>
            <w:tcW w:w="1555" w:type="dxa"/>
            <w:shd w:val="clear" w:color="auto" w:fill="ACB9CA" w:themeFill="text2" w:themeFillTint="66"/>
            <w:vAlign w:val="center"/>
          </w:tcPr>
          <w:p w14:paraId="52B905DE" w14:textId="77777777" w:rsidR="0078380F" w:rsidRPr="00BB5133" w:rsidRDefault="0078380F" w:rsidP="00C35D96">
            <w:pPr>
              <w:spacing w:line="240" w:lineRule="auto"/>
              <w:jc w:val="center"/>
              <w:rPr>
                <w:rFonts w:ascii="Calibri Light" w:hAnsi="Calibri Light" w:cs="Calibri Light"/>
                <w:b/>
                <w:color w:val="000000"/>
                <w:sz w:val="18"/>
                <w:szCs w:val="18"/>
                <w:lang w:val="es-CR"/>
              </w:rPr>
            </w:pPr>
            <w:r w:rsidRPr="00BB5133">
              <w:rPr>
                <w:rFonts w:ascii="Calibri Light" w:hAnsi="Calibri Light" w:cs="Calibri Light"/>
                <w:b/>
                <w:color w:val="000000"/>
                <w:sz w:val="18"/>
                <w:szCs w:val="18"/>
                <w:lang w:val="es-CR"/>
              </w:rPr>
              <w:t>Objetivo Estratégico SUPEN y CONASSIF</w:t>
            </w:r>
          </w:p>
        </w:tc>
        <w:tc>
          <w:tcPr>
            <w:tcW w:w="1311" w:type="dxa"/>
            <w:shd w:val="clear" w:color="auto" w:fill="ACB9CA" w:themeFill="text2" w:themeFillTint="66"/>
            <w:noWrap/>
            <w:vAlign w:val="center"/>
          </w:tcPr>
          <w:p w14:paraId="1F23054B" w14:textId="77777777" w:rsidR="0078380F" w:rsidRPr="00BB5133" w:rsidRDefault="0078380F" w:rsidP="00C35D96">
            <w:pPr>
              <w:spacing w:line="240" w:lineRule="auto"/>
              <w:jc w:val="center"/>
              <w:rPr>
                <w:rFonts w:ascii="Calibri Light" w:hAnsi="Calibri Light" w:cs="Calibri Light"/>
                <w:b/>
                <w:color w:val="000000"/>
                <w:sz w:val="18"/>
                <w:szCs w:val="18"/>
                <w:lang w:val="es-CR"/>
              </w:rPr>
            </w:pPr>
            <w:r w:rsidRPr="00BB5133">
              <w:rPr>
                <w:rFonts w:ascii="Calibri Light" w:hAnsi="Calibri Light" w:cs="Calibri Light"/>
                <w:b/>
                <w:color w:val="000000"/>
                <w:sz w:val="18"/>
                <w:szCs w:val="18"/>
                <w:lang w:val="es-CR"/>
              </w:rPr>
              <w:t>Nombre del Proyecto</w:t>
            </w:r>
          </w:p>
        </w:tc>
        <w:tc>
          <w:tcPr>
            <w:tcW w:w="1699" w:type="dxa"/>
            <w:shd w:val="clear" w:color="auto" w:fill="ACB9CA" w:themeFill="text2" w:themeFillTint="66"/>
            <w:vAlign w:val="center"/>
          </w:tcPr>
          <w:p w14:paraId="1D8EDA73" w14:textId="77777777" w:rsidR="0078380F" w:rsidRPr="00BB5133" w:rsidRDefault="0078380F" w:rsidP="00C35D96">
            <w:pPr>
              <w:spacing w:line="240" w:lineRule="auto"/>
              <w:jc w:val="center"/>
              <w:rPr>
                <w:rFonts w:ascii="Calibri Light" w:hAnsi="Calibri Light" w:cs="Calibri Light"/>
                <w:b/>
                <w:color w:val="000000"/>
                <w:sz w:val="18"/>
                <w:szCs w:val="18"/>
                <w:lang w:val="es-CR"/>
              </w:rPr>
            </w:pPr>
            <w:r w:rsidRPr="00BB5133">
              <w:rPr>
                <w:rFonts w:ascii="Calibri Light" w:hAnsi="Calibri Light" w:cs="Calibri Light"/>
                <w:b/>
                <w:color w:val="000000"/>
                <w:sz w:val="18"/>
                <w:szCs w:val="18"/>
                <w:lang w:val="es-CR"/>
              </w:rPr>
              <w:t>Objetivo del proyecto</w:t>
            </w:r>
          </w:p>
        </w:tc>
        <w:tc>
          <w:tcPr>
            <w:tcW w:w="709" w:type="dxa"/>
            <w:shd w:val="clear" w:color="auto" w:fill="ACB9CA" w:themeFill="text2" w:themeFillTint="66"/>
            <w:vAlign w:val="center"/>
          </w:tcPr>
          <w:p w14:paraId="0C5F3D34" w14:textId="77777777" w:rsidR="0078380F" w:rsidRPr="00BB5133" w:rsidRDefault="0078380F" w:rsidP="00C35D96">
            <w:pPr>
              <w:spacing w:line="240" w:lineRule="auto"/>
              <w:jc w:val="center"/>
              <w:rPr>
                <w:rFonts w:ascii="Calibri Light" w:hAnsi="Calibri Light" w:cs="Calibri Light"/>
                <w:b/>
                <w:color w:val="000000"/>
                <w:sz w:val="18"/>
                <w:szCs w:val="18"/>
                <w:lang w:val="es-CR"/>
              </w:rPr>
            </w:pPr>
            <w:r w:rsidRPr="00BB5133">
              <w:rPr>
                <w:rFonts w:ascii="Calibri Light" w:hAnsi="Calibri Light" w:cs="Calibri Light"/>
                <w:b/>
                <w:color w:val="000000"/>
                <w:sz w:val="18"/>
                <w:szCs w:val="18"/>
                <w:lang w:val="es-CR"/>
              </w:rPr>
              <w:t>Fecha Inicio</w:t>
            </w:r>
          </w:p>
        </w:tc>
        <w:tc>
          <w:tcPr>
            <w:tcW w:w="992" w:type="dxa"/>
            <w:shd w:val="clear" w:color="auto" w:fill="ACB9CA" w:themeFill="text2" w:themeFillTint="66"/>
            <w:vAlign w:val="center"/>
          </w:tcPr>
          <w:p w14:paraId="3CBBBC0C" w14:textId="77777777" w:rsidR="0078380F" w:rsidRPr="00BB5133" w:rsidRDefault="0078380F" w:rsidP="00C35D96">
            <w:pPr>
              <w:spacing w:line="240" w:lineRule="auto"/>
              <w:jc w:val="center"/>
              <w:rPr>
                <w:rFonts w:ascii="Calibri Light" w:hAnsi="Calibri Light" w:cs="Calibri Light"/>
                <w:b/>
                <w:color w:val="000000"/>
                <w:sz w:val="18"/>
                <w:szCs w:val="18"/>
                <w:lang w:val="es-CR"/>
              </w:rPr>
            </w:pPr>
            <w:r w:rsidRPr="00BB5133">
              <w:rPr>
                <w:rFonts w:ascii="Calibri Light" w:hAnsi="Calibri Light" w:cs="Calibri Light"/>
                <w:b/>
                <w:color w:val="000000"/>
                <w:sz w:val="18"/>
                <w:szCs w:val="18"/>
                <w:lang w:val="es-CR"/>
              </w:rPr>
              <w:t>Fecha Fin esperado</w:t>
            </w:r>
          </w:p>
        </w:tc>
        <w:tc>
          <w:tcPr>
            <w:tcW w:w="1321" w:type="dxa"/>
            <w:shd w:val="clear" w:color="auto" w:fill="ACB9CA" w:themeFill="text2" w:themeFillTint="66"/>
            <w:vAlign w:val="center"/>
          </w:tcPr>
          <w:p w14:paraId="0929EF21" w14:textId="77777777" w:rsidR="0078380F" w:rsidRPr="00BB5133" w:rsidRDefault="0078380F" w:rsidP="00C35D96">
            <w:pPr>
              <w:spacing w:line="240" w:lineRule="auto"/>
              <w:jc w:val="center"/>
              <w:rPr>
                <w:rFonts w:ascii="Calibri Light" w:hAnsi="Calibri Light" w:cs="Calibri Light"/>
                <w:b/>
                <w:color w:val="000000"/>
                <w:sz w:val="18"/>
                <w:szCs w:val="18"/>
                <w:lang w:val="es-CR"/>
              </w:rPr>
            </w:pPr>
            <w:r w:rsidRPr="00BB5133">
              <w:rPr>
                <w:rFonts w:ascii="Calibri Light" w:hAnsi="Calibri Light" w:cs="Calibri Light"/>
                <w:b/>
                <w:color w:val="000000"/>
                <w:sz w:val="18"/>
                <w:szCs w:val="18"/>
                <w:lang w:val="es-CR"/>
              </w:rPr>
              <w:t>Próximas Etapas</w:t>
            </w:r>
          </w:p>
        </w:tc>
        <w:tc>
          <w:tcPr>
            <w:tcW w:w="992" w:type="dxa"/>
            <w:shd w:val="clear" w:color="auto" w:fill="ACB9CA" w:themeFill="text2" w:themeFillTint="66"/>
            <w:vAlign w:val="center"/>
          </w:tcPr>
          <w:p w14:paraId="28C78581" w14:textId="77777777" w:rsidR="0078380F" w:rsidRPr="00BB5133" w:rsidRDefault="0078380F" w:rsidP="00C35D96">
            <w:pPr>
              <w:spacing w:line="240" w:lineRule="auto"/>
              <w:jc w:val="center"/>
              <w:rPr>
                <w:rFonts w:ascii="Calibri Light" w:hAnsi="Calibri Light" w:cs="Calibri Light"/>
                <w:b/>
                <w:color w:val="000000"/>
                <w:sz w:val="18"/>
                <w:szCs w:val="18"/>
                <w:lang w:val="es-CR"/>
              </w:rPr>
            </w:pPr>
            <w:r w:rsidRPr="00BB5133">
              <w:rPr>
                <w:rFonts w:ascii="Calibri Light" w:hAnsi="Calibri Light" w:cs="Calibri Light"/>
                <w:b/>
                <w:color w:val="000000"/>
                <w:sz w:val="18"/>
                <w:szCs w:val="18"/>
                <w:lang w:val="es-CR"/>
              </w:rPr>
              <w:t>Avance (Realizado/ Planificado)</w:t>
            </w:r>
          </w:p>
        </w:tc>
        <w:tc>
          <w:tcPr>
            <w:tcW w:w="1659" w:type="dxa"/>
            <w:shd w:val="clear" w:color="auto" w:fill="ACB9CA" w:themeFill="text2" w:themeFillTint="66"/>
            <w:vAlign w:val="center"/>
          </w:tcPr>
          <w:p w14:paraId="09596867" w14:textId="77777777" w:rsidR="0078380F" w:rsidRPr="00BB5133" w:rsidRDefault="0078380F" w:rsidP="00C35D96">
            <w:pPr>
              <w:spacing w:line="240" w:lineRule="auto"/>
              <w:jc w:val="center"/>
              <w:rPr>
                <w:rFonts w:ascii="Calibri Light" w:hAnsi="Calibri Light" w:cs="Calibri Light"/>
                <w:b/>
                <w:color w:val="000000"/>
                <w:sz w:val="18"/>
                <w:szCs w:val="18"/>
                <w:lang w:val="es-CR"/>
              </w:rPr>
            </w:pPr>
            <w:r w:rsidRPr="00BB5133">
              <w:rPr>
                <w:rFonts w:ascii="Calibri Light" w:hAnsi="Calibri Light" w:cs="Calibri Light"/>
                <w:b/>
                <w:color w:val="000000"/>
                <w:sz w:val="18"/>
                <w:szCs w:val="18"/>
                <w:lang w:val="es-CR"/>
              </w:rPr>
              <w:t>Observaciones</w:t>
            </w:r>
          </w:p>
        </w:tc>
      </w:tr>
      <w:tr w:rsidR="0078380F" w:rsidRPr="00612375" w14:paraId="564A2790" w14:textId="77777777" w:rsidTr="00C35D96">
        <w:trPr>
          <w:trHeight w:val="300"/>
          <w:jc w:val="center"/>
        </w:trPr>
        <w:tc>
          <w:tcPr>
            <w:tcW w:w="1555" w:type="dxa"/>
            <w:vAlign w:val="center"/>
          </w:tcPr>
          <w:p w14:paraId="14231135" w14:textId="77777777" w:rsidR="0078380F" w:rsidRPr="00BB5133" w:rsidRDefault="0078380F" w:rsidP="00C35D96">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No estratégico</w:t>
            </w:r>
          </w:p>
        </w:tc>
        <w:tc>
          <w:tcPr>
            <w:tcW w:w="1311" w:type="dxa"/>
            <w:shd w:val="clear" w:color="auto" w:fill="auto"/>
            <w:noWrap/>
            <w:vAlign w:val="center"/>
            <w:hideMark/>
          </w:tcPr>
          <w:p w14:paraId="2057EB0F" w14:textId="77777777" w:rsidR="0078380F" w:rsidRPr="00BB5133" w:rsidRDefault="0078380F" w:rsidP="00C35D96">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 xml:space="preserve">Reglamento de Autorizaciones </w:t>
            </w:r>
          </w:p>
        </w:tc>
        <w:tc>
          <w:tcPr>
            <w:tcW w:w="1699" w:type="dxa"/>
            <w:vAlign w:val="center"/>
          </w:tcPr>
          <w:p w14:paraId="67E158E4" w14:textId="77777777" w:rsidR="0078380F" w:rsidRPr="00BB5133" w:rsidRDefault="0078380F" w:rsidP="00C35D96">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Brindar un marco regulatorio claro y congruente sobre los productos que pueden ofrecer las operadoras a los afiliados que requieran la aprobación del supervisor.</w:t>
            </w:r>
          </w:p>
        </w:tc>
        <w:tc>
          <w:tcPr>
            <w:tcW w:w="709" w:type="dxa"/>
            <w:vAlign w:val="center"/>
          </w:tcPr>
          <w:p w14:paraId="4B1C16BE"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2013</w:t>
            </w:r>
          </w:p>
        </w:tc>
        <w:tc>
          <w:tcPr>
            <w:tcW w:w="992" w:type="dxa"/>
            <w:vAlign w:val="center"/>
          </w:tcPr>
          <w:p w14:paraId="0FA150CA"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1321" w:type="dxa"/>
            <w:vAlign w:val="center"/>
          </w:tcPr>
          <w:p w14:paraId="3AA52016" w14:textId="77777777" w:rsidR="0078380F" w:rsidRPr="00BB5133" w:rsidRDefault="0078380F" w:rsidP="00C35D96">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Cuarto Trimestre 2020</w:t>
            </w:r>
          </w:p>
          <w:p w14:paraId="6BCCC980" w14:textId="77777777" w:rsidR="0078380F" w:rsidRPr="00BB5133" w:rsidRDefault="0078380F" w:rsidP="00C35D96">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 xml:space="preserve">-Presentación al CONASSIF de la propuesta de Reglamento de Autorizaciones y reformas reglamentarias sobre los productos y servicios que pueden ofrecer </w:t>
            </w:r>
          </w:p>
        </w:tc>
        <w:tc>
          <w:tcPr>
            <w:tcW w:w="992" w:type="dxa"/>
            <w:vAlign w:val="center"/>
          </w:tcPr>
          <w:p w14:paraId="2A5B27B7" w14:textId="77777777" w:rsidR="0078380F" w:rsidRPr="00BB5133" w:rsidRDefault="0078380F" w:rsidP="00C35D96">
            <w:pPr>
              <w:spacing w:line="240" w:lineRule="auto"/>
              <w:jc w:val="center"/>
              <w:rPr>
                <w:rFonts w:ascii="Calibri Light" w:hAnsi="Calibri Light" w:cs="Calibri Light"/>
                <w:b/>
                <w:bCs/>
                <w:sz w:val="18"/>
                <w:szCs w:val="18"/>
                <w:lang w:val="es-CR"/>
              </w:rPr>
            </w:pPr>
            <w:r w:rsidRPr="00BB5133">
              <w:rPr>
                <w:rFonts w:ascii="Calibri Light" w:hAnsi="Calibri Light" w:cs="Calibri Light"/>
                <w:b/>
                <w:bCs/>
                <w:sz w:val="18"/>
                <w:szCs w:val="18"/>
                <w:lang w:val="es-CR"/>
              </w:rPr>
              <w:t>80</w:t>
            </w:r>
          </w:p>
        </w:tc>
        <w:tc>
          <w:tcPr>
            <w:tcW w:w="1659" w:type="dxa"/>
            <w:vAlign w:val="center"/>
          </w:tcPr>
          <w:p w14:paraId="060F66D5" w14:textId="77777777" w:rsidR="0078380F" w:rsidRPr="00BB5133" w:rsidRDefault="0078380F" w:rsidP="00C35D96">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En Ejecución:</w:t>
            </w:r>
          </w:p>
          <w:p w14:paraId="17E8BA92" w14:textId="77777777" w:rsidR="0078380F" w:rsidRPr="00BB5133" w:rsidRDefault="0078380F" w:rsidP="00C35D96">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El Consejo Nacional de Supervisión del Sistema de Pensiones aprobó el 21 de diciembre de 2020 el Reglamento en cuestión. A la fecha está pendiente la formalización de los acuerdos del superintendente relacionados al nuevo reglamento</w:t>
            </w:r>
          </w:p>
        </w:tc>
      </w:tr>
      <w:tr w:rsidR="0078380F" w:rsidRPr="00612375" w14:paraId="4DDAEDFC" w14:textId="77777777" w:rsidTr="00C35D96">
        <w:trPr>
          <w:trHeight w:val="300"/>
          <w:jc w:val="center"/>
        </w:trPr>
        <w:tc>
          <w:tcPr>
            <w:tcW w:w="1555" w:type="dxa"/>
            <w:vAlign w:val="center"/>
          </w:tcPr>
          <w:p w14:paraId="75DCA5D0" w14:textId="77777777" w:rsidR="0078380F" w:rsidRPr="00BB5133" w:rsidRDefault="0078380F" w:rsidP="00C35D96">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No estratégico</w:t>
            </w:r>
          </w:p>
        </w:tc>
        <w:tc>
          <w:tcPr>
            <w:tcW w:w="1311" w:type="dxa"/>
            <w:shd w:val="clear" w:color="auto" w:fill="auto"/>
            <w:noWrap/>
            <w:vAlign w:val="center"/>
            <w:hideMark/>
          </w:tcPr>
          <w:p w14:paraId="2CD208FC" w14:textId="77777777" w:rsidR="0078380F" w:rsidRPr="00BB5133" w:rsidRDefault="0078380F" w:rsidP="00C35D96">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Reglamento de Disciplina de Mercado</w:t>
            </w:r>
          </w:p>
        </w:tc>
        <w:tc>
          <w:tcPr>
            <w:tcW w:w="1699" w:type="dxa"/>
          </w:tcPr>
          <w:p w14:paraId="10AF7F18" w14:textId="77777777" w:rsidR="0078380F" w:rsidRPr="00BB5133" w:rsidRDefault="0078380F" w:rsidP="00C35D96">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Elaborar un Reglamento de Disciplina de Mercado, que regule la relación entre los afiliados y pensionados, entidades supervisadas y la SUPEN, donde se establezca un marco para la  atención de consultas,  denuncias y quejas de los afiliados, indique la regulación, definición y alcance de la publicidad, comunicación e información (incluido el cálculo de los rendimientos) dirigida al afiliado y pensionado,  que plantee  el accionar de los agentes promotores como asesores de los afiliados y pensionados</w:t>
            </w:r>
          </w:p>
        </w:tc>
        <w:tc>
          <w:tcPr>
            <w:tcW w:w="709" w:type="dxa"/>
            <w:vAlign w:val="center"/>
          </w:tcPr>
          <w:p w14:paraId="37AB8380"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2013</w:t>
            </w:r>
          </w:p>
        </w:tc>
        <w:tc>
          <w:tcPr>
            <w:tcW w:w="992" w:type="dxa"/>
            <w:vAlign w:val="center"/>
          </w:tcPr>
          <w:p w14:paraId="49E09FCA"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No Aplica</w:t>
            </w:r>
          </w:p>
        </w:tc>
        <w:tc>
          <w:tcPr>
            <w:tcW w:w="1321" w:type="dxa"/>
            <w:vAlign w:val="center"/>
          </w:tcPr>
          <w:p w14:paraId="495EDD80" w14:textId="77777777" w:rsidR="0078380F" w:rsidRPr="00BB5133" w:rsidRDefault="0078380F" w:rsidP="00C35D96">
            <w:pPr>
              <w:spacing w:line="240" w:lineRule="auto"/>
              <w:rPr>
                <w:rFonts w:ascii="Calibri Light" w:hAnsi="Calibri Light" w:cs="Calibri Light"/>
                <w:sz w:val="18"/>
                <w:szCs w:val="18"/>
                <w:lang w:val="es-CR"/>
              </w:rPr>
            </w:pPr>
          </w:p>
        </w:tc>
        <w:tc>
          <w:tcPr>
            <w:tcW w:w="992" w:type="dxa"/>
            <w:vAlign w:val="center"/>
          </w:tcPr>
          <w:p w14:paraId="57645E86" w14:textId="77777777" w:rsidR="0078380F" w:rsidRPr="00BB5133" w:rsidRDefault="0078380F" w:rsidP="00C35D96">
            <w:pPr>
              <w:spacing w:line="240" w:lineRule="auto"/>
              <w:jc w:val="center"/>
              <w:rPr>
                <w:rFonts w:ascii="Calibri Light" w:hAnsi="Calibri Light" w:cs="Calibri Light"/>
                <w:b/>
                <w:sz w:val="18"/>
                <w:szCs w:val="18"/>
                <w:lang w:val="es-CR"/>
              </w:rPr>
            </w:pPr>
          </w:p>
        </w:tc>
        <w:tc>
          <w:tcPr>
            <w:tcW w:w="1659" w:type="dxa"/>
            <w:vAlign w:val="center"/>
          </w:tcPr>
          <w:p w14:paraId="408B3184" w14:textId="77777777" w:rsidR="0078380F" w:rsidRPr="00BB5133" w:rsidRDefault="0078380F" w:rsidP="00C35D96">
            <w:pPr>
              <w:spacing w:line="240" w:lineRule="auto"/>
              <w:jc w:val="left"/>
              <w:rPr>
                <w:rFonts w:ascii="Calibri Light" w:hAnsi="Calibri Light" w:cs="Calibri Light"/>
                <w:b/>
                <w:sz w:val="18"/>
                <w:szCs w:val="18"/>
                <w:lang w:val="es-CR"/>
              </w:rPr>
            </w:pPr>
            <w:r w:rsidRPr="00BB5133">
              <w:rPr>
                <w:rFonts w:ascii="Calibri Light" w:hAnsi="Calibri Light" w:cs="Calibri Light"/>
                <w:b/>
                <w:sz w:val="18"/>
                <w:szCs w:val="18"/>
                <w:lang w:val="es-CR"/>
              </w:rPr>
              <w:t>Eliminado del Portafolio.</w:t>
            </w:r>
          </w:p>
          <w:p w14:paraId="36F771F1" w14:textId="77777777" w:rsidR="0078380F" w:rsidRPr="00BB5133" w:rsidRDefault="0078380F" w:rsidP="00C35D96">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El CE en su sesión de ajuste táctico de julio 2020 decidió cerrar el proyecto de disciplina de mercado. en su lugar se estarán incluyendo actividades micro que atiendan temas prioritarios (estados de cuenta, página web, estrategia de comunicación, etc.)</w:t>
            </w:r>
          </w:p>
        </w:tc>
      </w:tr>
      <w:tr w:rsidR="0078380F" w:rsidRPr="00612375" w14:paraId="73DAD900" w14:textId="77777777" w:rsidTr="00C35D96">
        <w:trPr>
          <w:trHeight w:val="300"/>
          <w:jc w:val="center"/>
        </w:trPr>
        <w:tc>
          <w:tcPr>
            <w:tcW w:w="1555" w:type="dxa"/>
            <w:vAlign w:val="center"/>
          </w:tcPr>
          <w:p w14:paraId="62E8C8AB" w14:textId="77777777" w:rsidR="0078380F" w:rsidRPr="00BB5133" w:rsidRDefault="0078380F" w:rsidP="00C35D96">
            <w:pPr>
              <w:spacing w:line="240" w:lineRule="auto"/>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lastRenderedPageBreak/>
              <w:t>SUPEN</w:t>
            </w:r>
          </w:p>
          <w:p w14:paraId="17672615" w14:textId="77777777" w:rsidR="0078380F" w:rsidRPr="00BB5133" w:rsidRDefault="0078380F" w:rsidP="00C35D96">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Fortalecer el Sistema de Pensiones mediante un marco jurídico que promueva una mayor cobertura y protección para los afiliados y pensionados.</w:t>
            </w:r>
          </w:p>
          <w:p w14:paraId="6B2CC4EC" w14:textId="77777777" w:rsidR="0078380F" w:rsidRPr="00BB5133" w:rsidRDefault="0078380F" w:rsidP="00C35D96">
            <w:pPr>
              <w:spacing w:line="240" w:lineRule="auto"/>
              <w:jc w:val="left"/>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CONASSIF</w:t>
            </w:r>
          </w:p>
          <w:p w14:paraId="2F8B9503" w14:textId="77777777" w:rsidR="0078380F" w:rsidRPr="00BB5133" w:rsidRDefault="0078380F" w:rsidP="00C35D96">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Establecer la regulación y supervisión que coadyuve a la estabilidad y solvencia del sistema financiero.</w:t>
            </w:r>
          </w:p>
        </w:tc>
        <w:tc>
          <w:tcPr>
            <w:tcW w:w="1311" w:type="dxa"/>
            <w:shd w:val="clear" w:color="auto" w:fill="auto"/>
            <w:noWrap/>
            <w:vAlign w:val="center"/>
          </w:tcPr>
          <w:p w14:paraId="18E0508F" w14:textId="77777777" w:rsidR="0078380F" w:rsidRPr="00BB5133" w:rsidRDefault="0078380F" w:rsidP="00C35D96">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Revisión de Normativa (Digesto)</w:t>
            </w:r>
          </w:p>
        </w:tc>
        <w:tc>
          <w:tcPr>
            <w:tcW w:w="1699" w:type="dxa"/>
            <w:vAlign w:val="center"/>
          </w:tcPr>
          <w:p w14:paraId="707F47D3" w14:textId="77777777" w:rsidR="0078380F" w:rsidRPr="00BB5133" w:rsidRDefault="0078380F" w:rsidP="00C35D96">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Mantener alineado el marco regulatorio del Sistema Nacional de Pensiones a los intereses de la organización.</w:t>
            </w:r>
          </w:p>
        </w:tc>
        <w:tc>
          <w:tcPr>
            <w:tcW w:w="709" w:type="dxa"/>
            <w:vAlign w:val="center"/>
          </w:tcPr>
          <w:p w14:paraId="5DF36D99"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2019</w:t>
            </w:r>
          </w:p>
        </w:tc>
        <w:tc>
          <w:tcPr>
            <w:tcW w:w="992" w:type="dxa"/>
            <w:vAlign w:val="center"/>
          </w:tcPr>
          <w:p w14:paraId="5EC081D6"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2023</w:t>
            </w:r>
          </w:p>
        </w:tc>
        <w:tc>
          <w:tcPr>
            <w:tcW w:w="1321" w:type="dxa"/>
            <w:vAlign w:val="center"/>
          </w:tcPr>
          <w:p w14:paraId="1A41E73B" w14:textId="77777777" w:rsidR="0078380F" w:rsidRPr="00BB5133" w:rsidRDefault="0078380F" w:rsidP="00C35D96">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Según Cronograma de revisión de normativa</w:t>
            </w:r>
          </w:p>
        </w:tc>
        <w:tc>
          <w:tcPr>
            <w:tcW w:w="992" w:type="dxa"/>
            <w:vAlign w:val="center"/>
          </w:tcPr>
          <w:p w14:paraId="6D5078E7" w14:textId="77777777" w:rsidR="0078380F" w:rsidRPr="00964879" w:rsidRDefault="0078380F" w:rsidP="00C35D96">
            <w:pPr>
              <w:spacing w:line="240" w:lineRule="auto"/>
              <w:jc w:val="center"/>
              <w:rPr>
                <w:rFonts w:ascii="Calibri Light" w:hAnsi="Calibri Light" w:cs="Calibri Light"/>
                <w:b/>
                <w:bCs/>
                <w:sz w:val="18"/>
                <w:szCs w:val="18"/>
                <w:lang w:val="es-CR"/>
              </w:rPr>
            </w:pPr>
            <w:r w:rsidRPr="00964879">
              <w:rPr>
                <w:rFonts w:ascii="Calibri Light" w:hAnsi="Calibri Light" w:cs="Calibri Light"/>
                <w:b/>
                <w:bCs/>
                <w:sz w:val="18"/>
                <w:szCs w:val="18"/>
                <w:lang w:val="es-CR"/>
              </w:rPr>
              <w:t>93</w:t>
            </w:r>
          </w:p>
        </w:tc>
        <w:tc>
          <w:tcPr>
            <w:tcW w:w="1659" w:type="dxa"/>
            <w:vAlign w:val="center"/>
          </w:tcPr>
          <w:p w14:paraId="433B3825" w14:textId="77777777" w:rsidR="0078380F" w:rsidRPr="00BB5133" w:rsidRDefault="0078380F" w:rsidP="00C35D96">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En Ejecución</w:t>
            </w:r>
          </w:p>
          <w:p w14:paraId="51E5B197" w14:textId="77777777" w:rsidR="0078380F" w:rsidRPr="00BB5133" w:rsidRDefault="0078380F" w:rsidP="00C35D96">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El Proyecto marcha según el cronograma aprobado, únicamente se presenta un atraso de un mes en la revisión del Reglamento de Riesgo el cual está siendo subsanado para no comprometer la fecha final de las entregas.</w:t>
            </w:r>
          </w:p>
        </w:tc>
      </w:tr>
      <w:tr w:rsidR="0078380F" w:rsidRPr="00612375" w14:paraId="08E38EC6" w14:textId="77777777" w:rsidTr="00C35D96">
        <w:trPr>
          <w:trHeight w:val="300"/>
          <w:jc w:val="center"/>
        </w:trPr>
        <w:tc>
          <w:tcPr>
            <w:tcW w:w="1555" w:type="dxa"/>
            <w:vAlign w:val="center"/>
          </w:tcPr>
          <w:p w14:paraId="2DC3CB77" w14:textId="77777777" w:rsidR="0078380F" w:rsidRPr="00BB5133" w:rsidRDefault="0078380F" w:rsidP="00C35D96">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Proyecto No</w:t>
            </w:r>
          </w:p>
          <w:p w14:paraId="4B614E73" w14:textId="77777777" w:rsidR="0078380F" w:rsidRPr="00BB5133" w:rsidRDefault="0078380F" w:rsidP="00C35D96">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Estratégico</w:t>
            </w:r>
          </w:p>
        </w:tc>
        <w:tc>
          <w:tcPr>
            <w:tcW w:w="1311" w:type="dxa"/>
            <w:shd w:val="clear" w:color="auto" w:fill="auto"/>
            <w:noWrap/>
            <w:vAlign w:val="center"/>
          </w:tcPr>
          <w:p w14:paraId="6F0B70C9" w14:textId="77777777" w:rsidR="0078380F" w:rsidRPr="00BB5133" w:rsidRDefault="0078380F" w:rsidP="00C35D96">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Corrección de Imputaciones</w:t>
            </w:r>
          </w:p>
        </w:tc>
        <w:tc>
          <w:tcPr>
            <w:tcW w:w="1699" w:type="dxa"/>
            <w:vAlign w:val="center"/>
          </w:tcPr>
          <w:p w14:paraId="24F2B526" w14:textId="77777777" w:rsidR="0078380F" w:rsidRPr="00BB5133" w:rsidRDefault="0078380F" w:rsidP="00C35D96">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Mejorar la regulación y optimizar los procesos de corrección de imputaciones en la cuenta individual de los trabajadores</w:t>
            </w:r>
          </w:p>
        </w:tc>
        <w:tc>
          <w:tcPr>
            <w:tcW w:w="709" w:type="dxa"/>
            <w:vAlign w:val="center"/>
          </w:tcPr>
          <w:p w14:paraId="0E1C3C76"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2019</w:t>
            </w:r>
          </w:p>
        </w:tc>
        <w:tc>
          <w:tcPr>
            <w:tcW w:w="992" w:type="dxa"/>
            <w:vAlign w:val="center"/>
          </w:tcPr>
          <w:p w14:paraId="6C48438C"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1321" w:type="dxa"/>
            <w:vAlign w:val="center"/>
          </w:tcPr>
          <w:p w14:paraId="2B54330B" w14:textId="77777777" w:rsidR="0078380F" w:rsidRPr="00BB5133" w:rsidRDefault="0078380F" w:rsidP="00C35D96">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Primer Trimestre 2021</w:t>
            </w:r>
          </w:p>
          <w:p w14:paraId="5836F719" w14:textId="77777777" w:rsidR="0078380F" w:rsidRPr="00BB5133" w:rsidRDefault="0078380F" w:rsidP="00C35D96">
            <w:pPr>
              <w:spacing w:line="240" w:lineRule="auto"/>
              <w:rPr>
                <w:rFonts w:ascii="Calibri Light" w:hAnsi="Calibri Light" w:cs="Calibri Light"/>
                <w:b/>
                <w:sz w:val="18"/>
                <w:szCs w:val="18"/>
                <w:lang w:val="es-CR"/>
              </w:rPr>
            </w:pPr>
            <w:r w:rsidRPr="00BB5133">
              <w:rPr>
                <w:rFonts w:ascii="Calibri Light" w:hAnsi="Calibri Light" w:cs="Calibri Light"/>
                <w:sz w:val="18"/>
                <w:szCs w:val="18"/>
                <w:lang w:val="es-CR"/>
              </w:rPr>
              <w:t>Consulta al medio</w:t>
            </w:r>
          </w:p>
        </w:tc>
        <w:tc>
          <w:tcPr>
            <w:tcW w:w="992" w:type="dxa"/>
            <w:vAlign w:val="center"/>
          </w:tcPr>
          <w:p w14:paraId="4FB26C92" w14:textId="77777777" w:rsidR="0078380F" w:rsidRPr="00964879" w:rsidRDefault="0078380F" w:rsidP="00C35D96">
            <w:pPr>
              <w:spacing w:line="240" w:lineRule="auto"/>
              <w:jc w:val="center"/>
              <w:rPr>
                <w:rFonts w:ascii="Calibri Light" w:hAnsi="Calibri Light" w:cs="Calibri Light"/>
                <w:b/>
                <w:bCs/>
                <w:sz w:val="18"/>
                <w:szCs w:val="18"/>
                <w:lang w:val="es-CR"/>
              </w:rPr>
            </w:pPr>
            <w:r w:rsidRPr="00964879">
              <w:rPr>
                <w:rFonts w:ascii="Calibri Light" w:hAnsi="Calibri Light" w:cs="Calibri Light"/>
                <w:b/>
                <w:bCs/>
                <w:sz w:val="18"/>
                <w:szCs w:val="18"/>
                <w:lang w:val="es-CR"/>
              </w:rPr>
              <w:t>80</w:t>
            </w:r>
          </w:p>
        </w:tc>
        <w:tc>
          <w:tcPr>
            <w:tcW w:w="1659" w:type="dxa"/>
            <w:vAlign w:val="center"/>
          </w:tcPr>
          <w:p w14:paraId="0AFC0BDD" w14:textId="77777777" w:rsidR="0078380F" w:rsidRPr="00BB5133" w:rsidRDefault="0078380F" w:rsidP="00C35D96">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En Ejecución</w:t>
            </w:r>
          </w:p>
          <w:p w14:paraId="025FC334" w14:textId="77777777" w:rsidR="0078380F" w:rsidRPr="00BB5133" w:rsidRDefault="0078380F" w:rsidP="00C35D96">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Las Entidades Supervisadas, dado lo requerimientos técnicos de para los procesos de Tecnologías de Información, han pedido una ampliación de plazo en la etapa de pruebas, con lo cual la fecha de finalización del proyecto se está posponiendo para inicios del 2021.</w:t>
            </w:r>
          </w:p>
          <w:p w14:paraId="2ED051EC" w14:textId="77777777" w:rsidR="0078380F" w:rsidRPr="00BB5133" w:rsidRDefault="0078380F" w:rsidP="00C35D96">
            <w:pPr>
              <w:spacing w:line="240" w:lineRule="auto"/>
              <w:rPr>
                <w:rFonts w:ascii="Calibri Light" w:hAnsi="Calibri Light" w:cs="Calibri Light"/>
                <w:sz w:val="18"/>
                <w:szCs w:val="18"/>
                <w:lang w:val="es-CR"/>
              </w:rPr>
            </w:pPr>
          </w:p>
        </w:tc>
      </w:tr>
      <w:tr w:rsidR="0078380F" w:rsidRPr="00612375" w14:paraId="74D0BE9E" w14:textId="77777777" w:rsidTr="00C35D96">
        <w:trPr>
          <w:trHeight w:val="300"/>
          <w:jc w:val="center"/>
        </w:trPr>
        <w:tc>
          <w:tcPr>
            <w:tcW w:w="1555" w:type="dxa"/>
            <w:vAlign w:val="center"/>
          </w:tcPr>
          <w:p w14:paraId="1CE909B7" w14:textId="77777777" w:rsidR="0078380F" w:rsidRPr="00BB5133" w:rsidRDefault="0078380F" w:rsidP="00C35D96">
            <w:pPr>
              <w:spacing w:line="240" w:lineRule="auto"/>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SUPEN</w:t>
            </w:r>
          </w:p>
          <w:p w14:paraId="33266568" w14:textId="77777777" w:rsidR="0078380F" w:rsidRPr="00BB5133" w:rsidRDefault="0078380F" w:rsidP="00C35D96">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Vigilar la gestión de los participantes del SNP, mediante un modelo de supervisión basado en riesgos, para proteger los intereses de los afiliados y pensionados</w:t>
            </w:r>
          </w:p>
          <w:p w14:paraId="630D1BE6" w14:textId="77777777" w:rsidR="0078380F" w:rsidRPr="00BB5133" w:rsidRDefault="0078380F" w:rsidP="00C35D96">
            <w:pPr>
              <w:spacing w:line="240" w:lineRule="auto"/>
              <w:jc w:val="left"/>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CONASSIF</w:t>
            </w:r>
          </w:p>
          <w:p w14:paraId="08F42D96" w14:textId="77777777" w:rsidR="0078380F" w:rsidRPr="00BB5133" w:rsidRDefault="0078380F" w:rsidP="00C35D96">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 xml:space="preserve">Establecer la regulación y supervisión que coadyuve a la estabilidad y </w:t>
            </w:r>
            <w:r w:rsidRPr="00BB5133">
              <w:rPr>
                <w:rFonts w:ascii="Calibri Light" w:hAnsi="Calibri Light" w:cs="Calibri Light"/>
                <w:color w:val="000000"/>
                <w:sz w:val="18"/>
                <w:szCs w:val="18"/>
                <w:lang w:val="es-CR"/>
              </w:rPr>
              <w:lastRenderedPageBreak/>
              <w:t>solvencia del sistema financiero.</w:t>
            </w:r>
          </w:p>
        </w:tc>
        <w:tc>
          <w:tcPr>
            <w:tcW w:w="1311" w:type="dxa"/>
            <w:shd w:val="clear" w:color="auto" w:fill="auto"/>
            <w:noWrap/>
            <w:vAlign w:val="center"/>
          </w:tcPr>
          <w:p w14:paraId="1A857D9B" w14:textId="77777777" w:rsidR="0078380F" w:rsidRPr="00BB5133" w:rsidRDefault="0078380F" w:rsidP="00C35D96">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lastRenderedPageBreak/>
              <w:t>Sistema de Créditos</w:t>
            </w:r>
          </w:p>
        </w:tc>
        <w:tc>
          <w:tcPr>
            <w:tcW w:w="1699" w:type="dxa"/>
            <w:vAlign w:val="center"/>
          </w:tcPr>
          <w:p w14:paraId="0E3059EF" w14:textId="77777777" w:rsidR="0078380F" w:rsidRPr="00BB5133" w:rsidRDefault="0078380F" w:rsidP="00C35D96">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Desarrollar un sistema de información para la captura, procesamiento y generación de indicadores para las carteras de crédito de los fondos supervisados por la división de Regímenes Colectivos.</w:t>
            </w:r>
          </w:p>
        </w:tc>
        <w:tc>
          <w:tcPr>
            <w:tcW w:w="709" w:type="dxa"/>
            <w:vAlign w:val="center"/>
          </w:tcPr>
          <w:p w14:paraId="6FF6E942"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992" w:type="dxa"/>
            <w:vAlign w:val="center"/>
          </w:tcPr>
          <w:p w14:paraId="6E5F7518"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1321" w:type="dxa"/>
            <w:vAlign w:val="center"/>
          </w:tcPr>
          <w:p w14:paraId="5F1C1E1E" w14:textId="77777777" w:rsidR="0078380F" w:rsidRPr="00BB5133" w:rsidRDefault="0078380F" w:rsidP="00C35D96">
            <w:pPr>
              <w:spacing w:line="240" w:lineRule="auto"/>
              <w:jc w:val="left"/>
              <w:rPr>
                <w:rFonts w:ascii="Calibri Light" w:hAnsi="Calibri Light" w:cs="Calibri Light"/>
                <w:b/>
                <w:sz w:val="18"/>
                <w:szCs w:val="18"/>
                <w:lang w:val="es-CR"/>
              </w:rPr>
            </w:pPr>
            <w:r w:rsidRPr="00BB5133">
              <w:rPr>
                <w:rFonts w:ascii="Calibri Light" w:hAnsi="Calibri Light" w:cs="Calibri Light"/>
                <w:b/>
                <w:sz w:val="18"/>
                <w:szCs w:val="18"/>
                <w:lang w:val="es-CR"/>
              </w:rPr>
              <w:t>Segundo semestre del 2020</w:t>
            </w:r>
          </w:p>
          <w:p w14:paraId="54BC3D3D" w14:textId="77777777" w:rsidR="0078380F" w:rsidRPr="00BB5133" w:rsidRDefault="0078380F" w:rsidP="00C35D96">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Implementación del sistema</w:t>
            </w:r>
          </w:p>
        </w:tc>
        <w:tc>
          <w:tcPr>
            <w:tcW w:w="992" w:type="dxa"/>
            <w:vAlign w:val="center"/>
          </w:tcPr>
          <w:p w14:paraId="54862CEB" w14:textId="77777777" w:rsidR="0078380F" w:rsidRPr="00964879" w:rsidRDefault="0078380F" w:rsidP="00C35D96">
            <w:pPr>
              <w:spacing w:line="240" w:lineRule="auto"/>
              <w:jc w:val="center"/>
              <w:rPr>
                <w:rFonts w:ascii="Calibri Light" w:hAnsi="Calibri Light" w:cs="Calibri Light"/>
                <w:b/>
                <w:bCs/>
                <w:sz w:val="18"/>
                <w:szCs w:val="18"/>
                <w:lang w:val="es-CR"/>
              </w:rPr>
            </w:pPr>
            <w:r w:rsidRPr="00964879">
              <w:rPr>
                <w:rFonts w:ascii="Calibri Light" w:hAnsi="Calibri Light" w:cs="Calibri Light"/>
                <w:b/>
                <w:bCs/>
                <w:sz w:val="18"/>
                <w:szCs w:val="18"/>
                <w:lang w:val="es-CR"/>
              </w:rPr>
              <w:t>90</w:t>
            </w:r>
          </w:p>
        </w:tc>
        <w:tc>
          <w:tcPr>
            <w:tcW w:w="1659" w:type="dxa"/>
            <w:vAlign w:val="center"/>
          </w:tcPr>
          <w:p w14:paraId="3A761275" w14:textId="77777777" w:rsidR="0078380F" w:rsidRPr="00BB5133" w:rsidRDefault="0078380F" w:rsidP="00C35D96">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Finalizado</w:t>
            </w:r>
          </w:p>
          <w:p w14:paraId="5EAED93C" w14:textId="77777777" w:rsidR="0078380F" w:rsidRPr="00BB5133" w:rsidRDefault="0078380F" w:rsidP="00C35D96">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El Sistema de crédito y su respectiva regulación ha sido oficializada para que inicie en el año 2021.</w:t>
            </w:r>
          </w:p>
        </w:tc>
      </w:tr>
      <w:tr w:rsidR="0078380F" w:rsidRPr="00612375" w14:paraId="1094A435" w14:textId="77777777" w:rsidTr="00C35D96">
        <w:trPr>
          <w:trHeight w:val="300"/>
          <w:jc w:val="center"/>
        </w:trPr>
        <w:tc>
          <w:tcPr>
            <w:tcW w:w="1555" w:type="dxa"/>
            <w:vAlign w:val="center"/>
          </w:tcPr>
          <w:p w14:paraId="072D9BDA" w14:textId="77777777" w:rsidR="0078380F" w:rsidRPr="00BB5133" w:rsidRDefault="0078380F" w:rsidP="00C35D96">
            <w:pPr>
              <w:spacing w:line="240" w:lineRule="auto"/>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SUPEN</w:t>
            </w:r>
          </w:p>
          <w:p w14:paraId="7BC0B5C3" w14:textId="77777777" w:rsidR="0078380F" w:rsidRPr="00BB5133" w:rsidRDefault="0078380F" w:rsidP="00C35D96">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Vigilar la gestión de los participantes del SNP, mediante un modelo de supervisión basado en riesgos, para proteger los intereses de los afiliados y pensionados</w:t>
            </w:r>
          </w:p>
          <w:p w14:paraId="2B09E331" w14:textId="77777777" w:rsidR="0078380F" w:rsidRPr="00BB5133" w:rsidRDefault="0078380F" w:rsidP="00C35D96">
            <w:pPr>
              <w:spacing w:line="240" w:lineRule="auto"/>
              <w:jc w:val="left"/>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CONASSIF</w:t>
            </w:r>
          </w:p>
          <w:p w14:paraId="355D9143" w14:textId="77777777" w:rsidR="0078380F" w:rsidRPr="00BB5133" w:rsidRDefault="0078380F" w:rsidP="00C35D96">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Establecer la regulación y supervisión que coadyuve a la estabilidad y solvencia del sistema financiero</w:t>
            </w:r>
          </w:p>
        </w:tc>
        <w:tc>
          <w:tcPr>
            <w:tcW w:w="1311" w:type="dxa"/>
            <w:shd w:val="clear" w:color="auto" w:fill="auto"/>
            <w:noWrap/>
            <w:vAlign w:val="center"/>
          </w:tcPr>
          <w:p w14:paraId="619A9599" w14:textId="77777777" w:rsidR="0078380F" w:rsidRPr="00BB5133" w:rsidRDefault="0078380F" w:rsidP="00C35D96">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Sistema Manejo de Liquidez</w:t>
            </w:r>
          </w:p>
        </w:tc>
        <w:tc>
          <w:tcPr>
            <w:tcW w:w="1699" w:type="dxa"/>
            <w:vAlign w:val="center"/>
          </w:tcPr>
          <w:p w14:paraId="0269FBC2" w14:textId="77777777" w:rsidR="0078380F" w:rsidRPr="00BB5133" w:rsidRDefault="0078380F" w:rsidP="00C35D96">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Definir e implementar un módulo para la carga de información de los instrumentos para el manejo de liquidez.</w:t>
            </w:r>
          </w:p>
        </w:tc>
        <w:tc>
          <w:tcPr>
            <w:tcW w:w="709" w:type="dxa"/>
            <w:vAlign w:val="center"/>
          </w:tcPr>
          <w:p w14:paraId="36EBE78B"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992" w:type="dxa"/>
            <w:vAlign w:val="center"/>
          </w:tcPr>
          <w:p w14:paraId="131E7D78"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2021</w:t>
            </w:r>
          </w:p>
        </w:tc>
        <w:tc>
          <w:tcPr>
            <w:tcW w:w="1321" w:type="dxa"/>
            <w:vAlign w:val="center"/>
          </w:tcPr>
          <w:p w14:paraId="13C01107" w14:textId="77777777" w:rsidR="0078380F" w:rsidRPr="00BB5133" w:rsidRDefault="0078380F" w:rsidP="00C35D96">
            <w:pPr>
              <w:spacing w:line="240" w:lineRule="auto"/>
              <w:jc w:val="left"/>
              <w:rPr>
                <w:rFonts w:ascii="Calibri Light" w:hAnsi="Calibri Light" w:cs="Calibri Light"/>
                <w:b/>
                <w:sz w:val="18"/>
                <w:szCs w:val="18"/>
                <w:lang w:val="es-CR"/>
              </w:rPr>
            </w:pPr>
            <w:r w:rsidRPr="00BB5133">
              <w:rPr>
                <w:rFonts w:ascii="Calibri Light" w:hAnsi="Calibri Light" w:cs="Calibri Light"/>
                <w:b/>
                <w:sz w:val="18"/>
                <w:szCs w:val="18"/>
                <w:lang w:val="es-CR"/>
              </w:rPr>
              <w:t>Primer Semestre del 2021</w:t>
            </w:r>
          </w:p>
          <w:p w14:paraId="4A5A085E" w14:textId="77777777" w:rsidR="0078380F" w:rsidRPr="00BB5133" w:rsidRDefault="0078380F" w:rsidP="00C35D96">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Implementación del sistema</w:t>
            </w:r>
          </w:p>
        </w:tc>
        <w:tc>
          <w:tcPr>
            <w:tcW w:w="992" w:type="dxa"/>
            <w:vAlign w:val="center"/>
          </w:tcPr>
          <w:p w14:paraId="7AFFDB48" w14:textId="77777777" w:rsidR="0078380F" w:rsidRPr="00964879" w:rsidRDefault="0078380F" w:rsidP="00C35D96">
            <w:pPr>
              <w:spacing w:line="240" w:lineRule="auto"/>
              <w:jc w:val="center"/>
              <w:rPr>
                <w:rFonts w:ascii="Calibri Light" w:hAnsi="Calibri Light" w:cs="Calibri Light"/>
                <w:b/>
                <w:bCs/>
                <w:sz w:val="18"/>
                <w:szCs w:val="18"/>
                <w:lang w:val="es-CR"/>
              </w:rPr>
            </w:pPr>
            <w:r w:rsidRPr="00964879">
              <w:rPr>
                <w:rFonts w:ascii="Calibri Light" w:hAnsi="Calibri Light" w:cs="Calibri Light"/>
                <w:b/>
                <w:bCs/>
                <w:sz w:val="18"/>
                <w:szCs w:val="18"/>
                <w:lang w:val="es-CR"/>
              </w:rPr>
              <w:t>95</w:t>
            </w:r>
          </w:p>
        </w:tc>
        <w:tc>
          <w:tcPr>
            <w:tcW w:w="1659" w:type="dxa"/>
            <w:vAlign w:val="center"/>
          </w:tcPr>
          <w:p w14:paraId="448C50E4" w14:textId="77777777" w:rsidR="0078380F" w:rsidRPr="00BB5133" w:rsidRDefault="0078380F" w:rsidP="00C35D96">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En Ejecución</w:t>
            </w:r>
          </w:p>
          <w:p w14:paraId="56081EDB" w14:textId="77777777" w:rsidR="0078380F" w:rsidRPr="00BB5133" w:rsidRDefault="0078380F" w:rsidP="00C35D96">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Está pendiente la programación de las estructuras de datos que manejarán los flujos de información hacia el supervisor</w:t>
            </w:r>
          </w:p>
        </w:tc>
      </w:tr>
      <w:tr w:rsidR="0078380F" w:rsidRPr="00612375" w14:paraId="5830B3EB" w14:textId="77777777" w:rsidTr="00C35D96">
        <w:trPr>
          <w:trHeight w:val="300"/>
          <w:jc w:val="center"/>
        </w:trPr>
        <w:tc>
          <w:tcPr>
            <w:tcW w:w="1555" w:type="dxa"/>
            <w:vAlign w:val="center"/>
          </w:tcPr>
          <w:p w14:paraId="316C4744" w14:textId="77777777" w:rsidR="0078380F" w:rsidRPr="00BB5133" w:rsidRDefault="0078380F" w:rsidP="00C35D96">
            <w:pPr>
              <w:spacing w:line="240" w:lineRule="auto"/>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SUPEN</w:t>
            </w:r>
          </w:p>
          <w:p w14:paraId="21F6D685" w14:textId="77777777" w:rsidR="0078380F" w:rsidRPr="00BB5133" w:rsidRDefault="0078380F" w:rsidP="00C35D96">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Vigilar la gestión de los participantes del SNP, mediante un modelo de supervisión basado en riesgos, para proteger los intereses de los afiliados y pensionados</w:t>
            </w:r>
          </w:p>
          <w:p w14:paraId="1590657D" w14:textId="77777777" w:rsidR="0078380F" w:rsidRPr="00BB5133" w:rsidRDefault="0078380F" w:rsidP="00C35D96">
            <w:pPr>
              <w:spacing w:line="240" w:lineRule="auto"/>
              <w:jc w:val="left"/>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CONASSIF</w:t>
            </w:r>
          </w:p>
          <w:p w14:paraId="5F923696" w14:textId="77777777" w:rsidR="0078380F" w:rsidRPr="00BB5133" w:rsidRDefault="0078380F" w:rsidP="00C35D96">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Establecer la regulación y supervisión que coadyuve a la estabilidad y solvencia del sistema financiero</w:t>
            </w:r>
          </w:p>
        </w:tc>
        <w:tc>
          <w:tcPr>
            <w:tcW w:w="1311" w:type="dxa"/>
            <w:shd w:val="clear" w:color="auto" w:fill="auto"/>
            <w:noWrap/>
            <w:vAlign w:val="center"/>
          </w:tcPr>
          <w:p w14:paraId="074511F4" w14:textId="77777777" w:rsidR="0078380F" w:rsidRPr="00BB5133" w:rsidRDefault="0078380F" w:rsidP="00C35D96">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Fondos Generacionales</w:t>
            </w:r>
          </w:p>
          <w:p w14:paraId="7FCE81F9" w14:textId="77777777" w:rsidR="0078380F" w:rsidRPr="00BB5133" w:rsidRDefault="0078380F" w:rsidP="00C35D96">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w:t>
            </w:r>
            <w:proofErr w:type="spellStart"/>
            <w:r w:rsidRPr="00BB5133">
              <w:rPr>
                <w:rFonts w:ascii="Calibri Light" w:hAnsi="Calibri Light" w:cs="Calibri Light"/>
                <w:color w:val="000000"/>
                <w:sz w:val="18"/>
                <w:szCs w:val="18"/>
                <w:lang w:val="es-CR"/>
              </w:rPr>
              <w:t>Multifondos</w:t>
            </w:r>
            <w:proofErr w:type="spellEnd"/>
            <w:r w:rsidRPr="00BB5133">
              <w:rPr>
                <w:rFonts w:ascii="Calibri Light" w:hAnsi="Calibri Light" w:cs="Calibri Light"/>
                <w:color w:val="000000"/>
                <w:sz w:val="18"/>
                <w:szCs w:val="18"/>
                <w:lang w:val="es-CR"/>
              </w:rPr>
              <w:t>)</w:t>
            </w:r>
          </w:p>
        </w:tc>
        <w:tc>
          <w:tcPr>
            <w:tcW w:w="1699" w:type="dxa"/>
            <w:vAlign w:val="center"/>
          </w:tcPr>
          <w:p w14:paraId="305D2079" w14:textId="77777777" w:rsidR="0078380F" w:rsidRPr="00BB5133" w:rsidRDefault="0078380F" w:rsidP="00C35D96">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 xml:space="preserve">Generar un marco regulatorio para la gestión de los </w:t>
            </w:r>
            <w:proofErr w:type="spellStart"/>
            <w:r w:rsidRPr="00BB5133">
              <w:rPr>
                <w:rFonts w:ascii="Calibri Light" w:hAnsi="Calibri Light" w:cs="Calibri Light"/>
                <w:sz w:val="18"/>
                <w:szCs w:val="18"/>
                <w:lang w:val="es-CR"/>
              </w:rPr>
              <w:t>multifondos</w:t>
            </w:r>
            <w:proofErr w:type="spellEnd"/>
            <w:r w:rsidRPr="00BB5133">
              <w:rPr>
                <w:rFonts w:ascii="Calibri Light" w:hAnsi="Calibri Light" w:cs="Calibri Light"/>
                <w:sz w:val="18"/>
                <w:szCs w:val="18"/>
                <w:lang w:val="es-CR"/>
              </w:rPr>
              <w:t xml:space="preserve"> que, acorde con lo estipulado en leyes, las normas vigentes y en principios internacionales, permita a los entes supervisados realizar una sana administración de los recursos en beneficio de los afiliados.</w:t>
            </w:r>
          </w:p>
        </w:tc>
        <w:tc>
          <w:tcPr>
            <w:tcW w:w="709" w:type="dxa"/>
            <w:vAlign w:val="center"/>
          </w:tcPr>
          <w:p w14:paraId="7FB394E6"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2021</w:t>
            </w:r>
          </w:p>
        </w:tc>
        <w:tc>
          <w:tcPr>
            <w:tcW w:w="992" w:type="dxa"/>
            <w:vAlign w:val="center"/>
          </w:tcPr>
          <w:p w14:paraId="27643EAE"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2022</w:t>
            </w:r>
          </w:p>
        </w:tc>
        <w:tc>
          <w:tcPr>
            <w:tcW w:w="1321" w:type="dxa"/>
            <w:vAlign w:val="center"/>
          </w:tcPr>
          <w:p w14:paraId="4BC56E41" w14:textId="77777777" w:rsidR="0078380F" w:rsidRPr="00BB5133" w:rsidRDefault="0078380F" w:rsidP="00C35D96">
            <w:pPr>
              <w:spacing w:line="240" w:lineRule="auto"/>
              <w:jc w:val="left"/>
              <w:rPr>
                <w:rFonts w:ascii="Calibri Light" w:hAnsi="Calibri Light" w:cs="Calibri Light"/>
                <w:b/>
                <w:sz w:val="18"/>
                <w:szCs w:val="18"/>
                <w:lang w:val="es-CR"/>
              </w:rPr>
            </w:pPr>
            <w:r w:rsidRPr="00BB5133">
              <w:rPr>
                <w:rFonts w:ascii="Calibri Light" w:hAnsi="Calibri Light" w:cs="Calibri Light"/>
                <w:b/>
                <w:sz w:val="18"/>
                <w:szCs w:val="18"/>
                <w:lang w:val="es-CR"/>
              </w:rPr>
              <w:t>Primer Semestre del 2021</w:t>
            </w:r>
          </w:p>
          <w:p w14:paraId="702393AB" w14:textId="77777777" w:rsidR="0078380F" w:rsidRPr="00BB5133" w:rsidRDefault="0078380F" w:rsidP="00C35D96">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 xml:space="preserve">Realizar la propuesta del marco conceptual que tendrá el esquema </w:t>
            </w:r>
          </w:p>
        </w:tc>
        <w:tc>
          <w:tcPr>
            <w:tcW w:w="992" w:type="dxa"/>
            <w:vAlign w:val="center"/>
          </w:tcPr>
          <w:p w14:paraId="1FE50215" w14:textId="77777777" w:rsidR="0078380F" w:rsidRPr="00BB5133" w:rsidRDefault="0078380F" w:rsidP="00C35D96">
            <w:pPr>
              <w:spacing w:line="240" w:lineRule="auto"/>
              <w:jc w:val="left"/>
              <w:rPr>
                <w:rFonts w:ascii="Calibri Light" w:hAnsi="Calibri Light" w:cs="Calibri Light"/>
                <w:sz w:val="18"/>
                <w:szCs w:val="18"/>
                <w:lang w:val="es-CR"/>
              </w:rPr>
            </w:pPr>
          </w:p>
        </w:tc>
        <w:tc>
          <w:tcPr>
            <w:tcW w:w="1659" w:type="dxa"/>
            <w:vAlign w:val="center"/>
          </w:tcPr>
          <w:p w14:paraId="2F8D95F4" w14:textId="77777777" w:rsidR="0078380F" w:rsidRPr="00BB5133" w:rsidRDefault="0078380F" w:rsidP="00C35D96">
            <w:pPr>
              <w:spacing w:line="240" w:lineRule="auto"/>
              <w:jc w:val="left"/>
              <w:rPr>
                <w:rFonts w:ascii="Calibri Light" w:hAnsi="Calibri Light" w:cs="Calibri Light"/>
                <w:b/>
                <w:sz w:val="18"/>
                <w:szCs w:val="18"/>
                <w:lang w:val="es-CR"/>
              </w:rPr>
            </w:pPr>
            <w:r w:rsidRPr="00BB5133">
              <w:rPr>
                <w:rFonts w:ascii="Calibri Light" w:hAnsi="Calibri Light" w:cs="Calibri Light"/>
                <w:b/>
                <w:sz w:val="18"/>
                <w:szCs w:val="18"/>
                <w:lang w:val="es-CR"/>
              </w:rPr>
              <w:t>En Etapa de Planificación</w:t>
            </w:r>
          </w:p>
          <w:p w14:paraId="65BE7F90" w14:textId="77777777" w:rsidR="0078380F" w:rsidRPr="00BB5133" w:rsidRDefault="0078380F" w:rsidP="00C35D96">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Durante el 2020 se realizaron las investigaciones y consultas pertinentes a fin de establecer un diseño que se trabajará en el 2021</w:t>
            </w:r>
          </w:p>
        </w:tc>
      </w:tr>
      <w:tr w:rsidR="0078380F" w:rsidRPr="00612375" w14:paraId="43DD9CF1" w14:textId="77777777" w:rsidTr="00C35D96">
        <w:trPr>
          <w:trHeight w:val="300"/>
          <w:jc w:val="center"/>
        </w:trPr>
        <w:tc>
          <w:tcPr>
            <w:tcW w:w="1555" w:type="dxa"/>
            <w:vAlign w:val="center"/>
          </w:tcPr>
          <w:p w14:paraId="5F731AD5" w14:textId="77777777" w:rsidR="0078380F" w:rsidRPr="00BB5133" w:rsidRDefault="0078380F" w:rsidP="00C35D96">
            <w:pPr>
              <w:spacing w:line="240" w:lineRule="auto"/>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SUPEN</w:t>
            </w:r>
          </w:p>
          <w:p w14:paraId="5DD93CC3" w14:textId="77777777" w:rsidR="0078380F" w:rsidRPr="00BB5133" w:rsidRDefault="0078380F" w:rsidP="00C35D96">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Vigilar la gestión de los participantes del SNP, mediante un modelo de supervisión basado en riesgos, para proteger los intereses de los afiliados y pensionados</w:t>
            </w:r>
          </w:p>
          <w:p w14:paraId="71FCE771" w14:textId="77777777" w:rsidR="0078380F" w:rsidRPr="00BB5133" w:rsidRDefault="0078380F" w:rsidP="00C35D96">
            <w:pPr>
              <w:spacing w:line="240" w:lineRule="auto"/>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CONASSIF</w:t>
            </w:r>
          </w:p>
          <w:p w14:paraId="0E47DBC1" w14:textId="77777777" w:rsidR="0078380F" w:rsidRPr="00BB5133" w:rsidRDefault="0078380F" w:rsidP="00C35D96">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 xml:space="preserve">Establecer la regulación y </w:t>
            </w:r>
            <w:r w:rsidRPr="00BB5133">
              <w:rPr>
                <w:rFonts w:ascii="Calibri Light" w:hAnsi="Calibri Light" w:cs="Calibri Light"/>
                <w:color w:val="000000"/>
                <w:sz w:val="18"/>
                <w:szCs w:val="18"/>
                <w:lang w:val="es-CR"/>
              </w:rPr>
              <w:lastRenderedPageBreak/>
              <w:t>supervisión que coadyuve a la estabilidad y solvencia del sistema financiero</w:t>
            </w:r>
          </w:p>
        </w:tc>
        <w:tc>
          <w:tcPr>
            <w:tcW w:w="1311" w:type="dxa"/>
            <w:shd w:val="clear" w:color="auto" w:fill="auto"/>
            <w:noWrap/>
            <w:vAlign w:val="center"/>
          </w:tcPr>
          <w:p w14:paraId="75C63EC5" w14:textId="77777777" w:rsidR="0078380F" w:rsidRPr="00BB5133" w:rsidRDefault="0078380F" w:rsidP="00C35D96">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lastRenderedPageBreak/>
              <w:t>Migración del SEC-BCCR</w:t>
            </w:r>
          </w:p>
        </w:tc>
        <w:tc>
          <w:tcPr>
            <w:tcW w:w="1699" w:type="dxa"/>
          </w:tcPr>
          <w:p w14:paraId="51630C98" w14:textId="77777777" w:rsidR="0078380F" w:rsidRPr="00BB5133" w:rsidRDefault="0078380F" w:rsidP="00C35D96">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Automatizar las etapas asociadas al proceso SEC y minimizar la intervención del personal de supervisión en este proceso.</w:t>
            </w:r>
          </w:p>
        </w:tc>
        <w:tc>
          <w:tcPr>
            <w:tcW w:w="709" w:type="dxa"/>
            <w:vAlign w:val="center"/>
          </w:tcPr>
          <w:p w14:paraId="5FE6F4F7"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992" w:type="dxa"/>
            <w:vAlign w:val="center"/>
          </w:tcPr>
          <w:p w14:paraId="3A508817"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1321" w:type="dxa"/>
            <w:vAlign w:val="center"/>
          </w:tcPr>
          <w:p w14:paraId="3E81A476" w14:textId="77777777" w:rsidR="0078380F" w:rsidRPr="00BB5133" w:rsidRDefault="0078380F" w:rsidP="00C35D96">
            <w:pPr>
              <w:spacing w:line="240" w:lineRule="auto"/>
              <w:jc w:val="left"/>
              <w:rPr>
                <w:rFonts w:ascii="Calibri Light" w:hAnsi="Calibri Light" w:cs="Calibri Light"/>
                <w:b/>
                <w:sz w:val="18"/>
                <w:szCs w:val="18"/>
                <w:lang w:val="es-CR"/>
              </w:rPr>
            </w:pPr>
            <w:r w:rsidRPr="00BB5133">
              <w:rPr>
                <w:rFonts w:ascii="Calibri Light" w:hAnsi="Calibri Light" w:cs="Calibri Light"/>
                <w:b/>
                <w:sz w:val="18"/>
                <w:szCs w:val="18"/>
                <w:lang w:val="es-CR"/>
              </w:rPr>
              <w:t>Segundo semestre del 2020</w:t>
            </w:r>
          </w:p>
          <w:p w14:paraId="0E8F0EFF" w14:textId="77777777" w:rsidR="0078380F" w:rsidRPr="00BB5133" w:rsidRDefault="0078380F" w:rsidP="00C35D96">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Automatizar los procesos manuales que impiden que los ciclos del SEC se ejecuten sin la intervención de los supervisores</w:t>
            </w:r>
          </w:p>
        </w:tc>
        <w:tc>
          <w:tcPr>
            <w:tcW w:w="992" w:type="dxa"/>
            <w:vAlign w:val="center"/>
          </w:tcPr>
          <w:p w14:paraId="213F1518" w14:textId="77777777" w:rsidR="0078380F" w:rsidRPr="00653F9A" w:rsidRDefault="0078380F" w:rsidP="00C35D96">
            <w:pPr>
              <w:spacing w:line="240" w:lineRule="auto"/>
              <w:jc w:val="center"/>
              <w:rPr>
                <w:rFonts w:ascii="Calibri Light" w:hAnsi="Calibri Light" w:cs="Calibri Light"/>
                <w:b/>
                <w:bCs/>
                <w:sz w:val="18"/>
                <w:szCs w:val="18"/>
                <w:lang w:val="es-CR"/>
              </w:rPr>
            </w:pPr>
            <w:r w:rsidRPr="00653F9A">
              <w:rPr>
                <w:rFonts w:ascii="Calibri Light" w:hAnsi="Calibri Light" w:cs="Calibri Light"/>
                <w:b/>
                <w:bCs/>
                <w:sz w:val="18"/>
                <w:szCs w:val="18"/>
                <w:lang w:val="es-CR"/>
              </w:rPr>
              <w:t>90</w:t>
            </w:r>
          </w:p>
        </w:tc>
        <w:tc>
          <w:tcPr>
            <w:tcW w:w="1659" w:type="dxa"/>
            <w:vAlign w:val="center"/>
          </w:tcPr>
          <w:p w14:paraId="0C190600" w14:textId="77777777" w:rsidR="0078380F" w:rsidRPr="00BB5133" w:rsidRDefault="0078380F" w:rsidP="00C35D96">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En Ejecución</w:t>
            </w:r>
          </w:p>
          <w:p w14:paraId="3707DE08" w14:textId="77777777" w:rsidR="0078380F" w:rsidRPr="00BB5133" w:rsidRDefault="0078380F" w:rsidP="00C35D96">
            <w:pPr>
              <w:spacing w:line="240" w:lineRule="auto"/>
              <w:jc w:val="left"/>
              <w:rPr>
                <w:rFonts w:ascii="Calibri Light" w:hAnsi="Calibri Light" w:cs="Calibri Light"/>
                <w:b/>
                <w:sz w:val="18"/>
                <w:szCs w:val="18"/>
                <w:lang w:val="es-CR"/>
              </w:rPr>
            </w:pPr>
            <w:r w:rsidRPr="00BB5133">
              <w:rPr>
                <w:rFonts w:ascii="Calibri Light" w:hAnsi="Calibri Light" w:cs="Calibri Light"/>
                <w:bCs/>
                <w:sz w:val="18"/>
                <w:szCs w:val="18"/>
                <w:lang w:val="es-CR"/>
              </w:rPr>
              <w:t>Está pendiente el automatizar la conexión a los servidores del Sistema de Pagos y la actualización de los procedimientos de trabajo</w:t>
            </w:r>
          </w:p>
        </w:tc>
      </w:tr>
      <w:tr w:rsidR="0078380F" w:rsidRPr="00612375" w14:paraId="5A3A8682" w14:textId="77777777" w:rsidTr="00C35D96">
        <w:trPr>
          <w:trHeight w:val="300"/>
          <w:jc w:val="center"/>
        </w:trPr>
        <w:tc>
          <w:tcPr>
            <w:tcW w:w="1555" w:type="dxa"/>
            <w:vAlign w:val="center"/>
          </w:tcPr>
          <w:p w14:paraId="27DAA0B2" w14:textId="77777777" w:rsidR="0078380F" w:rsidRPr="00BB5133" w:rsidRDefault="0078380F" w:rsidP="00C35D96">
            <w:pPr>
              <w:spacing w:line="240" w:lineRule="auto"/>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SUPEN</w:t>
            </w:r>
          </w:p>
          <w:p w14:paraId="095389A9" w14:textId="77777777" w:rsidR="0078380F" w:rsidRPr="00BB5133" w:rsidRDefault="0078380F" w:rsidP="00C35D96">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Fortalecer el Sistema de Pensiones mediante un marco jurídico que promueva una mayor cobertura y protección para los afiliados y pensionados.</w:t>
            </w:r>
          </w:p>
          <w:p w14:paraId="64D4C653" w14:textId="77777777" w:rsidR="0078380F" w:rsidRPr="00BB5133" w:rsidRDefault="0078380F" w:rsidP="00C35D96">
            <w:pPr>
              <w:spacing w:line="240" w:lineRule="auto"/>
              <w:jc w:val="left"/>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CONASSIF</w:t>
            </w:r>
          </w:p>
          <w:p w14:paraId="51C94541" w14:textId="77777777" w:rsidR="0078380F" w:rsidRPr="00BB5133" w:rsidRDefault="0078380F" w:rsidP="00C35D96">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Velar por los intereses de los consumidores de servicios y productos financieros.</w:t>
            </w:r>
          </w:p>
        </w:tc>
        <w:tc>
          <w:tcPr>
            <w:tcW w:w="1311" w:type="dxa"/>
            <w:shd w:val="clear" w:color="auto" w:fill="auto"/>
            <w:noWrap/>
            <w:vAlign w:val="center"/>
          </w:tcPr>
          <w:p w14:paraId="3172A60E" w14:textId="77777777" w:rsidR="0078380F" w:rsidRPr="00BB5133" w:rsidRDefault="0078380F" w:rsidP="00C35D96">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Afiliación en la desacumulación del ROP</w:t>
            </w:r>
          </w:p>
        </w:tc>
        <w:tc>
          <w:tcPr>
            <w:tcW w:w="1699" w:type="dxa"/>
            <w:vAlign w:val="center"/>
          </w:tcPr>
          <w:p w14:paraId="16593FF4" w14:textId="77777777" w:rsidR="0078380F" w:rsidRPr="00BB5133" w:rsidRDefault="0078380F" w:rsidP="00C35D96">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Establecer los lineamientos para la unificación de los saldos de los afiliados en etapa de acumulación o desacumulación cuando estos estén en más de una entidad. A la fecha se han identificado los afiliados con esta condición y se está coordinando con el Sistema Centralizado de Recaudación (SICERE) una serie de mecanismos que permiten un control único de afiliación.</w:t>
            </w:r>
          </w:p>
        </w:tc>
        <w:tc>
          <w:tcPr>
            <w:tcW w:w="709" w:type="dxa"/>
            <w:vAlign w:val="center"/>
          </w:tcPr>
          <w:p w14:paraId="78F73773"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992" w:type="dxa"/>
            <w:vAlign w:val="center"/>
          </w:tcPr>
          <w:p w14:paraId="3F171F61"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1321" w:type="dxa"/>
            <w:vAlign w:val="center"/>
          </w:tcPr>
          <w:p w14:paraId="751B9597" w14:textId="77777777" w:rsidR="0078380F" w:rsidRPr="00BB5133" w:rsidRDefault="0078380F" w:rsidP="00C35D96">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Segundo Semestre 2020</w:t>
            </w:r>
          </w:p>
          <w:p w14:paraId="3E46BB64" w14:textId="77777777" w:rsidR="0078380F" w:rsidRPr="00BB5133" w:rsidRDefault="0078380F" w:rsidP="00C35D96">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Seguimiento a la unificación de cuentas individuales, dado su posible multiplicidad en etapa de acumulación y desacumulación</w:t>
            </w:r>
          </w:p>
        </w:tc>
        <w:tc>
          <w:tcPr>
            <w:tcW w:w="992" w:type="dxa"/>
            <w:vAlign w:val="center"/>
          </w:tcPr>
          <w:p w14:paraId="3A8FB6C8" w14:textId="77777777" w:rsidR="0078380F" w:rsidRPr="00BB5133" w:rsidRDefault="0078380F" w:rsidP="00C35D96">
            <w:pPr>
              <w:spacing w:line="240" w:lineRule="auto"/>
              <w:jc w:val="center"/>
              <w:rPr>
                <w:rFonts w:ascii="Calibri Light" w:hAnsi="Calibri Light" w:cs="Calibri Light"/>
                <w:sz w:val="18"/>
                <w:szCs w:val="18"/>
                <w:lang w:val="es-CR"/>
              </w:rPr>
            </w:pPr>
          </w:p>
        </w:tc>
        <w:tc>
          <w:tcPr>
            <w:tcW w:w="1659" w:type="dxa"/>
            <w:vAlign w:val="center"/>
          </w:tcPr>
          <w:p w14:paraId="3663ED20" w14:textId="77777777" w:rsidR="0078380F" w:rsidRPr="00BB5133" w:rsidRDefault="0078380F" w:rsidP="00C35D96">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En Ejecución</w:t>
            </w:r>
          </w:p>
          <w:p w14:paraId="328CAFA1" w14:textId="77777777" w:rsidR="0078380F" w:rsidRPr="00BB5133" w:rsidRDefault="0078380F" w:rsidP="00C35D96">
            <w:pPr>
              <w:spacing w:line="240" w:lineRule="auto"/>
              <w:jc w:val="left"/>
              <w:rPr>
                <w:rFonts w:ascii="Calibri Light" w:hAnsi="Calibri Light" w:cs="Calibri Light"/>
                <w:b/>
                <w:sz w:val="18"/>
                <w:szCs w:val="18"/>
                <w:lang w:val="es-CR"/>
              </w:rPr>
            </w:pPr>
            <w:r w:rsidRPr="00BB5133">
              <w:rPr>
                <w:rFonts w:ascii="Calibri Light" w:hAnsi="Calibri Light" w:cs="Calibri Light"/>
                <w:bCs/>
                <w:sz w:val="18"/>
                <w:szCs w:val="18"/>
                <w:lang w:val="es-CR"/>
              </w:rPr>
              <w:t>Se está trabajando en una coordinación con SICERE para el manejo de la afiliación de menores de 15 años</w:t>
            </w:r>
          </w:p>
        </w:tc>
      </w:tr>
      <w:tr w:rsidR="0078380F" w:rsidRPr="00612375" w14:paraId="5217F5EF" w14:textId="77777777" w:rsidTr="00C35D96">
        <w:trPr>
          <w:trHeight w:val="300"/>
          <w:jc w:val="center"/>
        </w:trPr>
        <w:tc>
          <w:tcPr>
            <w:tcW w:w="1555" w:type="dxa"/>
            <w:vAlign w:val="center"/>
          </w:tcPr>
          <w:p w14:paraId="12470CF6" w14:textId="77777777" w:rsidR="0078380F" w:rsidRPr="00BB5133" w:rsidRDefault="0078380F" w:rsidP="00C35D96">
            <w:pPr>
              <w:spacing w:line="240" w:lineRule="auto"/>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SUPEN</w:t>
            </w:r>
          </w:p>
          <w:p w14:paraId="4AC8E3C7" w14:textId="77777777" w:rsidR="0078380F" w:rsidRPr="00BB5133" w:rsidRDefault="0078380F" w:rsidP="00C35D96">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Fortalecer el Sistema de Pensiones mediante un marco jurídico que promueva una mayor cobertura y protección para los afiliados y pensionados.</w:t>
            </w:r>
          </w:p>
          <w:p w14:paraId="17D71BCB" w14:textId="77777777" w:rsidR="0078380F" w:rsidRPr="00BB5133" w:rsidRDefault="0078380F" w:rsidP="00C35D96">
            <w:pPr>
              <w:spacing w:line="240" w:lineRule="auto"/>
              <w:jc w:val="left"/>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CONASSIF</w:t>
            </w:r>
          </w:p>
          <w:p w14:paraId="3251EDB3" w14:textId="77777777" w:rsidR="0078380F" w:rsidRPr="00BB5133" w:rsidRDefault="0078380F" w:rsidP="00C35D96">
            <w:pPr>
              <w:spacing w:line="240" w:lineRule="auto"/>
              <w:jc w:val="left"/>
              <w:rPr>
                <w:rFonts w:ascii="Calibri Light" w:hAnsi="Calibri Light" w:cs="Calibri Light"/>
                <w:b/>
                <w:bCs/>
                <w:color w:val="000000"/>
                <w:sz w:val="18"/>
                <w:szCs w:val="18"/>
                <w:lang w:val="es-CR"/>
              </w:rPr>
            </w:pPr>
            <w:r w:rsidRPr="00BB5133">
              <w:rPr>
                <w:rFonts w:ascii="Calibri Light" w:hAnsi="Calibri Light" w:cs="Calibri Light"/>
                <w:color w:val="000000"/>
                <w:sz w:val="18"/>
                <w:szCs w:val="18"/>
                <w:lang w:val="es-CR"/>
              </w:rPr>
              <w:t>Velar por los intereses de los consumidores de servicios y productos financieros.</w:t>
            </w:r>
          </w:p>
        </w:tc>
        <w:tc>
          <w:tcPr>
            <w:tcW w:w="1311" w:type="dxa"/>
            <w:shd w:val="clear" w:color="auto" w:fill="auto"/>
            <w:noWrap/>
            <w:vAlign w:val="center"/>
          </w:tcPr>
          <w:p w14:paraId="0C18B34A" w14:textId="77777777" w:rsidR="0078380F" w:rsidRPr="00BB5133" w:rsidRDefault="0078380F" w:rsidP="00C35D96">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Estados de Cuenta</w:t>
            </w:r>
          </w:p>
        </w:tc>
        <w:tc>
          <w:tcPr>
            <w:tcW w:w="1699" w:type="dxa"/>
            <w:vAlign w:val="center"/>
          </w:tcPr>
          <w:p w14:paraId="2AA2C765" w14:textId="77777777" w:rsidR="0078380F" w:rsidRPr="00BB5133" w:rsidRDefault="0078380F" w:rsidP="00C35D96">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Promover el entendimiento de los objetivos de los productos previsionales y del fondo de capitalización laboral mediante la modificación del contenido de los estados de cuenta para el Régimen de Capitalización Individual.</w:t>
            </w:r>
          </w:p>
        </w:tc>
        <w:tc>
          <w:tcPr>
            <w:tcW w:w="709" w:type="dxa"/>
            <w:vAlign w:val="center"/>
          </w:tcPr>
          <w:p w14:paraId="41C8394B"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992" w:type="dxa"/>
            <w:vAlign w:val="center"/>
          </w:tcPr>
          <w:p w14:paraId="394AD6A7"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1321" w:type="dxa"/>
            <w:vAlign w:val="center"/>
          </w:tcPr>
          <w:p w14:paraId="0719876F" w14:textId="77777777" w:rsidR="0078380F" w:rsidRPr="00BB5133" w:rsidRDefault="0078380F" w:rsidP="00C35D96">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Segundo Semestre 2020</w:t>
            </w:r>
          </w:p>
          <w:p w14:paraId="796D5ABA" w14:textId="77777777" w:rsidR="0078380F" w:rsidRPr="00BB5133" w:rsidRDefault="0078380F" w:rsidP="00C35D96">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Presentación al CONASSID de la normativa para los nuevos estados de cuenta</w:t>
            </w:r>
          </w:p>
        </w:tc>
        <w:tc>
          <w:tcPr>
            <w:tcW w:w="992" w:type="dxa"/>
            <w:vAlign w:val="center"/>
          </w:tcPr>
          <w:p w14:paraId="733E949E" w14:textId="77777777" w:rsidR="0078380F" w:rsidRPr="00653F9A" w:rsidRDefault="0078380F" w:rsidP="00C35D96">
            <w:pPr>
              <w:spacing w:line="240" w:lineRule="auto"/>
              <w:jc w:val="center"/>
              <w:rPr>
                <w:rFonts w:ascii="Calibri Light" w:hAnsi="Calibri Light" w:cs="Calibri Light"/>
                <w:b/>
                <w:bCs/>
                <w:sz w:val="18"/>
                <w:szCs w:val="18"/>
                <w:lang w:val="es-CR"/>
              </w:rPr>
            </w:pPr>
            <w:r w:rsidRPr="00653F9A">
              <w:rPr>
                <w:rFonts w:ascii="Calibri Light" w:hAnsi="Calibri Light" w:cs="Calibri Light"/>
                <w:b/>
                <w:bCs/>
                <w:sz w:val="18"/>
                <w:szCs w:val="18"/>
                <w:lang w:val="es-CR"/>
              </w:rPr>
              <w:t>80</w:t>
            </w:r>
          </w:p>
        </w:tc>
        <w:tc>
          <w:tcPr>
            <w:tcW w:w="1659" w:type="dxa"/>
            <w:vAlign w:val="center"/>
          </w:tcPr>
          <w:p w14:paraId="42D865C3" w14:textId="77777777" w:rsidR="0078380F" w:rsidRPr="00BB5133" w:rsidRDefault="0078380F" w:rsidP="00C35D96">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En Ejecución</w:t>
            </w:r>
          </w:p>
          <w:p w14:paraId="02C4C721" w14:textId="77777777" w:rsidR="0078380F" w:rsidRPr="00BB5133" w:rsidRDefault="0078380F" w:rsidP="00C35D96">
            <w:pPr>
              <w:spacing w:line="240" w:lineRule="auto"/>
              <w:rPr>
                <w:rFonts w:ascii="Calibri Light" w:hAnsi="Calibri Light" w:cs="Calibri Light"/>
                <w:bCs/>
                <w:sz w:val="18"/>
                <w:szCs w:val="18"/>
                <w:lang w:val="es-CR"/>
              </w:rPr>
            </w:pPr>
            <w:r w:rsidRPr="00BB5133">
              <w:rPr>
                <w:rFonts w:ascii="Calibri Light" w:hAnsi="Calibri Light" w:cs="Calibri Light"/>
                <w:bCs/>
                <w:sz w:val="18"/>
                <w:szCs w:val="18"/>
                <w:lang w:val="es-CR"/>
              </w:rPr>
              <w:t>Está pendiente el criterio jurídico que acompaña la nueva regulación</w:t>
            </w:r>
          </w:p>
        </w:tc>
      </w:tr>
      <w:tr w:rsidR="0078380F" w:rsidRPr="00612375" w14:paraId="45E19636" w14:textId="77777777" w:rsidTr="00C35D96">
        <w:trPr>
          <w:trHeight w:val="300"/>
          <w:jc w:val="center"/>
        </w:trPr>
        <w:tc>
          <w:tcPr>
            <w:tcW w:w="1555" w:type="dxa"/>
            <w:vAlign w:val="center"/>
          </w:tcPr>
          <w:p w14:paraId="7C42AD76" w14:textId="77777777" w:rsidR="0078380F" w:rsidRPr="00BB5133" w:rsidRDefault="0078380F" w:rsidP="00C35D96">
            <w:pPr>
              <w:spacing w:line="240" w:lineRule="auto"/>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SUPEN</w:t>
            </w:r>
          </w:p>
          <w:p w14:paraId="25057E55" w14:textId="77777777" w:rsidR="0078380F" w:rsidRPr="00BB5133" w:rsidRDefault="0078380F" w:rsidP="00C35D96">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Fortalecer el Sistema de Pensiones mediante un marco jurídico que promueva una mayor cobertura y protección para los afiliados y pensionados.</w:t>
            </w:r>
          </w:p>
          <w:p w14:paraId="5ECC3D19" w14:textId="77777777" w:rsidR="0078380F" w:rsidRPr="00BB5133" w:rsidRDefault="0078380F" w:rsidP="00C35D96">
            <w:pPr>
              <w:spacing w:line="240" w:lineRule="auto"/>
              <w:jc w:val="left"/>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lastRenderedPageBreak/>
              <w:t>CONASSIF</w:t>
            </w:r>
          </w:p>
          <w:p w14:paraId="5C50C717" w14:textId="77777777" w:rsidR="0078380F" w:rsidRPr="00BB5133" w:rsidRDefault="0078380F" w:rsidP="00C35D96">
            <w:pPr>
              <w:spacing w:line="240" w:lineRule="auto"/>
              <w:jc w:val="left"/>
              <w:rPr>
                <w:rFonts w:ascii="Calibri Light" w:hAnsi="Calibri Light" w:cs="Calibri Light"/>
                <w:b/>
                <w:bCs/>
                <w:color w:val="000000"/>
                <w:sz w:val="18"/>
                <w:szCs w:val="18"/>
                <w:lang w:val="es-CR"/>
              </w:rPr>
            </w:pPr>
            <w:r w:rsidRPr="00BB5133">
              <w:rPr>
                <w:rFonts w:ascii="Calibri Light" w:hAnsi="Calibri Light" w:cs="Calibri Light"/>
                <w:color w:val="000000"/>
                <w:sz w:val="18"/>
                <w:szCs w:val="18"/>
                <w:lang w:val="es-CR"/>
              </w:rPr>
              <w:t>Velar por los intereses de los consumidores de servicios y productos financieros.</w:t>
            </w:r>
          </w:p>
        </w:tc>
        <w:tc>
          <w:tcPr>
            <w:tcW w:w="1311" w:type="dxa"/>
            <w:shd w:val="clear" w:color="auto" w:fill="auto"/>
            <w:noWrap/>
            <w:vAlign w:val="center"/>
          </w:tcPr>
          <w:p w14:paraId="21F2A37C" w14:textId="77777777" w:rsidR="0078380F" w:rsidRPr="00BB5133" w:rsidRDefault="0078380F" w:rsidP="00C35D96">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lastRenderedPageBreak/>
              <w:t>Estrategia de Comunicación</w:t>
            </w:r>
          </w:p>
        </w:tc>
        <w:tc>
          <w:tcPr>
            <w:tcW w:w="1699" w:type="dxa"/>
            <w:vAlign w:val="center"/>
          </w:tcPr>
          <w:p w14:paraId="747695A0" w14:textId="77777777" w:rsidR="0078380F" w:rsidRPr="00BB5133" w:rsidRDefault="0078380F" w:rsidP="00C35D96">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 xml:space="preserve">Establecer una estrategia de comunicación interna y externa que permita empoderar al público en general, con especial énfasis en el afiliado y el pensionado, dotándolo de información y </w:t>
            </w:r>
            <w:r w:rsidRPr="00BB5133">
              <w:rPr>
                <w:rFonts w:ascii="Calibri Light" w:hAnsi="Calibri Light" w:cs="Calibri Light"/>
                <w:sz w:val="18"/>
                <w:szCs w:val="18"/>
                <w:lang w:val="es-CR"/>
              </w:rPr>
              <w:lastRenderedPageBreak/>
              <w:t>herramientas para mejorar su educación previsional.</w:t>
            </w:r>
          </w:p>
        </w:tc>
        <w:tc>
          <w:tcPr>
            <w:tcW w:w="709" w:type="dxa"/>
            <w:vAlign w:val="center"/>
          </w:tcPr>
          <w:p w14:paraId="04570334"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lastRenderedPageBreak/>
              <w:t>2020</w:t>
            </w:r>
          </w:p>
        </w:tc>
        <w:tc>
          <w:tcPr>
            <w:tcW w:w="992" w:type="dxa"/>
            <w:vAlign w:val="center"/>
          </w:tcPr>
          <w:p w14:paraId="1922A0E8"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2023</w:t>
            </w:r>
          </w:p>
        </w:tc>
        <w:tc>
          <w:tcPr>
            <w:tcW w:w="1321" w:type="dxa"/>
            <w:vAlign w:val="center"/>
          </w:tcPr>
          <w:p w14:paraId="6083B4E7" w14:textId="77777777" w:rsidR="0078380F" w:rsidRPr="00BB5133" w:rsidRDefault="0078380F" w:rsidP="00C35D96">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Primer Semestre del 2020</w:t>
            </w:r>
          </w:p>
          <w:p w14:paraId="37BFECD7" w14:textId="77777777" w:rsidR="0078380F" w:rsidRPr="00BB5133" w:rsidRDefault="0078380F" w:rsidP="00C35D96">
            <w:pPr>
              <w:spacing w:line="240" w:lineRule="auto"/>
              <w:rPr>
                <w:rFonts w:ascii="Calibri Light" w:hAnsi="Calibri Light" w:cs="Calibri Light"/>
                <w:bCs/>
                <w:sz w:val="18"/>
                <w:szCs w:val="18"/>
                <w:lang w:val="es-CR"/>
              </w:rPr>
            </w:pPr>
            <w:r w:rsidRPr="00BB5133">
              <w:rPr>
                <w:rFonts w:ascii="Calibri Light" w:hAnsi="Calibri Light" w:cs="Calibri Light"/>
                <w:bCs/>
                <w:sz w:val="18"/>
                <w:szCs w:val="18"/>
                <w:lang w:val="es-CR"/>
              </w:rPr>
              <w:t>Implementar las actividades planificadas</w:t>
            </w:r>
          </w:p>
        </w:tc>
        <w:tc>
          <w:tcPr>
            <w:tcW w:w="992" w:type="dxa"/>
            <w:vAlign w:val="center"/>
          </w:tcPr>
          <w:p w14:paraId="58EDD5A9" w14:textId="77777777" w:rsidR="0078380F" w:rsidRPr="00653F9A" w:rsidRDefault="0078380F" w:rsidP="00C35D96">
            <w:pPr>
              <w:spacing w:line="240" w:lineRule="auto"/>
              <w:jc w:val="center"/>
              <w:rPr>
                <w:rFonts w:ascii="Calibri Light" w:hAnsi="Calibri Light" w:cs="Calibri Light"/>
                <w:b/>
                <w:bCs/>
                <w:sz w:val="18"/>
                <w:szCs w:val="18"/>
                <w:lang w:val="es-CR"/>
              </w:rPr>
            </w:pPr>
            <w:r w:rsidRPr="00653F9A">
              <w:rPr>
                <w:rFonts w:ascii="Calibri Light" w:hAnsi="Calibri Light" w:cs="Calibri Light"/>
                <w:b/>
                <w:bCs/>
                <w:sz w:val="18"/>
                <w:szCs w:val="18"/>
                <w:lang w:val="es-CR"/>
              </w:rPr>
              <w:t>100</w:t>
            </w:r>
          </w:p>
        </w:tc>
        <w:tc>
          <w:tcPr>
            <w:tcW w:w="1659" w:type="dxa"/>
            <w:vAlign w:val="center"/>
          </w:tcPr>
          <w:p w14:paraId="372AA144" w14:textId="77777777" w:rsidR="0078380F" w:rsidRPr="00BB5133" w:rsidRDefault="0078380F" w:rsidP="00C35D96">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En Ejecución</w:t>
            </w:r>
          </w:p>
          <w:p w14:paraId="7979849E" w14:textId="77777777" w:rsidR="0078380F" w:rsidRPr="00BB5133" w:rsidRDefault="0078380F" w:rsidP="00C35D96">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El proyecto marcha al día ejecutando las labores regulares de comunicación con los afiliados y pensionados</w:t>
            </w:r>
          </w:p>
        </w:tc>
      </w:tr>
      <w:tr w:rsidR="0078380F" w:rsidRPr="00612375" w14:paraId="52A37288" w14:textId="77777777" w:rsidTr="00C35D96">
        <w:trPr>
          <w:trHeight w:val="300"/>
          <w:jc w:val="center"/>
        </w:trPr>
        <w:tc>
          <w:tcPr>
            <w:tcW w:w="1555" w:type="dxa"/>
            <w:vAlign w:val="center"/>
          </w:tcPr>
          <w:p w14:paraId="7A4C7659" w14:textId="77777777" w:rsidR="0078380F" w:rsidRPr="00BB5133" w:rsidRDefault="0078380F" w:rsidP="00C35D96">
            <w:pPr>
              <w:spacing w:line="240" w:lineRule="auto"/>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SUPEN</w:t>
            </w:r>
          </w:p>
          <w:p w14:paraId="62652147" w14:textId="77777777" w:rsidR="0078380F" w:rsidRPr="00BB5133" w:rsidRDefault="0078380F" w:rsidP="00C35D96">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Vigilar la gestión de los participantes del SNP, mediante un modelo de supervisión basado en riesgos, para proteger los intereses de los afiliados y pensionados</w:t>
            </w:r>
          </w:p>
          <w:p w14:paraId="5CBA7ED4" w14:textId="77777777" w:rsidR="0078380F" w:rsidRPr="00BB5133" w:rsidRDefault="0078380F" w:rsidP="00C35D96">
            <w:pPr>
              <w:spacing w:line="240" w:lineRule="auto"/>
              <w:jc w:val="left"/>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CONASSIF</w:t>
            </w:r>
          </w:p>
          <w:p w14:paraId="79A06347" w14:textId="77777777" w:rsidR="0078380F" w:rsidRPr="00BB5133" w:rsidRDefault="0078380F" w:rsidP="00C35D96">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Establecer la regulación y supervisión que coadyuve a la estabilidad y solvencia del sistema financiero</w:t>
            </w:r>
          </w:p>
        </w:tc>
        <w:tc>
          <w:tcPr>
            <w:tcW w:w="1311" w:type="dxa"/>
            <w:shd w:val="clear" w:color="auto" w:fill="auto"/>
            <w:noWrap/>
            <w:vAlign w:val="center"/>
          </w:tcPr>
          <w:p w14:paraId="190D99F3" w14:textId="77777777" w:rsidR="0078380F" w:rsidRPr="00BB5133" w:rsidRDefault="0078380F" w:rsidP="00C35D96">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Reportes para Supervisar</w:t>
            </w:r>
          </w:p>
        </w:tc>
        <w:tc>
          <w:tcPr>
            <w:tcW w:w="1699" w:type="dxa"/>
            <w:vAlign w:val="center"/>
          </w:tcPr>
          <w:p w14:paraId="39D7BC32" w14:textId="77777777" w:rsidR="0078380F" w:rsidRPr="00BB5133" w:rsidRDefault="0078380F" w:rsidP="00C35D96">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Automatizar el proceso de elaboración de reportes para que en un mismo sistema pueden crearse cuadros e indicadores para la supervisión y análisis de los fenómenos que se vayan descubriendo a partir de los datos.</w:t>
            </w:r>
          </w:p>
        </w:tc>
        <w:tc>
          <w:tcPr>
            <w:tcW w:w="709" w:type="dxa"/>
            <w:vAlign w:val="center"/>
          </w:tcPr>
          <w:p w14:paraId="245B977E"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992" w:type="dxa"/>
            <w:vAlign w:val="center"/>
          </w:tcPr>
          <w:p w14:paraId="68CF81A1" w14:textId="77777777" w:rsidR="0078380F" w:rsidRPr="00BB5133" w:rsidRDefault="0078380F" w:rsidP="00C35D96">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1321" w:type="dxa"/>
            <w:vAlign w:val="center"/>
          </w:tcPr>
          <w:p w14:paraId="7BACFAEA" w14:textId="77777777" w:rsidR="0078380F" w:rsidRPr="00BB5133" w:rsidRDefault="0078380F" w:rsidP="00C35D96">
            <w:pPr>
              <w:spacing w:line="240" w:lineRule="auto"/>
              <w:jc w:val="left"/>
              <w:rPr>
                <w:rFonts w:ascii="Calibri Light" w:hAnsi="Calibri Light" w:cs="Calibri Light"/>
                <w:b/>
                <w:sz w:val="18"/>
                <w:szCs w:val="18"/>
                <w:lang w:val="es-CR"/>
              </w:rPr>
            </w:pPr>
            <w:r w:rsidRPr="00BB5133">
              <w:rPr>
                <w:rFonts w:ascii="Calibri Light" w:hAnsi="Calibri Light" w:cs="Calibri Light"/>
                <w:b/>
                <w:sz w:val="18"/>
                <w:szCs w:val="18"/>
                <w:lang w:val="es-CR"/>
              </w:rPr>
              <w:t>Segundo Semestre de 2020</w:t>
            </w:r>
          </w:p>
          <w:p w14:paraId="3622E5C2" w14:textId="77777777" w:rsidR="0078380F" w:rsidRPr="00BB5133" w:rsidRDefault="0078380F" w:rsidP="00C35D96">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Confección de Reportes y Capacitación para su generación</w:t>
            </w:r>
          </w:p>
        </w:tc>
        <w:tc>
          <w:tcPr>
            <w:tcW w:w="992" w:type="dxa"/>
            <w:vAlign w:val="center"/>
          </w:tcPr>
          <w:p w14:paraId="73D51BF7" w14:textId="77777777" w:rsidR="0078380F" w:rsidRPr="00653F9A" w:rsidRDefault="0078380F" w:rsidP="00C35D96">
            <w:pPr>
              <w:spacing w:line="240" w:lineRule="auto"/>
              <w:jc w:val="center"/>
              <w:rPr>
                <w:rFonts w:ascii="Calibri Light" w:hAnsi="Calibri Light" w:cs="Calibri Light"/>
                <w:b/>
                <w:bCs/>
                <w:sz w:val="18"/>
                <w:szCs w:val="18"/>
                <w:lang w:val="es-CR"/>
              </w:rPr>
            </w:pPr>
            <w:r w:rsidRPr="00653F9A">
              <w:rPr>
                <w:rFonts w:ascii="Calibri Light" w:hAnsi="Calibri Light" w:cs="Calibri Light"/>
                <w:b/>
                <w:bCs/>
                <w:sz w:val="18"/>
                <w:szCs w:val="18"/>
                <w:lang w:val="es-CR"/>
              </w:rPr>
              <w:t>80</w:t>
            </w:r>
          </w:p>
        </w:tc>
        <w:tc>
          <w:tcPr>
            <w:tcW w:w="1659" w:type="dxa"/>
            <w:vAlign w:val="center"/>
          </w:tcPr>
          <w:p w14:paraId="519EC06D" w14:textId="77777777" w:rsidR="0078380F" w:rsidRPr="00BB5133" w:rsidRDefault="0078380F" w:rsidP="00C35D96">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En Ejecución</w:t>
            </w:r>
          </w:p>
          <w:p w14:paraId="5248EC70" w14:textId="77777777" w:rsidR="0078380F" w:rsidRPr="00BB5133" w:rsidRDefault="0078380F" w:rsidP="00C35D96">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Pendiente la liberación y puesta en funcionamiento de los reportes elaborados</w:t>
            </w:r>
          </w:p>
        </w:tc>
      </w:tr>
    </w:tbl>
    <w:p w14:paraId="636DB02F" w14:textId="77777777" w:rsidR="0078380F" w:rsidRPr="0023319B" w:rsidRDefault="0078380F" w:rsidP="0078380F">
      <w:pPr>
        <w:spacing w:line="240" w:lineRule="auto"/>
        <w:rPr>
          <w:rFonts w:ascii="Calibri Light" w:hAnsi="Calibri Light" w:cs="Calibri Light"/>
          <w:sz w:val="18"/>
          <w:lang w:val="es-CR"/>
        </w:rPr>
      </w:pPr>
      <w:r w:rsidRPr="0023319B">
        <w:rPr>
          <w:rFonts w:ascii="Calibri Light" w:hAnsi="Calibri Light" w:cs="Calibri Light"/>
          <w:sz w:val="18"/>
          <w:lang w:val="es-CR"/>
        </w:rPr>
        <w:t>Fuente: Investigación y Desarrollo</w:t>
      </w:r>
    </w:p>
    <w:p w14:paraId="020CE0AE" w14:textId="77777777" w:rsidR="0078380F" w:rsidRPr="0023319B" w:rsidRDefault="0078380F" w:rsidP="0078380F">
      <w:pPr>
        <w:pStyle w:val="Prrafodelista"/>
        <w:numPr>
          <w:ilvl w:val="0"/>
          <w:numId w:val="1"/>
        </w:numPr>
        <w:spacing w:line="240" w:lineRule="auto"/>
        <w:ind w:left="0"/>
        <w:rPr>
          <w:rFonts w:ascii="Calibri Light" w:hAnsi="Calibri Light" w:cs="Calibri Light"/>
          <w:sz w:val="18"/>
          <w:lang w:val="es-CR"/>
        </w:rPr>
      </w:pPr>
      <w:r w:rsidRPr="0023319B">
        <w:rPr>
          <w:rFonts w:ascii="Calibri Light" w:hAnsi="Calibri Light" w:cs="Calibri Light"/>
          <w:sz w:val="18"/>
          <w:lang w:val="es-CR"/>
        </w:rPr>
        <w:t xml:space="preserve">Según requerimiento del CONASSIF el porcentaje de avance se mide como el porcentaje a la fecha de las actividades realizadas en entre las planificadas. </w:t>
      </w:r>
    </w:p>
    <w:bookmarkEnd w:id="2"/>
    <w:p w14:paraId="3BF3CA89" w14:textId="77777777" w:rsidR="0078380F" w:rsidRPr="0078380F" w:rsidRDefault="0078380F">
      <w:pPr>
        <w:rPr>
          <w:lang w:val="es-CR"/>
        </w:rPr>
      </w:pPr>
    </w:p>
    <w:sectPr w:rsidR="0078380F" w:rsidRPr="0078380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9170E" w14:textId="77777777" w:rsidR="0078380F" w:rsidRDefault="0078380F" w:rsidP="0078380F">
      <w:pPr>
        <w:spacing w:line="240" w:lineRule="auto"/>
      </w:pPr>
      <w:r>
        <w:separator/>
      </w:r>
    </w:p>
  </w:endnote>
  <w:endnote w:type="continuationSeparator" w:id="0">
    <w:p w14:paraId="3F6BCE85" w14:textId="77777777" w:rsidR="0078380F" w:rsidRDefault="0078380F" w:rsidP="00783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803BC" w14:textId="77777777" w:rsidR="0078380F" w:rsidRDefault="0078380F" w:rsidP="0078380F">
      <w:pPr>
        <w:spacing w:line="240" w:lineRule="auto"/>
      </w:pPr>
      <w:r>
        <w:separator/>
      </w:r>
    </w:p>
  </w:footnote>
  <w:footnote w:type="continuationSeparator" w:id="0">
    <w:p w14:paraId="16A2ED30" w14:textId="77777777" w:rsidR="0078380F" w:rsidRDefault="0078380F" w:rsidP="007838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B950" w14:textId="2DDC6DBE" w:rsidR="0078380F" w:rsidRDefault="0078380F">
    <w:pPr>
      <w:pStyle w:val="Encabezado"/>
    </w:pPr>
    <w:r w:rsidRPr="00C82958">
      <w:rPr>
        <w:noProof/>
      </w:rPr>
      <w:drawing>
        <wp:anchor distT="0" distB="0" distL="114300" distR="114300" simplePos="0" relativeHeight="251660288" behindDoc="0" locked="0" layoutInCell="1" allowOverlap="1" wp14:anchorId="5191F22B" wp14:editId="67043A67">
          <wp:simplePos x="0" y="0"/>
          <wp:positionH relativeFrom="margin">
            <wp:posOffset>4662170</wp:posOffset>
          </wp:positionH>
          <wp:positionV relativeFrom="paragraph">
            <wp:posOffset>-164465</wp:posOffset>
          </wp:positionV>
          <wp:extent cx="811530" cy="525145"/>
          <wp:effectExtent l="0" t="0" r="7620" b="825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11530" cy="525145"/>
                  </a:xfrm>
                  <a:prstGeom prst="rect">
                    <a:avLst/>
                  </a:prstGeom>
                </pic:spPr>
              </pic:pic>
            </a:graphicData>
          </a:graphic>
          <wp14:sizeRelH relativeFrom="margin">
            <wp14:pctWidth>0</wp14:pctWidth>
          </wp14:sizeRelH>
          <wp14:sizeRelV relativeFrom="margin">
            <wp14:pctHeight>0</wp14:pctHeight>
          </wp14:sizeRelV>
        </wp:anchor>
      </w:drawing>
    </w:r>
    <w:r w:rsidRPr="00C82958">
      <w:rPr>
        <w:noProof/>
        <w:lang w:eastAsia="es-ES"/>
      </w:rPr>
      <w:drawing>
        <wp:anchor distT="0" distB="0" distL="114300" distR="114300" simplePos="0" relativeHeight="251659264" behindDoc="1" locked="0" layoutInCell="1" allowOverlap="1" wp14:anchorId="28417901" wp14:editId="72CBF14E">
          <wp:simplePos x="0" y="0"/>
          <wp:positionH relativeFrom="page">
            <wp:posOffset>811988</wp:posOffset>
          </wp:positionH>
          <wp:positionV relativeFrom="page">
            <wp:posOffset>182880</wp:posOffset>
          </wp:positionV>
          <wp:extent cx="1667866" cy="771585"/>
          <wp:effectExtent l="0" t="0" r="889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3049" cy="773983"/>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C7F04"/>
    <w:multiLevelType w:val="hybridMultilevel"/>
    <w:tmpl w:val="D30035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0F"/>
    <w:rsid w:val="0078380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73917"/>
  <w15:chartTrackingRefBased/>
  <w15:docId w15:val="{C4158510-A5D9-495D-96A9-9FB473EE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80F"/>
    <w:pPr>
      <w:spacing w:after="0" w:line="312" w:lineRule="auto"/>
      <w:jc w:val="both"/>
    </w:pPr>
    <w:rPr>
      <w:rFonts w:ascii="Times New Roman" w:eastAsia="Times New Roman" w:hAnsi="Times New Roman" w:cs="Times New Roman"/>
      <w:sz w:val="20"/>
      <w:szCs w:val="20"/>
      <w:lang w:val="en-US"/>
    </w:rPr>
  </w:style>
  <w:style w:type="paragraph" w:styleId="Ttulo3">
    <w:name w:val="heading 3"/>
    <w:basedOn w:val="Normal"/>
    <w:next w:val="Normal"/>
    <w:link w:val="Ttulo3Car"/>
    <w:autoRedefine/>
    <w:qFormat/>
    <w:rsid w:val="0078380F"/>
    <w:pPr>
      <w:keepNext/>
      <w:spacing w:line="240" w:lineRule="auto"/>
      <w:ind w:left="142"/>
      <w:jc w:val="left"/>
      <w:outlineLvl w:val="2"/>
    </w:pPr>
    <w:rPr>
      <w:rFonts w:ascii="Calibri" w:hAnsi="Calibri" w:cstheme="minorHAnsi"/>
      <w:b/>
      <w:bCs/>
      <w:iCs/>
      <w:sz w:val="24"/>
      <w:szCs w:val="22"/>
      <w:lang w:val="es-CR"/>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8380F"/>
    <w:rPr>
      <w:rFonts w:ascii="Calibri" w:eastAsia="Times New Roman" w:hAnsi="Calibri" w:cstheme="minorHAnsi"/>
      <w:b/>
      <w:bCs/>
      <w:iCs/>
      <w:sz w:val="24"/>
      <w14:shadow w14:blurRad="50800" w14:dist="38100" w14:dir="2700000" w14:sx="100000" w14:sy="100000" w14:kx="0" w14:ky="0" w14:algn="tl">
        <w14:srgbClr w14:val="000000">
          <w14:alpha w14:val="60000"/>
        </w14:srgbClr>
      </w14:shadow>
    </w:rPr>
  </w:style>
  <w:style w:type="paragraph" w:styleId="Prrafodelista">
    <w:name w:val="List Paragraph"/>
    <w:basedOn w:val="Normal"/>
    <w:uiPriority w:val="34"/>
    <w:qFormat/>
    <w:rsid w:val="0078380F"/>
    <w:pPr>
      <w:ind w:left="720"/>
      <w:contextualSpacing/>
    </w:pPr>
  </w:style>
  <w:style w:type="paragraph" w:styleId="Encabezado">
    <w:name w:val="header"/>
    <w:basedOn w:val="Normal"/>
    <w:link w:val="EncabezadoCar"/>
    <w:unhideWhenUsed/>
    <w:rsid w:val="0078380F"/>
    <w:pPr>
      <w:tabs>
        <w:tab w:val="center" w:pos="4419"/>
        <w:tab w:val="right" w:pos="8838"/>
      </w:tabs>
      <w:spacing w:line="240" w:lineRule="auto"/>
    </w:pPr>
  </w:style>
  <w:style w:type="character" w:customStyle="1" w:styleId="EncabezadoCar">
    <w:name w:val="Encabezado Car"/>
    <w:basedOn w:val="Fuentedeprrafopredeter"/>
    <w:link w:val="Encabezado"/>
    <w:rsid w:val="0078380F"/>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78380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8380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7675</Characters>
  <Application>Microsoft Office Word</Application>
  <DocSecurity>0</DocSecurity>
  <Lines>63</Lines>
  <Paragraphs>18</Paragraphs>
  <ScaleCrop>false</ScaleCrop>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ARIAS GONZALEZ JOSE EZEQUIEL</dc:creator>
  <cp:keywords/>
  <dc:description/>
  <cp:lastModifiedBy>ARIAS GONZALEZ JOSE EZEQUIEL</cp:lastModifiedBy>
  <cp:revision>1</cp:revision>
  <dcterms:created xsi:type="dcterms:W3CDTF">2022-10-19T13:45:00Z</dcterms:created>
  <dcterms:modified xsi:type="dcterms:W3CDTF">2022-10-19T13:47:00Z</dcterms:modified>
</cp:coreProperties>
</file>